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3418d424b5.htm"/>
        <w:bookmarkStart w:id="1" w:name="ksd73418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333-273707 </w:t>
      </w:r>
    </w:p>
    <w:p>
      <w:pPr>
        <w:pStyle w:val="TextBody"/>
        <w:bidi w:val="0"/>
        <w:spacing w:before="0" w:after="0"/>
        <w:jc w:val="left"/>
        <w:rPr/>
      </w:pPr>
      <w:r>
        <w:rPr/>
        <w:t> </w:t>
      </w:r>
    </w:p>
    <w:p>
      <w:pPr>
        <w:pStyle w:val="TextBody"/>
        <w:bidi w:val="0"/>
        <w:spacing w:before="0" w:after="0"/>
        <w:jc w:val="left"/>
        <w:rPr>
          <w:rFonts w:ascii="ARIAL" w:hAnsi="ARIAL"/>
          <w:b/>
          <w:color w:val="DE1A1E"/>
          <w:sz w:val="20"/>
        </w:rPr>
      </w:pPr>
      <w:r>
        <w:rPr>
          <w:rFonts w:ascii="ARIAL" w:hAnsi="ARIAL"/>
          <w:b/>
          <w:color w:val="DE1A1E"/>
          <w:sz w:val="20"/>
        </w:rPr>
        <w:t xml:space="preserve">The information in this preliminary prospectus supplement is not complete and may be changed. This preliminary prospectus supplement and the accompanying prospectus do not constitute an offer to sell the shares and it is not soliciting an offer to buy the shares in any jurisdiction where the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center"/>
        <w:rPr>
          <w:rFonts w:ascii="Times New Roman" w:hAnsi="Times New Roman"/>
          <w:b/>
          <w:color w:val="DE1A1E"/>
          <w:sz w:val="20"/>
        </w:rPr>
      </w:pPr>
      <w:r>
        <w:rPr>
          <w:rFonts w:ascii="Times New Roman" w:hAnsi="Times New Roman"/>
          <w:b/>
          <w:color w:val="DE1A1E"/>
          <w:sz w:val="20"/>
        </w:rPr>
        <w:t xml:space="preserve">Subject to Completion, dated May 11, 2026 </w:t>
      </w:r>
    </w:p>
    <w:p>
      <w:pPr>
        <w:pStyle w:val="TextBody"/>
        <w:bidi w:val="0"/>
        <w:spacing w:before="120" w:after="0"/>
        <w:ind w:left="760" w:right="7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760" w:right="760" w:hanging="0"/>
        <w:jc w:val="left"/>
        <w:rPr>
          <w:rFonts w:ascii="Times New Roman" w:hAnsi="Times New Roman"/>
          <w:b/>
          <w:sz w:val="20"/>
        </w:rPr>
      </w:pPr>
      <w:r>
        <w:rPr>
          <w:rFonts w:ascii="Times New Roman" w:hAnsi="Times New Roman"/>
          <w:b/>
          <w:sz w:val="20"/>
        </w:rPr>
        <w:t xml:space="preserve">(To Prospectus dated August 4, 2023) </w:t>
      </w:r>
    </w:p>
    <w:p>
      <w:pPr>
        <w:pStyle w:val="TextBody"/>
        <w:bidi w:val="0"/>
        <w:spacing w:before="240" w:after="0"/>
        <w:ind w:left="760" w:right="760" w:hanging="0"/>
        <w:jc w:val="center"/>
        <w:rPr>
          <w:rFonts w:ascii="Times New Roman" w:hAnsi="Times New Roman"/>
          <w:b/>
          <w:sz w:val="28"/>
        </w:rPr>
      </w:pPr>
      <w:r>
        <w:rPr>
          <w:rFonts w:ascii="Times New Roman" w:hAnsi="Times New Roman"/>
          <w:b/>
          <w:sz w:val="28"/>
        </w:rPr>
        <w:t xml:space="preserve">16,000,000 Shares </w:t>
      </w:r>
    </w:p>
    <w:p>
      <w:pPr>
        <w:pStyle w:val="TextBody"/>
        <w:bidi w:val="0"/>
        <w:spacing w:before="0" w:after="0"/>
        <w:ind w:left="760" w:right="760" w:hanging="0"/>
        <w:jc w:val="left"/>
        <w:rPr/>
      </w:pPr>
      <w:r>
        <w:rPr/>
        <w:t>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3657600" cy="7626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ind w:left="760" w:right="7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We are offering 16,000,000 shares of our common stock, par value $0.01 per share.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We are organized and conduct our operations to qualify as a real estate investment trust (“REIT”) for federal income tax purposes. In part, to assist us in complying with certain federal income tax requirements applicable to REITs, our charter contains certain restrictions relating to the ownership and transfer of our stock, including an ownership limit of 5.0% on our common stock. See “Description of Our Capital Stock—Restrictions on Transfer and Ownership” in the accompanying prospectus.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Our common stock trades on the New York Stock Exchange (the “NYSE”) under the symbol “MAC.” On May 8, 2026, the last reported sale price of our common stock on the NYSE was $21.87 per share.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pPr>
      <w:r>
        <w:rPr>
          <w:rFonts w:ascii="Times New Roman" w:hAnsi="Times New Roman"/>
          <w:b/>
          <w:sz w:val="24"/>
        </w:rPr>
        <w:t>Investing in our common stock involves risks. See “</w:t>
      </w:r>
      <w:hyperlink w:anchor="supprom73418_2">
        <w:r>
          <w:rPr>
            <w:rStyle w:val="InternetLink"/>
            <w:rFonts w:ascii="Times New Roman" w:hAnsi="Times New Roman"/>
            <w:b/>
            <w:sz w:val="24"/>
          </w:rPr>
          <w:t>Risk Factors</w:t>
        </w:r>
      </w:hyperlink>
      <w:r>
        <w:rPr>
          <w:rFonts w:ascii="Times New Roman" w:hAnsi="Times New Roman"/>
          <w:b/>
          <w:sz w:val="24"/>
        </w:rPr>
        <w:t xml:space="preserve">” beginning on page S-4.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0" w:after="0"/>
        <w:ind w:left="760" w:right="760" w:hanging="0"/>
        <w:jc w:val="left"/>
        <w:rPr/>
      </w:pPr>
      <w:r>
        <w:rPr/>
        <w:t> </w:t>
      </w:r>
    </w:p>
    <w:tbl>
      <w:tblPr>
        <w:tblW w:w="4600" w:type="pct"/>
        <w:jc w:val="center"/>
        <w:tblInd w:w="0" w:type="dxa"/>
        <w:tblLayout w:type="fixed"/>
        <w:tblCellMar>
          <w:top w:w="0" w:type="dxa"/>
          <w:left w:w="0" w:type="dxa"/>
          <w:bottom w:w="0" w:type="dxa"/>
          <w:right w:w="0" w:type="dxa"/>
        </w:tblCellMar>
      </w:tblPr>
      <w:tblGrid>
        <w:gridCol w:w="5729"/>
        <w:gridCol w:w="353"/>
        <w:gridCol w:w="169"/>
        <w:gridCol w:w="1234"/>
        <w:gridCol w:w="70"/>
        <w:gridCol w:w="354"/>
        <w:gridCol w:w="169"/>
        <w:gridCol w:w="1234"/>
        <w:gridCol w:w="76"/>
      </w:tblGrid>
      <w:tr>
        <w:trPr/>
        <w:tc>
          <w:tcPr>
            <w:tcW w:w="572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72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6" w:type="dxa"/>
            <w:tcBorders/>
            <w:vAlign w:val="bottom"/>
          </w:tcPr>
          <w:p>
            <w:pPr>
              <w:pStyle w:val="TableContents"/>
              <w:bidi w:val="0"/>
              <w:spacing w:before="0" w:after="283"/>
              <w:jc w:val="left"/>
              <w:rPr/>
            </w:pPr>
            <w:r>
              <w:rPr/>
              <w:t> </w:t>
            </w:r>
          </w:p>
        </w:tc>
      </w:tr>
      <w:tr>
        <w:trPr/>
        <w:tc>
          <w:tcPr>
            <w:tcW w:w="5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5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572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5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5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use</w:t>
            </w:r>
          </w:p>
        </w:tc>
        <w:tc>
          <w:tcPr>
            <w:tcW w:w="35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We have granted the underwriters an option to purchase up to an additional 2,400,000 shares from us, at the public offering price, less the underwriting discount, for 30 days after the date of this prospectus supplement. </w:t>
      </w:r>
    </w:p>
    <w:p>
      <w:pPr>
        <w:pStyle w:val="TextBody"/>
        <w:bidi w:val="0"/>
        <w:spacing w:before="240" w:after="0"/>
        <w:ind w:left="760" w:right="7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on the adequacy or accuracy of this prospectus supplement or the accompanying prospectus. Any representation to the contrary is a criminal offense. </w:t>
      </w:r>
    </w:p>
    <w:p>
      <w:pPr>
        <w:pStyle w:val="TextBody"/>
        <w:bidi w:val="0"/>
        <w:spacing w:before="240" w:after="0"/>
        <w:ind w:left="760" w:right="760" w:hanging="0"/>
        <w:jc w:val="left"/>
        <w:rPr>
          <w:rFonts w:ascii="Times New Roman" w:hAnsi="Times New Roman"/>
          <w:sz w:val="20"/>
        </w:rPr>
      </w:pPr>
      <w:r>
        <w:rPr>
          <w:rFonts w:ascii="Times New Roman" w:hAnsi="Times New Roman"/>
          <w:sz w:val="20"/>
        </w:rPr>
        <w:t xml:space="preserve">The shares of common stock sold in this offering will be ready for delivery on or about May , 2026.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center"/>
        <w:rPr>
          <w:rFonts w:ascii="Times New Roman" w:hAnsi="Times New Roman"/>
          <w:i/>
          <w:sz w:val="20"/>
        </w:rPr>
      </w:pPr>
      <w:r>
        <w:rPr>
          <w:rFonts w:ascii="Times New Roman" w:hAnsi="Times New Roman"/>
          <w:i/>
          <w:sz w:val="20"/>
        </w:rPr>
        <w:t xml:space="preserve">Book-Running Manager </w:t>
      </w:r>
    </w:p>
    <w:p>
      <w:pPr>
        <w:pStyle w:val="TextBody"/>
        <w:bidi w:val="0"/>
        <w:spacing w:before="240" w:after="0"/>
        <w:ind w:left="760" w:right="760" w:hanging="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240" w:after="0"/>
        <w:ind w:left="760" w:right="760" w:hanging="0"/>
        <w:jc w:val="center"/>
        <w:rPr>
          <w:rFonts w:ascii="Times New Roman" w:hAnsi="Times New Roman"/>
          <w:b/>
          <w:sz w:val="20"/>
        </w:rPr>
      </w:pPr>
      <w:r>
        <w:rPr>
          <w:rFonts w:ascii="Times New Roman" w:hAnsi="Times New Roman"/>
          <w:b/>
          <w:sz w:val="20"/>
        </w:rPr>
        <w:t xml:space="preserve">The date of this prospectus supplement is May ,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8"/>
        <w:gridCol w:w="139"/>
        <w:gridCol w:w="60"/>
        <w:gridCol w:w="456"/>
        <w:gridCol w:w="62"/>
      </w:tblGrid>
      <w:tr>
        <w:trPr/>
        <w:tc>
          <w:tcPr>
            <w:tcW w:w="948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pPr>
            <w:hyperlink w:anchor="supprom73418_1">
              <w:r>
                <w:rPr>
                  <w:rStyle w:val="InternetLink"/>
                  <w:rFonts w:ascii="Times New Roman" w:hAnsi="Times New Roman"/>
                  <w:sz w:val="20"/>
                </w:rPr>
                <w:t>SUMMARY</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pPr>
            <w:hyperlink w:anchor="supprom73418_2">
              <w:r>
                <w:rPr>
                  <w:rStyle w:val="InternetLink"/>
                  <w:rFonts w:ascii="Times New Roman" w:hAnsi="Times New Roman"/>
                  <w:sz w:val="20"/>
                </w:rPr>
                <w:t>RISK FACTORS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pPr>
            <w:hyperlink w:anchor="supprom73418_3">
              <w:r>
                <w:rPr>
                  <w:rStyle w:val="InternetLink"/>
                  <w:rFonts w:ascii="Times New Roman" w:hAnsi="Times New Roman"/>
                  <w:sz w:val="20"/>
                </w:rPr>
                <w:t>IMPORTANT INFORMATION RELATED TO FORWARD-LOOKING STATEMENTS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pPr>
            <w:hyperlink w:anchor="supprom73418_4">
              <w:r>
                <w:rPr>
                  <w:rStyle w:val="InternetLink"/>
                  <w:rFonts w:ascii="Times New Roman" w:hAnsi="Times New Roman"/>
                  <w:sz w:val="20"/>
                </w:rPr>
                <w:t>USE OF PROCEEDS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pPr>
            <w:hyperlink w:anchor="supprom73418_6">
              <w:r>
                <w:rPr>
                  <w:rStyle w:val="InternetLink"/>
                  <w:rFonts w:ascii="Times New Roman" w:hAnsi="Times New Roman"/>
                  <w:sz w:val="20"/>
                </w:rPr>
                <w:t>UNDERWRITING</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pPr>
            <w:hyperlink w:anchor="supprom73418_7">
              <w:r>
                <w:rPr>
                  <w:rStyle w:val="InternetLink"/>
                  <w:rFonts w:ascii="Times New Roman" w:hAnsi="Times New Roman"/>
                  <w:sz w:val="20"/>
                </w:rPr>
                <w:t>LEGAL MATTERS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pPr>
            <w:hyperlink w:anchor="supprom73418_8">
              <w:r>
                <w:rPr>
                  <w:rStyle w:val="InternetLink"/>
                  <w:rFonts w:ascii="Times New Roman" w:hAnsi="Times New Roman"/>
                  <w:sz w:val="20"/>
                </w:rPr>
                <w:t>WHERE YOU CAN FIND MORE INFORMATION AND INCORPORATION BY REFERENCE</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3">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4">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6">
              <w:r>
                <w:rPr>
                  <w:rStyle w:val="InternetLink"/>
                  <w:rFonts w:ascii="Times New Roman" w:hAnsi="Times New Roman"/>
                  <w:sz w:val="20"/>
                </w:rPr>
                <w:t>THE MACERICH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8">
              <w:r>
                <w:rPr>
                  <w:rStyle w:val="InternetLink"/>
                  <w:rFonts w:ascii="Times New Roman" w:hAnsi="Times New Roman"/>
                  <w:sz w:val="20"/>
                </w:rPr>
                <w:t>DESCRIPTION OF OUR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1">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4">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5">
              <w:r>
                <w:rPr>
                  <w:rStyle w:val="InternetLink"/>
                  <w:rFonts w:ascii="Times New Roman" w:hAnsi="Times New Roman"/>
                  <w:sz w:val="20"/>
                </w:rPr>
                <w:t>DESCRIPTION OF STOCK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6">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7">
              <w:r>
                <w:rPr>
                  <w:rStyle w:val="InternetLink"/>
                  <w:rFonts w:ascii="Times New Roman" w:hAnsi="Times New Roman"/>
                  <w:sz w:val="20"/>
                </w:rPr>
                <w:t>MATERIAL UNITED STATES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8">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2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2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relates to the potential offer and sale, from time to time, of shares of our common stock and also supplements and updates information contained in the accompanying prospectus and the documents incorporated by reference into the prospectus. The second part is the accompanying prospectus, which gives more general information, some of which may not apply to any potential sale of shares of our common stock. To the extent there is a conflict between the information contained in this prospectus supplement, on the one hand, and the information contained in the accompanying prospectus or any document incorporated by reference herein that was filed with the SEC before the date of this prospectus supplement, on the other hand, you should rely on the information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the accompanying prospectus and any free writing prospectus that we have authorized. We have not and the underwriters have not authorized anyone to provide you with information that is different from that contained or incorporated by reference in this prospectus supplement, the accompanying prospectus or any such free writing prospectus. The offering of the shares of our common stock may be restricted by law in certain non-U.S. jurisdictions. This prospectus supplement is not an offer to sell nor does it seek an offer to buy any shares of our common stock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rom73418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only highlights the more detailed information appearing elsewhere in this prospectus supplement or incorporated by reference in this prospectus supplement. It may not contain all of the information that is important to you. You should carefully read this entire prospectus supplement, the accompanying prospectus and the documents incorporated by reference in this prospectus supplement before deciding whether to invest in shares of our common stock.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or the context otherwise requires, references in this prospectus supplement to the “Company,” “Macerich,”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March 31, 2026, the Operating Partnership owned or had an ownership interest in 37 regional retail centers (including office, hotel and residential space adjacent to these shopping centers) and one community/power shopping center. These 38 regional retail centers and community/power shopping center consist of approximately 39 million square feet of gross leasable area.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self-administered and self-managed REIT and conduct all of our operations through the Operating Partnership and our management companies. We are the sole general partner of the Operating Partnership and owned 96% of the limited partnership units (“common units”) of the Operating Partnership as of March 31, 2026. The remaining 4% of the common units are held by third parties.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as a Maryland corporation in September 1993. Our principal executive offices are located at 401 Wilshire Boulevard, Suite 700, Santa Monica, California 90401. Our telephone number is (310) 394-6000. </w:t>
      </w:r>
    </w:p>
    <w:p>
      <w:pPr>
        <w:pStyle w:val="TextBody"/>
        <w:bidi w:val="0"/>
        <w:spacing w:before="36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our “at the market” offering program (the “ATM Program”), we previously entered into an equity distribution agreement, dated November 12, 2024, with J.P. Morgan Securities LLC, Deutsche Bank Securities Inc., Goldman Sachs &amp; Co. LLC, BMO Capital Markets Corp. and TD Securities (USA) LLC, as sales agents, pursuant to which we may offer and sell shares of our common stock having an aggregate offering price of up to $500 million from time to time. From the period from March 31, 2026 to May 8, 2026, we issued approximately 0.9 million shares of our common stock under the ATM Program at a weighted average price of $19.99 per share, generating gross proceeds of approximately $18.3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30, 2026, we acquired Annapolis Mall, a regional retail center totaling approximately 1.5 million square feet in Annapolis, Maryland, for a total purchase price of $260.0 million and the adjacent 13.1 acre vacant Sears parcel for $12.0 million. The acquisition was funded with cash on hand and $150.0 million of borrowings on our revolving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The Macerich Company, a Maryland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to be offered by us in this offering </w:t>
            </w:r>
          </w:p>
        </w:tc>
        <w:tc>
          <w:tcPr>
            <w:tcW w:w="6328" w:type="dxa"/>
            <w:tcBorders/>
          </w:tcPr>
          <w:p>
            <w:pPr>
              <w:pStyle w:val="TableContents"/>
              <w:bidi w:val="0"/>
              <w:spacing w:before="0" w:after="283"/>
              <w:jc w:val="left"/>
              <w:rPr/>
            </w:pPr>
            <w:r>
              <w:rPr/>
              <w:t xml:space="preserve">16,000,000 shares. We have also granted the underwriters a 30-day option to purchase up to 2,400,000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to be outstanding after this offering </w:t>
            </w:r>
          </w:p>
        </w:tc>
        <w:tc>
          <w:tcPr>
            <w:tcW w:w="6328" w:type="dxa"/>
            <w:tcBorders/>
          </w:tcPr>
          <w:p>
            <w:pPr>
              <w:pStyle w:val="TableContents"/>
              <w:bidi w:val="0"/>
              <w:spacing w:before="0" w:after="283"/>
              <w:jc w:val="left"/>
              <w:rPr/>
            </w:pPr>
            <w:r>
              <w:rPr/>
              <w:t xml:space="preserve">277,381,187 shares (279,781,187 shares if the underwriters exercise their option to purchase additional shares from us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and common units to be outstanding after this offering </w:t>
            </w:r>
          </w:p>
        </w:tc>
        <w:tc>
          <w:tcPr>
            <w:tcW w:w="6327" w:type="dxa"/>
            <w:tcBorders/>
          </w:tcPr>
          <w:p>
            <w:pPr>
              <w:pStyle w:val="TableContents"/>
              <w:bidi w:val="0"/>
              <w:spacing w:before="0" w:after="283"/>
              <w:jc w:val="left"/>
              <w:rPr/>
            </w:pPr>
            <w:r>
              <w:rPr/>
              <w:t xml:space="preserve">291,170,346 shares of common stock and common units (or 293,570,346 shares of common stock and common units if the underwriters exercise their option to purchase additional shares from us in full).(1)(2)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NYSE symbol for our common stock </w:t>
            </w:r>
          </w:p>
        </w:tc>
        <w:tc>
          <w:tcPr>
            <w:tcW w:w="6327" w:type="dxa"/>
            <w:tcBorders/>
          </w:tcPr>
          <w:p>
            <w:pPr>
              <w:pStyle w:val="TableContents"/>
              <w:bidi w:val="0"/>
              <w:spacing w:before="0" w:after="283"/>
              <w:jc w:val="left"/>
              <w:rPr/>
            </w:pPr>
            <w:r>
              <w:rPr/>
              <w:t>“</w:t>
            </w:r>
            <w:r>
              <w:rPr/>
              <w:t xml:space="preserve">MAC”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estimate that the net proceeds from this offering will be approximately $    million ($    million if the underwriters exercise their option to purchase additional shares from us in full), after deducting underwriting discounts and commissions and our estimated offering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will contribute the net proceeds from any sales of shares of our common stock hereunder to the Operating Partnership in exchange for securities of the Operating Partnership that have economic interests substantially similar to those of our common stock. The Operating Partnership intends to use the net proceeds from this offering to repay borrowings under our revolving credit facility, which were used primarily to fund the acquisition of Annapolis Mall, and for general corporate purposes, including to acquire additional properties and to fund strategic leasing capital investments at Annapolis Mall. Pending such use, the Operating Partnership may invest the net proceeds in short-term, interest-bearing deposit accounts.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outstanding after this offering is based upon 261,381,187 shares of common stock outstanding as of May 8, 2026. The number of shares of common stock to be outstanding after this offering does not include, as of May 8, 2026, 5,092,028 shares reserved for issuance in connection with equity-based compensation awards under The Macerich Company 2003 Equity Incentive Plan, as amended and restated.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common units outstanding as of May 8, 2026. Includes 4,475,864 common units held by limited partners other than the Company and 9,313,295 long-term incentive plan units. Subject to limits in the partnership agreement for the Operating Partnership, common units may be exchanged for cash or, at our option, shares of our common stock on a one-for-one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8" w:type="dxa"/>
            <w:tcBorders/>
          </w:tcPr>
          <w:p>
            <w:pPr>
              <w:pStyle w:val="TableContents"/>
              <w:bidi w:val="0"/>
              <w:spacing w:before="0" w:after="283"/>
              <w:jc w:val="left"/>
              <w:rPr/>
            </w:pPr>
            <w:r>
              <w:rPr/>
              <w:t xml:space="preserve">Before investing in the shares of our common stock, you should carefully read and consider the information set forth in “Risk Factors” beginning on page S-3 of this prospectus supplement and all other information appearing elsewhere and in the documents incorporated herein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73418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other information contained in this prospectus supplement and the accompanying prospectus, you should carefully consider the risks described below and in the documents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shares of our common stock could decline due to the materialization of any of these risks, and you may lose all or part of your investment. This prospectus supplement, the accompanying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for the year ended December 31, 2025 and (ii) documents we file with the SEC after the date of this prospectus supplement and which are deemed incorporated by reference in this prospectus supplement. See “Where You Can Find More Information and Incorporation by Reference.”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price of our common stock has and may continue to fluctuate significantly, which may make it difficult for you to sell the common stock when you want or at prices you find attractive. </w:t>
      </w:r>
    </w:p>
    <w:p>
      <w:pPr>
        <w:pStyle w:val="TextBody"/>
        <w:bidi w:val="0"/>
        <w:spacing w:before="240" w:after="0"/>
        <w:jc w:val="left"/>
        <w:rPr>
          <w:rFonts w:ascii="Times New Roman" w:hAnsi="Times New Roman"/>
          <w:sz w:val="20"/>
        </w:rPr>
      </w:pPr>
      <w:r>
        <w:rPr>
          <w:rFonts w:ascii="Times New Roman" w:hAnsi="Times New Roman"/>
          <w:sz w:val="20"/>
        </w:rPr>
        <w:t xml:space="preserve">The price of our common stock on the NYSE constantly changes and has been subject to significant price fluctuations. Our stock price can fluctuate as a result of a variety of factors, many of which are beyond our control. These factors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operating results 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the goals established under the Path Forward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government shutdowns, ongoing military conflicts and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funds from operations or earnings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ability of our centers to generate sufficient revenues to meet operating and other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anchor or tenant bankruptcies, closures, mergers or consolidations;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local economic and real estate conditions in geographic locations where we have a high concentration of centers;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by public or private mall companies or others, including competition for both acquisition of centers and for tenants to occupy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and elevated interest rates; the potential impact of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our failure to qualify or maintain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our joint venture agreements and other risks associated with our joint venture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uninsured losses, including losses from casualty events or natural disasters, and possible environmental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impacts from any future pandemic, epidemic or outbreak of any highly infectious disease on the U.S., regional and global economies and on our financial condition and results of operations and the financial condition and results of operations of our tenants;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decision by any of our significant stockholders to sell substantial amounts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issuances of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realization of any of the other risk factors included in, or incorporated by reference to,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these and other factors, investors who purchase our common stock in this offering may experience a decrease, which could be substantial and rapid, in the market price of our common stock, including decreases unrelated to our operating performance or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issuances and sales of common stock or securities convertible into or exchangeable for common stock may adversely affect the market price for our common stock and may cause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issuances and sales of common stock or securities convertible into or exchangeable for common stock, or the perception that such issuances and sales could occur, may cause prevailing market prices for our common stock to decline and may adversely affect our ability to raise additional capital in the financial markets at a time and price favorable to us. Any additional future issuance of our common stock will reduce the percentage of our common stock owned by investors purchasing shares in this offering that do not participate in future issuances. In most circumstances, stockholders will not be entitled to vote on whether or not we issue additional shares of common stock. In addition, depending on the terms and pricing of an additional offering of our common stock and the value of our properties, our stockholders may experience dilution in both the book value and the market value of their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73418_3"/>
      <w:bookmarkEnd w:id="5"/>
      <w:r>
        <w:rPr>
          <w:rFonts w:ascii="Times New Roman" w:hAnsi="Times New Roman"/>
          <w:b/>
          <w:sz w:val="20"/>
        </w:rPr>
        <w:t xml:space="preserve">IMPORTANT INFORMATION RELATED TO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that we incorporate by reference, contain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prospectus supplement and the accompanying prospectus, including the documents that we incorporate by reference, and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 including as a result of any increased borrowing costs on the Company’s outstanding floating 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“Risk Factors” in this prospectus supplement and in our Annual Report on Form 10-K for the year ended December 31, 2025, as well as our other reports filed with the SEC, which disclosures are incorporated herein by reference. You are cautioned not to place undue reliance on these forward-looking statements, which speak only as of the date of this prospectus supplement. We do not intend, and we undertake no obligation, to update any forward-looking information to reflect events or circumstances after the date of this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73418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$    million ($    million if the underwriters exercise their option to purchase additional shares from us in full), after deducting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We will contribute the net proceeds from any sales of shares of our common stock hereunder to the Operating Partnership in exchange for securities of the Operating Partnership that have economic interests substantially similar to those of our common stock. The Operating Partnership intends to use the net proceeds from this offering to repay borrowings under our revolving credit facility, which were used primarily to fund the acquisition of Annapolis Mall, and for general corporate purposes, including to acquire additional properties and to fund strategic leasing capital investments at Annapolis Mall. Pending such use, the Operating Partnership may invest the net proceeds in short-term, interest-bearing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As of May 8, 2026, we had $250.0 million of borrowings outstanding under our revolving credit facility. Our revolving credit facility bears interest at the Secured Overnight Financing Rate, or SOFR, plus an applicable margin. As of May 8, 2026, our revolving credit facility bore interest at SOFR plus a spread of 1.90%. Our revolving credit facility matures on March 1, 2029, with an option for us to extend maturity until March 1, 2030. </w:t>
      </w:r>
    </w:p>
    <w:p>
      <w:pPr>
        <w:pStyle w:val="TextBody"/>
        <w:bidi w:val="0"/>
        <w:spacing w:before="240" w:after="0"/>
        <w:jc w:val="left"/>
        <w:rPr>
          <w:rFonts w:ascii="Times New Roman" w:hAnsi="Times New Roman"/>
          <w:sz w:val="20"/>
        </w:rPr>
      </w:pPr>
      <w:r>
        <w:rPr>
          <w:rFonts w:ascii="Times New Roman" w:hAnsi="Times New Roman"/>
          <w:sz w:val="20"/>
        </w:rPr>
        <w:t xml:space="preserve">Affiliates of certain of the underwriters are lenders and, in certain cases, agents under our revolving credit facility. To the extent that we use the net proceeds from this offering to repay amounts we have borrowed, may borrow or re-borrow in the future under our revolving credit facility, such underwriter will receive their pro rata portion of any of the net proceeds from this offering that we use to repay any such amounts.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73418_6"/>
      <w:bookmarkEnd w:id="7"/>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is the representative of the 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1"/>
        <w:gridCol w:w="122"/>
        <w:gridCol w:w="60"/>
        <w:gridCol w:w="1110"/>
        <w:gridCol w:w="62"/>
      </w:tblGrid>
      <w:tr>
        <w:trPr/>
        <w:tc>
          <w:tcPr>
            <w:tcW w:w="88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8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122"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8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851"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85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16,000,000</w:t>
            </w:r>
          </w:p>
        </w:tc>
        <w:tc>
          <w:tcPr>
            <w:tcW w:w="62" w:type="dxa"/>
            <w:tcBorders/>
            <w:vAlign w:val="bottom"/>
          </w:tcPr>
          <w:p>
            <w:pPr>
              <w:pStyle w:val="TableContents"/>
              <w:bidi w:val="0"/>
              <w:spacing w:before="0" w:after="283"/>
              <w:jc w:val="left"/>
              <w:rPr/>
            </w:pPr>
            <w:r>
              <w:rPr/>
              <w:t> </w:t>
            </w:r>
          </w:p>
        </w:tc>
      </w:tr>
      <w:tr>
        <w:trPr/>
        <w:tc>
          <w:tcPr>
            <w:tcW w:w="8851"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an additional 2,400,000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the Company. Such amounts are shown assuming both no exercise and full exercise of the underwriters’ option to purchase 2,400,000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1"/>
        <w:gridCol w:w="222"/>
        <w:gridCol w:w="146"/>
        <w:gridCol w:w="1147"/>
        <w:gridCol w:w="60"/>
        <w:gridCol w:w="222"/>
        <w:gridCol w:w="165"/>
        <w:gridCol w:w="1198"/>
        <w:gridCol w:w="64"/>
      </w:tblGrid>
      <w:tr>
        <w:trPr/>
        <w:tc>
          <w:tcPr>
            <w:tcW w:w="698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Paid by the Company</w:t>
            </w:r>
          </w:p>
        </w:tc>
        <w:tc>
          <w:tcPr>
            <w:tcW w:w="222" w:type="dxa"/>
            <w:tcBorders/>
            <w:vAlign w:val="bottom"/>
          </w:tcPr>
          <w:p>
            <w:pPr>
              <w:pStyle w:val="TableContents"/>
              <w:bidi w:val="0"/>
              <w:spacing w:before="0" w:after="283"/>
              <w:jc w:val="left"/>
              <w:rPr/>
            </w:pPr>
            <w:r>
              <w:rPr/>
              <w:t>  </w:t>
            </w:r>
          </w:p>
        </w:tc>
        <w:tc>
          <w:tcPr>
            <w:tcW w:w="12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6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2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19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98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19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underwriters to the public will initially be offered at the initial public offering price set forth on the cover of this prospectus supplement. Any shares sold by the underwriters to securities dealers may be sold at a discount of up to $    per share from the initial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with the underwriters, subject to certain exceptions, not to dispose of or hedge any of its common stock or securities convertible into or exchangeable for shares of common stock during the period from the date of this prospectus supplement continuing through the date 30 days after the date of this prospectus supplement, except with the prior written consent of the representative. This agreement does not apply to any existing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executive officers and the Company’s directors have entered into lock-up agreements with the representative. Under these agreements, subject to certain exceptions (including transfers for charitable and estate planning purposes, selling shares to cover taxes upon the vesting, settlement or exercise of restricted stock units or performance share awards, written plans meeting the requirements of Rule 10b5-1 under the Securities Exchange Act of 1934, as amended (the “Exchange Act”); provided that no shares subject to such plan are transferred during the lock-up period, and transfers pursuant to a transaction involving a change of control of the Company), none of the executive officers or the directors may, without the prior written consent of the representative, directly or indirectly, offer for sale, sell, pledge, enter into any swap or other derivatives transaction that transfers to another any of the economic benefits or risks of ownership of the Company’s common stock, or otherwise dispose of any shares of the Company’s common stock or any securities that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into or exchanged for any shares of the Company’s common stock during the period from the date of this prospectus supplement continuing through the date 30 days after the date of this prospectus supplement. At any time and without public notice, the representative may, in its sole discretion, release some or all of the securities from these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NYSE,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the total expenses of the offering, excluding underwriting discounts and commissions,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indemnify the several underwriters against certain liabilities, including liabilities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As described under “Use of Proceeds,” the Company intends to use a portion of the net proceeds from this offering to repay borrowings outstanding under our revolving credit facility. Affiliates of certain of the underwriters participating in this offering are lenders under our revolving credit facility. To the extent that net proceeds from this offering are used to repay borrowings outstanding under our revolving credit facility, those underwriters and/or affiliates, as applicable, will receive proceeds from this offering through the repayment of that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may in the future provide, a variety of these services to the Company and to persons and entities with relationships with the Company,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an offer to the public of any securities may not be made in that Relevant Member State prior to the publication of a prospectus supplement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securities shall result in a requirement for the Company or any of the underwriters to publish a prospectus supplement pursuant to Article 3 of the Prospectus Regulation or a supplemental prospectus supplement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the offering of the securities falls within one of the exceptions specified in Part 1 of Schedule 1 of the Public Offers and Admissions to Trading Regulations 2024 (the “POATRs”) and, accordingly, there will not be a prospectus supplement prepared or published for the purposes of the POATRs. This prospectus supplement does not constitute a prospectus supplement for the purposes of the POATRs. </w:t>
      </w:r>
    </w:p>
    <w:p>
      <w:pPr>
        <w:pStyle w:val="TextBody"/>
        <w:bidi w:val="0"/>
        <w:spacing w:before="240" w:after="0"/>
        <w:jc w:val="left"/>
        <w:rPr>
          <w:rFonts w:ascii="Times New Roman" w:hAnsi="Times New Roman"/>
          <w:sz w:val="20"/>
        </w:rPr>
      </w:pPr>
      <w:r>
        <w:rPr>
          <w:rFonts w:ascii="Times New Roman" w:hAnsi="Times New Roman"/>
          <w:sz w:val="20"/>
        </w:rPr>
        <w:t xml:space="preserve">An offer to the public of any shares may not be made in the United Kingdom, except that an offer to the public in the United Kingdom of any shares may be made at any time under the following exemptions: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persons (other than qualified investors as defined in paragraph 15 of Schedule 1 to the POATRs) in the United Kingdom subject to obtaining the prior consent of the relevant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supplement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the securities may not be offered or sold, or made the subject of an invitation for subscription or purchase, nor may this prospectus supplement or any other document or material in connection with the offer or sale, or invitation for subscription or purchase of the securities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securities to which this prospectus supplement relates may be illiquid and/or subject to restrictions on their resale. Prospective purchasers of the securities should conduct their own due diligence on the securities. If you do not understand the contents of this prospectus supplement,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publicly offered in Switzerland and will not be listed on the SIX Swiss Exchange(“SIX”)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us or the securities has been or will be filed with or approved by any Swiss regulatory authority. In particular, this prospectus supplement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73418_7"/>
      <w:bookmarkEnd w:id="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this offering will be passed upon for us by Goodwin Procter LLP, Boston, Massachusetts, and by Venable LLP, Baltimore, Maryland, with respect to matters of Maryland law. Certain legal matters in connection with this offering will be passed upon for our underwriters by Skadden, Arps, Slate, Meagher &amp; Flom LLP, New York, New York. </w:t>
      </w:r>
    </w:p>
    <w:p>
      <w:pPr>
        <w:pStyle w:val="TextBody"/>
        <w:bidi w:val="0"/>
        <w:spacing w:before="480" w:after="0"/>
        <w:jc w:val="center"/>
        <w:rPr>
          <w:rFonts w:ascii="Times New Roman" w:hAnsi="Times New Roman"/>
          <w:b/>
          <w:sz w:val="20"/>
        </w:rPr>
      </w:pPr>
      <w:bookmarkStart w:id="9" w:name="supprom73418_8"/>
      <w:bookmarkEnd w:id="9"/>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requirements of the Exchange Act, and in accordance with the Exchange Act, we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incorporated by reference herein is an important part of this prospectus supplement. Any statement contained in a document which is incorporated by reference in this prospectus supplement is automatically updated and superseded if information contained in this prospectus supplement, or information that we later file with the SEC prior to the termination of this offering, modifies or replaces this information. Our Exchange Act file number is 001-12504. We are incorporating by reference the documents listed below (excluding any portions of such documents that have been “furnished” but not “filed” for purposes of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4">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w:t>
            </w:r>
            <w:hyperlink r:id="rId6">
              <w:r>
                <w:rPr>
                  <w:rStyle w:val="InternetLink"/>
                  <w:rFonts w:ascii="Times New Roman" w:hAnsi="Times New Roman"/>
                  <w:sz w:val="20"/>
                </w:rPr>
                <w:t>Current Report on Form 8-K</w:t>
              </w:r>
            </w:hyperlink>
            <w:r>
              <w:rPr>
                <w:rFonts w:ascii="Times New Roman" w:hAnsi="Times New Roman"/>
                <w:sz w:val="20"/>
              </w:rPr>
              <w:t xml:space="preserve"> filed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w:t>
            </w:r>
            <w:hyperlink r:id="rId7">
              <w:r>
                <w:rPr>
                  <w:rStyle w:val="InternetLink"/>
                  <w:rFonts w:ascii="Times New Roman" w:hAnsi="Times New Roman"/>
                  <w:sz w:val="20"/>
                </w:rPr>
                <w:t>Registration Statement on Form 8-A</w:t>
              </w:r>
            </w:hyperlink>
            <w:r>
              <w:rPr>
                <w:rFonts w:ascii="Times New Roman" w:hAnsi="Times New Roman"/>
                <w:sz w:val="20"/>
              </w:rPr>
              <w:t xml:space="preserve">, filed on November 13, 1998, as updated by </w:t>
            </w:r>
            <w:hyperlink r:id="rId8">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supplement and prior to the termination of this offering,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supplement is delivered, a copy of any or all of the documents incorporated by reference in this prospectus supplement. You may request a copy of these filings, and any exhibits we have specifically incorporated by reference as an exhibit in this prospectus supplement,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an interest in a fractional share or multiple shares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and/or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purchase contracts relating to a specified number of shares of common stock, preferred stock or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of these classes or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“MAC.” On August 3, 2023, the last reported sale price of our common stock on the NYSE was $12.59 per share. As of the date of this prospectus, none of the other securities that we may offer by this prospectus is listed on any national securities exchange or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rom73418_5">
        <w:r>
          <w:rPr>
            <w:rStyle w:val="InternetLink"/>
            <w:rFonts w:ascii="Times New Roman" w:hAnsi="Times New Roman"/>
            <w:b/>
            <w:sz w:val="24"/>
          </w:rPr>
          <w:t>Risk Factors</w:t>
        </w:r>
      </w:hyperlink>
      <w:r>
        <w:rPr>
          <w:rFonts w:ascii="Times New Roman" w:hAnsi="Times New Roman"/>
          <w:b/>
          <w:sz w:val="24"/>
        </w:rPr>
        <w:t xml:space="preserve">” beginning on page 4 of this prospectus, as well as the Risk Factors contained in the applicable prospectus supplement and in the documents we incorporate by reference in this prospectus to read about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3">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4">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6">
              <w:r>
                <w:rPr>
                  <w:rStyle w:val="InternetLink"/>
                  <w:rFonts w:ascii="Times New Roman" w:hAnsi="Times New Roman"/>
                  <w:sz w:val="20"/>
                </w:rPr>
                <w:t>THE MACERICH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8">
              <w:r>
                <w:rPr>
                  <w:rStyle w:val="InternetLink"/>
                  <w:rFonts w:ascii="Times New Roman" w:hAnsi="Times New Roman"/>
                  <w:sz w:val="20"/>
                </w:rPr>
                <w:t>DESCRIPTION OF OUR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1">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4">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5">
              <w:r>
                <w:rPr>
                  <w:rStyle w:val="InternetLink"/>
                  <w:rFonts w:ascii="Times New Roman" w:hAnsi="Times New Roman"/>
                  <w:sz w:val="20"/>
                </w:rPr>
                <w:t>DESCRIPTION OF STOCK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6">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7">
              <w:r>
                <w:rPr>
                  <w:rStyle w:val="InternetLink"/>
                  <w:rFonts w:ascii="Times New Roman" w:hAnsi="Times New Roman"/>
                  <w:sz w:val="20"/>
                </w:rPr>
                <w:t>MATERIAL UNITED STATES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8">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1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2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rom73418_2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73418_1"/>
      <w:bookmarkEnd w:id="1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the context otherwise requires, references in this prospectus to the “Company,”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rPr>
      </w:pPr>
      <w:bookmarkStart w:id="11" w:name="rom73418_2"/>
      <w:bookmarkEnd w:id="1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73418_3"/>
      <w:bookmarkEnd w:id="12"/>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0">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on February 24,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11">
              <w:r>
                <w:rPr>
                  <w:rStyle w:val="InternetLink"/>
                  <w:rFonts w:ascii="Times New Roman" w:hAnsi="Times New Roman"/>
                  <w:sz w:val="20"/>
                </w:rPr>
                <w:t>Proxy Statement on Schedule 14A</w:t>
              </w:r>
            </w:hyperlink>
            <w:r>
              <w:rPr>
                <w:rFonts w:ascii="Times New Roman" w:hAnsi="Times New Roman"/>
                <w:sz w:val="20"/>
              </w:rPr>
              <w:t xml:space="preserve"> for our 2023 Annual Meeting of Stockholders, filed on April 21, 2023, that are incorporated by reference in our Annual Report on Form 10-K for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2">
              <w:r>
                <w:rPr>
                  <w:rStyle w:val="InternetLink"/>
                  <w:rFonts w:ascii="Times New Roman" w:hAnsi="Times New Roman"/>
                  <w:sz w:val="20"/>
                </w:rPr>
                <w:t>Quarterly Report on Form 10-Q</w:t>
              </w:r>
            </w:hyperlink>
            <w:r>
              <w:rPr>
                <w:rFonts w:ascii="Times New Roman" w:hAnsi="Times New Roman"/>
                <w:sz w:val="20"/>
              </w:rPr>
              <w:t xml:space="preserve"> for the period ended March 31, 2023, filed on May 8,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3">
              <w:r>
                <w:rPr>
                  <w:rStyle w:val="InternetLink"/>
                  <w:rFonts w:ascii="Times New Roman" w:hAnsi="Times New Roman"/>
                  <w:sz w:val="20"/>
                </w:rPr>
                <w:t>February  1, 2023</w:t>
              </w:r>
            </w:hyperlink>
            <w:r>
              <w:rPr>
                <w:rFonts w:ascii="Times New Roman" w:hAnsi="Times New Roman"/>
                <w:sz w:val="20"/>
              </w:rPr>
              <w:t xml:space="preserve"> and </w:t>
            </w:r>
            <w:hyperlink r:id="rId14">
              <w:r>
                <w:rPr>
                  <w:rStyle w:val="InternetLink"/>
                  <w:rFonts w:ascii="Times New Roman" w:hAnsi="Times New Roman"/>
                  <w:sz w:val="20"/>
                </w:rPr>
                <w:t>June 5,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w:t>
            </w:r>
            <w:hyperlink r:id="rId15">
              <w:r>
                <w:rPr>
                  <w:rStyle w:val="InternetLink"/>
                  <w:rFonts w:ascii="Times New Roman" w:hAnsi="Times New Roman"/>
                  <w:sz w:val="20"/>
                </w:rPr>
                <w:t>Registration Statement on Form 8-A</w:t>
              </w:r>
            </w:hyperlink>
            <w:r>
              <w:rPr>
                <w:rFonts w:ascii="Times New Roman" w:hAnsi="Times New Roman"/>
                <w:sz w:val="20"/>
              </w:rPr>
              <w:t xml:space="preserve">, filed on November 13, 1998, as updated by </w:t>
            </w:r>
            <w:hyperlink r:id="rId16">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2022, filed on February 24, 2023,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73418_4"/>
      <w:bookmarkEnd w:id="1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rising interest rates and inflation and its impact on the financial condition and results of operation of us and our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COVID-19 or any future pandemic, epidemic or outbreak of any other highly infectious disease on the U.S., regional and global economies and the financial condition and on our results of operations and the results of operations of our tenants; the liquidity of real estate investments,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2022,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73418_5"/>
      <w:bookmarkEnd w:id="1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 </w:t>
      </w:r>
    </w:p>
    <w:p>
      <w:pPr>
        <w:pStyle w:val="TextBody"/>
        <w:bidi w:val="0"/>
        <w:spacing w:before="480" w:after="0"/>
        <w:jc w:val="center"/>
        <w:rPr>
          <w:rFonts w:ascii="Times New Roman" w:hAnsi="Times New Roman"/>
          <w:b/>
          <w:sz w:val="20"/>
        </w:rPr>
      </w:pPr>
      <w:bookmarkStart w:id="15" w:name="rom73418_6"/>
      <w:bookmarkEnd w:id="15"/>
      <w:r>
        <w:rPr>
          <w:rFonts w:ascii="Times New Roman" w:hAnsi="Times New Roman"/>
          <w:b/>
          <w:sz w:val="20"/>
        </w:rPr>
        <w:t xml:space="preserve">THE MACERICH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2023, the Operating Partnership owned or had an ownership interest in 44 regional town centers (including office, hotel and residential space adjacent to these shopping centers), four community/power shopping centers, one office property and one redevelopment property. These 50 regional town centers, community/power shopping centers, office and redevelopment properties consist of approximately 47 million square feet of gross leasable area (“GLA”) and are referred to herein as the “Centers”. </w:t>
      </w:r>
    </w:p>
    <w:p>
      <w:pPr>
        <w:pStyle w:val="TextBody"/>
        <w:bidi w:val="0"/>
        <w:spacing w:before="240" w:after="0"/>
        <w:jc w:val="left"/>
        <w:rPr>
          <w:rFonts w:ascii="Times New Roman" w:hAnsi="Times New Roman"/>
          <w:sz w:val="20"/>
        </w:rPr>
      </w:pPr>
      <w:r>
        <w:rPr>
          <w:rFonts w:ascii="Times New Roman" w:hAnsi="Times New Roman"/>
          <w:sz w:val="20"/>
        </w:rPr>
        <w:t xml:space="preserve">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 </w:t>
      </w:r>
    </w:p>
    <w:p>
      <w:pPr>
        <w:pStyle w:val="TextBody"/>
        <w:bidi w:val="0"/>
        <w:spacing w:before="240" w:after="0"/>
        <w:jc w:val="left"/>
        <w:rPr>
          <w:rFonts w:ascii="Times New Roman" w:hAnsi="Times New Roman"/>
          <w:sz w:val="20"/>
        </w:rPr>
      </w:pPr>
      <w:r>
        <w:rPr>
          <w:rFonts w:ascii="Times New Roman" w:hAnsi="Times New Roman"/>
          <w:sz w:val="20"/>
        </w:rPr>
        <w:t xml:space="preserve">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 </w:t>
      </w:r>
    </w:p>
    <w:p>
      <w:pPr>
        <w:pStyle w:val="TextBody"/>
        <w:bidi w:val="0"/>
        <w:spacing w:before="480" w:after="0"/>
        <w:jc w:val="center"/>
        <w:rPr>
          <w:rFonts w:ascii="Times New Roman" w:hAnsi="Times New Roman"/>
          <w:b/>
          <w:sz w:val="20"/>
        </w:rPr>
      </w:pPr>
      <w:bookmarkStart w:id="16" w:name="rom73418_7"/>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 </w:t>
      </w:r>
    </w:p>
    <w:p>
      <w:pPr>
        <w:pStyle w:val="TextBody"/>
        <w:bidi w:val="0"/>
        <w:spacing w:before="480" w:after="0"/>
        <w:jc w:val="center"/>
        <w:rPr>
          <w:rFonts w:ascii="Times New Roman" w:hAnsi="Times New Roman"/>
          <w:b/>
          <w:sz w:val="20"/>
        </w:rPr>
      </w:pPr>
      <w:bookmarkStart w:id="17" w:name="rom73418_8"/>
      <w:bookmarkEnd w:id="17"/>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2023, we had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215,545,896 shares of common stock (including 289,971 shares of unvested restricted common stock) issued and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1,961,345 shares of Series D Cumulative Convertible Preferred Stock, par value $0.01 per share (the “Series D Preferred Stock”), authorized, none of which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2023, 26,371 shares of our common stock were reserved for issuance upon exercise of outstanding employee stock options and employee stock appreciation rights, 294,858 shares of our common stock were reserved for issuance upon the payment of stock units issued under our Eligible Directors’ Deferred Compensation/Phantom Stock Plan and 2003 Equity Incentive Plan, each as amended and restated, 12,756,129 shares of our common stock were reserved for issuance upon redemption of outstanding limited partnership units and long-term incentive plan units (including 3,771,847 of unvested long-term incentive plan units) of the Operating Partnership, and 100,777 shares of our common stock were reserved for issuance upon redemption of outstanding limited partnership units of MACWH, LP. </w:t>
      </w:r>
    </w:p>
    <w:p>
      <w:pPr>
        <w:pStyle w:val="TextBody"/>
        <w:bidi w:val="0"/>
        <w:spacing w:before="240" w:after="0"/>
        <w:jc w:val="left"/>
        <w:rPr>
          <w:rFonts w:ascii="Times New Roman" w:hAnsi="Times New Roman"/>
          <w:sz w:val="20"/>
        </w:rPr>
      </w:pPr>
      <w:r>
        <w:rPr>
          <w:rFonts w:ascii="Times New Roman" w:hAnsi="Times New Roman"/>
          <w:sz w:val="20"/>
        </w:rPr>
        <w:t xml:space="preserve">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and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Internal Revenue Code of 1986, as amended (the “Code”), both of the following conditions relating to ownership of shares must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capital stock must be beneficially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“Material United States Federal Income Tax Considerations—Classification and Taxation of The Macerich Company as a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Restricts the Ownership and Transfer of Shares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exceptions specified in our Charter, no stockholder may own, or be deemed to own by virtue of the attribution provisions of the Code, in excess of the lesser of 5% in value or in number of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Excess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preferred stock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“closely held” under Section 856(h) of the Code (determined without regard to Code Section 856(h)(2) and by deleting the words “the last half of” in the first sentence of Code Section 542(a)(2) in applying Code Section 856(h));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disqualification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representing shares of our common stock and our preferred stock bear, or will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Provisions of Maryland Law and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ownership limit, certain provisions of our Charter, Bylaws and the MGCL may delay, defer or prevent a change of control or other transaction in which holders of some, or a majority, of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Director Nominations and New Business; Procedures for Special Meetings Requested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notice of the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Exemptions for Our Original Founders from the Maryland Business Combination Act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immediately prior to the date in question, was the beneficial owner, directly or indirectly, of 10% or more of the voting power of the then outstanding stock of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Non-Stockholder Constituencies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Our Charter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3-803 – requiring classification of the board of directors into three classes;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3-804(a)—requiring that stockholders may remove any director by the affirmative vote of at least two-thirds of all the votes entitled to be cast by the stockholders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3-804(b)—requiring that the number of directors be fixed only by vote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3-805—requiring that a special meeting of stockholders may be called only upon the written request of stockholders entitled to cast at least a majority of all the votes entitled to be cast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hAnsi="Times New Roman"/>
          <w:i/>
          <w:sz w:val="20"/>
        </w:rPr>
        <w:t>(i.e.</w:t>
      </w:r>
      <w:r>
        <w:rPr>
          <w:rFonts w:ascii="Times New Roman" w:hAnsi="Times New Roman"/>
          <w:sz w:val="20"/>
        </w:rPr>
        <w:t xml:space="preserv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Election; Removal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ten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directors are required to be elected by the affirmative vote of a majority of all the votes cast on the matter at a meeting at which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Dissolution </w:t>
      </w:r>
    </w:p>
    <w:p>
      <w:pPr>
        <w:pStyle w:val="TextBody"/>
        <w:bidi w:val="0"/>
        <w:spacing w:before="120" w:after="0"/>
        <w:jc w:val="left"/>
        <w:rPr>
          <w:rFonts w:ascii="Times New Roman" w:hAnsi="Times New Roman"/>
          <w:sz w:val="20"/>
        </w:rPr>
      </w:pPr>
      <w:r>
        <w:rPr>
          <w:rFonts w:ascii="Times New Roman" w:hAnsi="Times New Roman"/>
          <w:sz w:val="20"/>
        </w:rPr>
        <w:t xml:space="preserve">Our dissolution must be approved by our board of directors and by the affirmative vote of not less than a majority of all of the votes entitled to be cast on the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Vote for Extraordinary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73418_9"/>
      <w:bookmarkEnd w:id="18"/>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Stock—Selected Provisions of Maryland Law and of Our Charter and Bylaws.” Our common stock is not subject to assessment.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73418_10"/>
      <w:bookmarkEnd w:id="19"/>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class or series of preferred stock offered by that supplement will describe the specific terms of those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that preferred stock offered, the liquidation preference per share and the offering price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on that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those limitations described elsewhere in this prospectus and any prospectus supplement, any other limitations on actual and constructive ownership and restrictions on transfer, in each case as may be appropriate to preserve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that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common stock and to all equity securities issued by us the terms of which expressly provide that those equity securities rank junior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so provide or which do not expressly provide that those equity securities rank junior or senior to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expressly provide that those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payment made on shares of a series or class of preferred stock will first be credited against the earliest accrued but unpaid dividend due with respect to shares of that series or class that remains payable.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 distribution by dividend, redemption or other acquisition of stock or otherwise is permitted under the MGCL, amounts that would be needed, if we were to be dissolved at the time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to satisfy the preferential rights upon dissolution of stockholders whose preferential rights on dissolution are superior to those receiving the distribution will not be added to our total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so states, the shares of preferred stock will be subject to mandatory redemption or redemption at our option, in whole or in part, in each case on the terms, at the times and at the redemption prices set forth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Each notice of redemption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the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the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as to the shares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fewer than all the shares of preferred stock of any series are to be redeemed, the notice mailed to each holder will also specify the number of shares of preferred stock to be redeemed from each holder. If notice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not have any voting rights, except as set forth below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provided otherwise for any series or class of preferred stock, so long as any shares of preferred stock of a series or class remain outstanding,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 (i) 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shares of any series or class of preferred stock are convertible into shares of common stock will be set forth in the applicable prospectus supplement. The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into which the preferred stock is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manner of calculation of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our option or the option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73418_11"/>
      <w:bookmarkEnd w:id="20"/>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depository receipts entitled to receive the distribution. Such distributions by the depositary are subject to certain obligations of holders to file proofs, certificates, and other information and to pay certain charges and expenses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or exchanged. No fractional shares will be issued upon conversion or exchange. If conversion or exchange will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 </w:t>
      </w:r>
    </w:p>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preferred stock shall have been converted into capital stock that is not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any reports and communications from us which it receives with respect to the related shares of preferred stock. Neither we nor the depositary will be liable if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73418_12"/>
      <w:bookmarkEnd w:id="2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We use the term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a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whole or in part, in global form and, if so, the terms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which may be fixed or variable, or the method for determining the rate,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of a series, including the terms of subordination, if any, of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a series will be repurchased by us at the option of the holders thereof and the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in which the series of debt securities will be denominated;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30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payable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established with respect to a series of debt securities pursuant to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the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Indentures;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omission,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of 1939 or the applicable rules or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issuance, authorization and delivery of debt securities of any unissued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an indenture, provided that such action shall not adversely affect the interests of holders or any related coupons in any material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respect; provided further, that any change to an indenture to conform it to this prospectus or the applicable prospectus supplement shall be deemed not to adversely affect the interests of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stated fixed maturity of, or any payment date of any installment of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interest on, or reducing any premium payable upon the redemption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supplemental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of 1939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73418_13"/>
      <w:bookmarkEnd w:id="2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of the warrants,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warrants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warrants and the underlying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may accelerate the date by which the warrants must be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U.S. dollars only and will be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warrants, holders of the warrants to purchase shares of common stock or preferred stock will not have any rights of holders of shares of common stock or preferred stock, including the right to receive payments of dividends, if any, or to exercise any applicable right to vote.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underlying securities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expiration;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referred to above are in turn influenced by various political, economic and other factors that can affect the trading price of the underlying securities and should be carefully considered prior to making any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that number or amount of underlying securities, at the exercise price, as will in each case be described in the prospectus supplement relating to the offered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close of business on the Expiration Date (which may be extended by us),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the warrant agreement without the consent of the holders of the warrants issued under the agreement to effect changes that are not inconsistent with the provisions of the warrants and that do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73418_14"/>
      <w:bookmarkEnd w:id="23"/>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rights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persons entitled to participate in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rights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commences and the date on which the right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rights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the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Rights will be exercisable for U.S. dollars only and will be in registered form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73418_15"/>
      <w:bookmarkEnd w:id="24"/>
      <w:r>
        <w:rPr>
          <w:rFonts w:ascii="Times New Roman" w:hAnsi="Times New Roman"/>
          <w:b/>
          <w:sz w:val="20"/>
        </w:rPr>
        <w:t xml:space="preserve">DESCRIPTION OF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provide for settlement by delivery by us or on our behalf of shares of the underlying security, or they may provide for settlement by reference or linkage to the value, performance or trading price of the underlying security.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depository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73418_16"/>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units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have the units traded on a securities exchange or securities quotation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for U.S. federal income tax purposes, the purchase price paid for the units is to be allocated among the component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73418_17"/>
      <w:bookmarkEnd w:id="26"/>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The Macerich Company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 </w:t>
      </w:r>
    </w:p>
    <w:p>
      <w:pPr>
        <w:pStyle w:val="TextBody"/>
        <w:bidi w:val="0"/>
        <w:spacing w:before="24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 </w:t>
      </w:r>
    </w:p>
    <w:p>
      <w:pPr>
        <w:pStyle w:val="TextBody"/>
        <w:bidi w:val="0"/>
        <w:spacing w:before="24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20%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 </w:t>
      </w:r>
    </w:p>
    <w:p>
      <w:pPr>
        <w:pStyle w:val="TextBody"/>
        <w:bidi w:val="0"/>
        <w:spacing w:before="240" w:after="0"/>
        <w:jc w:val="left"/>
        <w:rPr>
          <w:rFonts w:ascii="Times New Roman" w:hAnsi="Times New Roman"/>
          <w:sz w:val="20"/>
        </w:rPr>
      </w:pPr>
      <w:r>
        <w:rPr>
          <w:rFonts w:ascii="Times New Roman" w:hAnsi="Times New Roman"/>
          <w:sz w:val="20"/>
        </w:rPr>
        <w:t xml:space="preserve">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(i) made in the normal course of our business primarily to manage risk of interest rate or price changes or currency fluctuations with respect to borrowings made or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Allocations with Respect to Contributed Properties.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of The Macerich Company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nonresident alien individuals or non-U.S.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before January 1, 2026, and subject to certain limitations, non-corporate taxpayers may deduct up to 20% of certain qualified business income, including “qualified REIT dividends.” Qualified REIT dividends eligible for this 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24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taxes do not apply, or do not apply as favorably, to dividends from REITs. However, if a distribution is treated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exchange, repurchase, or other disposition of our stock as long as at all times during the five-year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and may be subject to the 30% branch profits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(ii) is a “qualified collective investment vehicle” (within the meaning of Section 897(k) (3)(B) of the Code) and (iii) maintains records of persons holding 5% or more of the class of interests described in clauses (i)(A) or (i)(B)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 </w:t>
      </w:r>
    </w:p>
    <w:p>
      <w:pPr>
        <w:pStyle w:val="TextBody"/>
        <w:bidi w:val="0"/>
        <w:spacing w:before="240" w:after="0"/>
        <w:jc w:val="left"/>
        <w:rPr>
          <w:rFonts w:ascii="Times New Roman" w:hAnsi="Times New Roman"/>
          <w:sz w:val="20"/>
        </w:rPr>
      </w:pPr>
      <w:r>
        <w:rPr>
          <w:rFonts w:ascii="Times New Roman" w:hAnsi="Times New Roman"/>
          <w:sz w:val="20"/>
        </w:rPr>
        <w:t xml:space="preserve">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of our stock and distributions treated as gain from the sale or exchange of our stock under the rules described above under “—Dividends,” will not be subject to U.S. federal income or withholding tax, unless such gain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considerations discussed above. Consequently, prospective investors should consult their own tax advisors regarding the effect of state, local and foreign tax laws on an investment in our common stock or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240" w:after="0"/>
        <w:jc w:val="left"/>
        <w:rPr>
          <w:rFonts w:ascii="Times New Roman" w:hAnsi="Times New Roman"/>
          <w:sz w:val="20"/>
        </w:rPr>
      </w:pPr>
      <w:r>
        <w:rPr>
          <w:rFonts w:ascii="Times New Roman" w:hAnsi="Times New Roman"/>
          <w:sz w:val="20"/>
        </w:rPr>
        <w:t xml:space="preserve">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that is a nonresident alien individual or a non-U.S.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Holder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Non-U.S. Holder is not present in the United States for 183 days or more in the taxable year, and (iii)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 on “withholdable payments” made to FFIs and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73418_18"/>
      <w:bookmarkEnd w:id="2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that are incorporated into this prospectus by reference. </w:t>
      </w:r>
    </w:p>
    <w:p>
      <w:pPr>
        <w:pStyle w:val="TextBody"/>
        <w:bidi w:val="0"/>
        <w:spacing w:before="480" w:after="0"/>
        <w:jc w:val="center"/>
        <w:rPr>
          <w:rFonts w:ascii="Times New Roman" w:hAnsi="Times New Roman"/>
          <w:b/>
          <w:sz w:val="20"/>
        </w:rPr>
      </w:pPr>
      <w:bookmarkStart w:id="28" w:name="rom73418_19"/>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under this prospectus in one or more transactions from time to time,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may sell some or all of the securities offered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or call options, forward or other derivative transactions relating to the shares of common stock or other securities being registered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privately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As applicable, we, and our respective underwriters, dealers or agents, reserve the right to accept or reject all or part of any proposed purchase of the securities. We will set forth in a prospectus supplement the terms and offering of securities by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concessions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options, if any, under which underwriters may purchase additional securities from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the proceeds we will receive from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on which such securities may be listed,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or preferred stock may be issued upon conversion of our debt securities or in exchange for our debt securities. Our common stock may also be issued upon conversion of our preferred stock. Additionally, securities may be issued upon exercise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i/>
          <w:sz w:val="20"/>
        </w:rPr>
        <w:t>Underwriters, Agents and Dealers.</w:t>
      </w:r>
      <w:r>
        <w:rPr>
          <w:rFonts w:ascii="Times New Roman" w:hAnsi="Times New Roman"/>
          <w:sz w:val="20"/>
        </w:rPr>
        <w:t xml:space="preserve"> Any underwritten offering may be on a best efforts or a firm commitment basis. The securities may be offered to the 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may grant underwriters who participate in the distribution of our securities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who may become involved in the sale of our securities may engage in transactions with and perform other services for us for which they receive compensation. </w:t>
      </w:r>
    </w:p>
    <w:p>
      <w:pPr>
        <w:pStyle w:val="TextBody"/>
        <w:bidi w:val="0"/>
        <w:spacing w:before="240" w:after="0"/>
        <w:jc w:val="left"/>
        <w:rPr>
          <w:rFonts w:ascii="Times New Roman" w:hAnsi="Times New Roman"/>
          <w:sz w:val="20"/>
        </w:rPr>
      </w:pPr>
      <w:r>
        <w:rPr>
          <w:rFonts w:ascii="Times New Roman" w:hAnsi="Times New Roman"/>
          <w:i/>
          <w:sz w:val="20"/>
        </w:rPr>
        <w:t>Stabilization Activities.</w:t>
      </w:r>
      <w:r>
        <w:rPr>
          <w:rFonts w:ascii="Times New Roman" w:hAnsi="Times New Roman"/>
          <w:sz w:val="20"/>
        </w:rPr>
        <w:t xml:space="preserve"> 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0"/>
        <w:jc w:val="left"/>
        <w:rPr>
          <w:rFonts w:ascii="Times New Roman" w:hAnsi="Times New Roman"/>
          <w:sz w:val="20"/>
        </w:rPr>
      </w:pPr>
      <w:r>
        <w:rPr>
          <w:rFonts w:ascii="Times New Roman" w:hAnsi="Times New Roman"/>
          <w:i/>
          <w:sz w:val="20"/>
        </w:rPr>
        <w:t>Direct Sales.</w:t>
      </w:r>
      <w:r>
        <w:rPr>
          <w:rFonts w:ascii="Times New Roman" w:hAnsi="Times New Roman"/>
          <w:sz w:val="20"/>
        </w:rPr>
        <w:t xml:space="preserve"> We may also sell securities directly to one or more purchasers without using underwriters or agents. In this case, no agents, underwriters or 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 </w:t>
      </w:r>
    </w:p>
    <w:p>
      <w:pPr>
        <w:pStyle w:val="TextBody"/>
        <w:bidi w:val="0"/>
        <w:spacing w:before="240" w:after="0"/>
        <w:jc w:val="left"/>
        <w:rPr>
          <w:rFonts w:ascii="Times New Roman" w:hAnsi="Times New Roman"/>
          <w:sz w:val="20"/>
        </w:rPr>
      </w:pPr>
      <w:r>
        <w:rPr>
          <w:rFonts w:ascii="Times New Roman" w:hAnsi="Times New Roman"/>
          <w:i/>
          <w:sz w:val="20"/>
        </w:rPr>
        <w:t>Trading Market and Listing of Securities.</w:t>
      </w:r>
      <w:r>
        <w:rPr>
          <w:rFonts w:ascii="Times New Roman" w:hAnsi="Times New Roman"/>
          <w:sz w:val="20"/>
        </w:rPr>
        <w:t xml:space="preserve"> Any common stock sold pursuant to a prospectus supplement will be listed on the NYSE, subject to official notice of issuance. The securities other than common stock may or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by Selling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not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securityholders will sell all or any portion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will supply the selling securityholders and any stock exchange upon which the securities are listed with reasonable quantities of copies of this prospectus. To the extent required by Rule 424 under the Securities Act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resale or redistribution by a selling securityholder,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73418_20"/>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will be passed upon for us by Goodwin Procter LLP, Boston, Massachusetts and by Venable LLP, Baltimore, Maryland, with respect to matters of Maryland law. </w:t>
      </w:r>
    </w:p>
    <w:p>
      <w:pPr>
        <w:pStyle w:val="TextBody"/>
        <w:bidi w:val="0"/>
        <w:spacing w:before="480" w:after="0"/>
        <w:jc w:val="center"/>
        <w:rPr>
          <w:rFonts w:ascii="Times New Roman" w:hAnsi="Times New Roman"/>
          <w:b/>
          <w:sz w:val="20"/>
        </w:rPr>
      </w:pPr>
      <w:bookmarkStart w:id="30" w:name="rom73418_21"/>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and the related financial statement schedule III—Real Estate and Accumulated Depreciation as of December 31, 2022 and 2021 and for each of the years in the three year period ended December 31, 2022, and management’s assessment of the effectiveness of the Company’s internal control over financial reporting as of December 31, 2022,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260" w:after="0"/>
        <w:jc w:val="center"/>
        <w:rPr>
          <w:rFonts w:ascii="Times New Roman" w:hAnsi="Times New Roman"/>
          <w:b/>
          <w:sz w:val="28"/>
        </w:rPr>
      </w:pPr>
      <w:r>
        <w:rPr>
          <w:rFonts w:ascii="Times New Roman" w:hAnsi="Times New Roman"/>
          <w:b/>
          <w:sz w:val="28"/>
        </w:rPr>
        <w:t xml:space="preserve">16,000,000 Shares </w:t>
      </w:r>
    </w:p>
    <w:p>
      <w:pPr>
        <w:pStyle w:val="TextBody"/>
        <w:bidi w:val="0"/>
        <w:spacing w:before="1120" w:after="0"/>
        <w:jc w:val="center"/>
        <w:rPr>
          <w:rFonts w:ascii="Times New Roman" w:hAnsi="Times New Roman"/>
          <w:b/>
          <w:sz w:val="40"/>
        </w:rPr>
      </w:pPr>
      <w:r>
        <w:rPr>
          <w:rFonts w:ascii="Times New Roman" w:hAnsi="Times New Roman"/>
          <w:b/>
          <w:sz w:val="40"/>
        </w:rPr>
        <w:t xml:space="preserve">The Macerich Company </w:t>
      </w:r>
    </w:p>
    <w:p>
      <w:pPr>
        <w:pStyle w:val="TextBody"/>
        <w:bidi w:val="0"/>
        <w:spacing w:before="1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150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12242/000091224226000016/mac-20251231.htm" TargetMode="External"/><Relationship Id="rId4" Type="http://schemas.openxmlformats.org/officeDocument/2006/relationships/hyperlink" Target="http://www.sec.gov/Archives/edgar/data/../../../ix?doc=/Archives/edgar/data/912242/000119312526170447/d61679ddef14a.htm" TargetMode="External"/><Relationship Id="rId5" Type="http://schemas.openxmlformats.org/officeDocument/2006/relationships/hyperlink" Target="http://www.sec.gov/Archives/edgar/data/../../../ix?doc=/Archives/edgar/data/912242/000091224226000024/mac-20260331.htm" TargetMode="External"/><Relationship Id="rId6" Type="http://schemas.openxmlformats.org/officeDocument/2006/relationships/hyperlink" Target="http://www.sec.gov/Archives/edgar/data/../../../ix?doc=/Archives/edgar/data/0000912242/000119312526077466/d112967d8k.htm" TargetMode="External"/><Relationship Id="rId7" Type="http://schemas.openxmlformats.org/officeDocument/2006/relationships/hyperlink" Target="http://www.sec.gov/Archives/edgar/data/912242/0000898822-98-001028.txt" TargetMode="External"/><Relationship Id="rId8" Type="http://schemas.openxmlformats.org/officeDocument/2006/relationships/hyperlink" Target="http://www.sec.gov/Archives/edgar/data/0000912242/000091224224000026/mac-20231231x10kex41.htm" TargetMode="External"/><Relationship Id="rId9" Type="http://schemas.openxmlformats.org/officeDocument/2006/relationships/image" Target="media/image1.jpeg"/><Relationship Id="rId10" Type="http://schemas.openxmlformats.org/officeDocument/2006/relationships/hyperlink" Target="http://www.sec.gov/Archives/edgar/data/../../../ix?doc=/Archives/edgar/data/912242/000091224223000007/mac-20221231.htm" TargetMode="External"/><Relationship Id="rId11" Type="http://schemas.openxmlformats.org/officeDocument/2006/relationships/hyperlink" Target="http://www.sec.gov/Archives/edgar/data/../../../ix?doc=/Archives/edgar/data/912242/000119312523110538/d469408ddef14a.htm" TargetMode="External"/><Relationship Id="rId12" Type="http://schemas.openxmlformats.org/officeDocument/2006/relationships/hyperlink" Target="http://www.sec.gov/Archives/edgar/data/../../../ix?doc=/Archives/edgar/data/912242/000091224223000013/mac-20230331.htm" TargetMode="External"/><Relationship Id="rId13" Type="http://schemas.openxmlformats.org/officeDocument/2006/relationships/hyperlink" Target="http://www.sec.gov/Archives/edgar/data/../../../ix?doc=/Archives/edgar/data/912242/000119312523021287/d443019d8k.htm" TargetMode="External"/><Relationship Id="rId14" Type="http://schemas.openxmlformats.org/officeDocument/2006/relationships/hyperlink" Target="http://www.sec.gov/Archives/edgar/data/../../../ix?doc=/Archives/edgar/data/0000912242/000119312523160708/d472381d8k.htm" TargetMode="External"/><Relationship Id="rId15" Type="http://schemas.openxmlformats.org/officeDocument/2006/relationships/hyperlink" Target="http://www.sec.gov/Archives/edgar/data/912242/0000898822-98-001028.txt" TargetMode="External"/><Relationship Id="rId16" Type="http://schemas.openxmlformats.org/officeDocument/2006/relationships/hyperlink" Target="http://www.sec.gov/Archives/edgar/data/912242/000091224223000007/mac-20221231x10kex41.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100</Pages>
  <Words>48236</Words>
  <Characters>250174</Characters>
  <CharactersWithSpaces>299154</CharactersWithSpaces>
  <Paragraphs>2554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