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June 30, 2020</w:t>
      </w:r>
    </w:p>
    <w:p>
      <w:pPr>
        <w:spacing w:after="0" w:line="189" w:lineRule="exact"/>
        <w:rPr>
          <w:sz w:val="24"/>
          <w:szCs w:val="24"/>
          <w:color w:val="auto"/>
        </w:rPr>
      </w:pPr>
    </w:p>
    <w:p>
      <w:pPr>
        <w:ind w:left="660" w:right="2240" w:hanging="652"/>
        <w:spacing w:after="0" w:line="402" w:lineRule="auto"/>
        <w:tabs>
          <w:tab w:leader="none" w:pos="251"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 xml:space="preserve">TRANSITION REPORT PURSUANT TO SECTION 13 OR 15(d) OF THE SECURITIES EXCHANGE ACT OF 1934 For the transition period from ___________ to </w:t>
      </w:r>
      <w:r>
        <w:rPr>
          <w:rFonts w:ascii="Arial" w:cs="Arial" w:eastAsia="Arial" w:hAnsi="Arial"/>
          <w:sz w:val="18"/>
          <w:szCs w:val="18"/>
          <w:b w:val="1"/>
          <w:bCs w:val="1"/>
          <w:color w:val="auto"/>
        </w:rPr>
        <w:t>___________</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Commission File No. 1-12504</w:t>
      </w:r>
    </w:p>
    <w:p>
      <w:pPr>
        <w:spacing w:after="0" w:line="144"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THE MACERICH COMPANY</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1160" w:right="399" w:bottom="1440" w:gutter="0" w:footer="0" w:header="0"/>
        </w:sectPr>
      </w:pPr>
    </w:p>
    <w:p>
      <w:pPr>
        <w:spacing w:after="0" w:line="202" w:lineRule="exact"/>
        <w:rPr>
          <w:sz w:val="24"/>
          <w:szCs w:val="24"/>
          <w:color w:val="auto"/>
        </w:rPr>
      </w:pPr>
    </w:p>
    <w:p>
      <w:pPr>
        <w:ind w:left="2440"/>
        <w:spacing w:after="0"/>
        <w:rPr>
          <w:sz w:val="20"/>
          <w:szCs w:val="20"/>
          <w:color w:val="auto"/>
        </w:rPr>
      </w:pPr>
      <w:r>
        <w:rPr>
          <w:rFonts w:ascii="Arial" w:cs="Arial" w:eastAsia="Arial" w:hAnsi="Arial"/>
          <w:sz w:val="15"/>
          <w:szCs w:val="15"/>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95-4448705</w:t>
      </w:r>
    </w:p>
    <w:p>
      <w:pPr>
        <w:spacing w:after="0" w:line="95" w:lineRule="exact"/>
        <w:rPr>
          <w:sz w:val="24"/>
          <w:szCs w:val="24"/>
          <w:color w:val="auto"/>
        </w:rPr>
      </w:pPr>
    </w:p>
    <w:p>
      <w:pPr>
        <w:sectPr>
          <w:pgSz w:w="11900" w:h="16838" w:orient="portrait"/>
          <w:cols w:equalWidth="0" w:num="2">
            <w:col w:w="7200" w:space="720"/>
            <w:col w:w="3260"/>
          </w:cols>
          <w:pgMar w:left="320" w:top="1160" w:right="399" w:bottom="1440" w:gutter="0" w:footer="0" w:header="0"/>
          <w:type w:val="continuous"/>
        </w:sectPr>
      </w:pPr>
    </w:p>
    <w:p>
      <w:pPr>
        <w:ind w:left="18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34" w:lineRule="exact"/>
        <w:rPr>
          <w:sz w:val="24"/>
          <w:szCs w:val="24"/>
          <w:color w:val="auto"/>
        </w:rPr>
      </w:pPr>
    </w:p>
    <w:p>
      <w:pPr>
        <w:sectPr>
          <w:pgSz w:w="11900" w:h="16838" w:orient="portrait"/>
          <w:cols w:equalWidth="0" w:num="2">
            <w:col w:w="6260" w:space="720"/>
            <w:col w:w="4200"/>
          </w:cols>
          <w:pgMar w:left="320" w:top="1160" w:right="39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180"/>
          </w:cols>
          <w:pgMar w:left="320" w:top="1160" w:right="399" w:bottom="1440" w:gutter="0" w:footer="0" w:header="0"/>
          <w:type w:val="continuous"/>
        </w:sectPr>
      </w:pPr>
    </w:p>
    <w:p>
      <w:pPr>
        <w:spacing w:after="0" w:line="9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401 Wilshire Boulevard,</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Suite 700,</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Santa Monica,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color w:val="auto"/>
        </w:rPr>
        <w:t>California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2660"/>
        <w:spacing w:after="0"/>
        <w:rPr>
          <w:sz w:val="20"/>
          <w:szCs w:val="20"/>
          <w:color w:val="auto"/>
        </w:rPr>
      </w:pPr>
      <w:r>
        <w:rPr>
          <w:rFonts w:ascii="Arial" w:cs="Arial" w:eastAsia="Arial" w:hAnsi="Arial"/>
          <w:sz w:val="15"/>
          <w:szCs w:val="15"/>
          <w:color w:val="auto"/>
        </w:rPr>
        <w:t>90401</w:t>
      </w:r>
    </w:p>
    <w:p>
      <w:pPr>
        <w:spacing w:after="0" w:line="84" w:lineRule="exact"/>
        <w:rPr>
          <w:sz w:val="24"/>
          <w:szCs w:val="24"/>
          <w:color w:val="auto"/>
        </w:rPr>
      </w:pPr>
    </w:p>
    <w:p>
      <w:pPr>
        <w:sectPr>
          <w:pgSz w:w="11900" w:h="16838" w:orient="portrait"/>
          <w:cols w:equalWidth="0" w:num="5">
            <w:col w:w="1900" w:space="440"/>
            <w:col w:w="640" w:space="340"/>
            <w:col w:w="940" w:space="380"/>
            <w:col w:w="2740" w:space="720"/>
            <w:col w:w="3080"/>
          </w:cols>
          <w:pgMar w:left="320" w:top="1160" w:right="399" w:bottom="1440" w:gutter="0" w:footer="0" w:header="0"/>
          <w:type w:val="continuous"/>
        </w:sectPr>
      </w:pPr>
    </w:p>
    <w:p>
      <w:pPr>
        <w:ind w:left="1500"/>
        <w:spacing w:after="0"/>
        <w:rPr>
          <w:sz w:val="20"/>
          <w:szCs w:val="20"/>
          <w:color w:val="auto"/>
        </w:rPr>
      </w:pPr>
      <w:r>
        <w:rPr>
          <w:rFonts w:ascii="Arial" w:cs="Arial" w:eastAsia="Arial" w:hAnsi="Arial"/>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95" w:lineRule="exact"/>
        <w:rPr>
          <w:sz w:val="24"/>
          <w:szCs w:val="24"/>
          <w:color w:val="auto"/>
        </w:rPr>
      </w:pPr>
    </w:p>
    <w:p>
      <w:pPr>
        <w:sectPr>
          <w:pgSz w:w="11900" w:h="16838" w:orient="portrait"/>
          <w:cols w:equalWidth="0" w:num="2">
            <w:col w:w="7240" w:space="720"/>
            <w:col w:w="3220"/>
          </w:cols>
          <w:pgMar w:left="320" w:top="1160" w:right="39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(310) 394-6000</w:t>
      </w:r>
    </w:p>
    <w:p>
      <w:pPr>
        <w:sectPr>
          <w:pgSz w:w="11900" w:h="16838" w:orient="portrait"/>
          <w:cols w:equalWidth="0" w:num="1">
            <w:col w:w="11180"/>
          </w:cols>
          <w:pgMar w:left="320" w:top="1160" w:right="399" w:bottom="1440" w:gutter="0" w:footer="0" w:header="0"/>
          <w:type w:val="continuous"/>
        </w:sectPr>
      </w:pPr>
    </w:p>
    <w:p>
      <w:pPr>
        <w:spacing w:after="0" w:line="84"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(Registrant's telephone number, including area code)</w:t>
      </w:r>
    </w:p>
    <w:p>
      <w:pPr>
        <w:spacing w:after="0" w:line="51" w:lineRule="exact"/>
        <w:rPr>
          <w:sz w:val="24"/>
          <w:szCs w:val="24"/>
          <w:color w:val="auto"/>
        </w:rPr>
      </w:pPr>
    </w:p>
    <w:p>
      <w:pPr>
        <w:ind w:left="5380"/>
        <w:spacing w:after="0"/>
        <w:rPr>
          <w:sz w:val="20"/>
          <w:szCs w:val="20"/>
          <w:color w:val="auto"/>
        </w:rPr>
      </w:pPr>
      <w:r>
        <w:rPr>
          <w:rFonts w:ascii="Arial" w:cs="Arial" w:eastAsia="Arial" w:hAnsi="Arial"/>
          <w:sz w:val="16"/>
          <w:szCs w:val="16"/>
          <w:color w:val="auto"/>
        </w:rPr>
        <w:t>N/A</w:t>
      </w:r>
    </w:p>
    <w:p>
      <w:pPr>
        <w:ind w:left="288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7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Securities registered pursuant to Section 12(b) of the Securities Act:</w:t>
      </w:r>
    </w:p>
    <w:p>
      <w:pPr>
        <w:sectPr>
          <w:pgSz w:w="11900" w:h="16838" w:orient="portrait"/>
          <w:cols w:equalWidth="0" w:num="1">
            <w:col w:w="11180"/>
          </w:cols>
          <w:pgMar w:left="320" w:top="1160" w:right="399" w:bottom="1440" w:gutter="0" w:footer="0" w:header="0"/>
          <w:type w:val="continuous"/>
        </w:sectPr>
      </w:pPr>
    </w:p>
    <w:p>
      <w:pPr>
        <w:spacing w:after="0" w:line="198"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Title of each class</w:t>
      </w:r>
    </w:p>
    <w:p>
      <w:pPr>
        <w:spacing w:after="0" w:line="63"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Trading symbol</w:t>
      </w:r>
    </w:p>
    <w:p>
      <w:pPr>
        <w:spacing w:after="0" w:line="86"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MAC</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New York Stock Exchange</w:t>
      </w:r>
    </w:p>
    <w:p>
      <w:pPr>
        <w:spacing w:after="0" w:line="189" w:lineRule="exact"/>
        <w:rPr>
          <w:sz w:val="24"/>
          <w:szCs w:val="24"/>
          <w:color w:val="auto"/>
        </w:rPr>
      </w:pPr>
    </w:p>
    <w:p>
      <w:pPr>
        <w:sectPr>
          <w:pgSz w:w="11900" w:h="16838" w:orient="portrait"/>
          <w:cols w:equalWidth="0" w:num="3">
            <w:col w:w="4080" w:space="720"/>
            <w:col w:w="1980" w:space="720"/>
            <w:col w:w="3680"/>
          </w:cols>
          <w:pgMar w:left="320" w:top="1160" w:right="399" w:bottom="1440" w:gutter="0" w:footer="0" w:header="0"/>
          <w:type w:val="continuous"/>
        </w:sectPr>
      </w:pPr>
    </w:p>
    <w:p>
      <w:pPr>
        <w:jc w:val="both"/>
        <w:ind w:right="180" w:firstLine="445"/>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445"/>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6" w:lineRule="exact"/>
        <w:rPr>
          <w:sz w:val="24"/>
          <w:szCs w:val="24"/>
          <w:color w:val="auto"/>
        </w:rPr>
      </w:pPr>
    </w:p>
    <w:p>
      <w:pPr>
        <w:ind w:right="28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jc w:val="right"/>
        <w:ind w:left="380" w:right="520"/>
        <w:spacing w:after="0" w:line="256" w:lineRule="exact"/>
        <w:rPr>
          <w:sz w:val="20"/>
          <w:szCs w:val="20"/>
          <w:color w:val="auto"/>
        </w:rPr>
      </w:pPr>
      <w:r>
        <w:rPr>
          <w:rFonts w:ascii="Arial" w:cs="Arial" w:eastAsia="Arial" w:hAnsi="Arial"/>
          <w:sz w:val="16"/>
          <w:szCs w:val="16"/>
          <w:color w:val="auto"/>
        </w:rPr>
        <w:t xml:space="preserve">Large Accelerated Filer      x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0" w:lineRule="exact"/>
        <w:rPr>
          <w:sz w:val="24"/>
          <w:szCs w:val="24"/>
          <w:color w:val="auto"/>
        </w:rPr>
      </w:pPr>
    </w:p>
    <w:p>
      <w:pPr>
        <w:ind w:right="80" w:firstLine="445"/>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8" w:lineRule="exact"/>
        <w:rPr>
          <w:sz w:val="24"/>
          <w:szCs w:val="24"/>
          <w:color w:val="auto"/>
        </w:rPr>
      </w:pPr>
    </w:p>
    <w:p>
      <w:pPr>
        <w:ind w:left="460"/>
        <w:spacing w:after="0" w:line="184" w:lineRule="exact"/>
        <w:tabs>
          <w:tab w:leader="none" w:pos="85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21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Number of shares outstanding as of August 7, 2020 of the registrant's common stock, par value $0.01 per share: 149,463,668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0"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7"/>
          </w:tcPr>
          <w:p>
            <w:pPr>
              <w:jc w:val="center"/>
              <w:ind w:right="3160"/>
              <w:spacing w:after="0"/>
              <w:rPr>
                <w:sz w:val="20"/>
                <w:szCs w:val="20"/>
                <w:color w:val="auto"/>
              </w:rPr>
            </w:pPr>
            <w:r>
              <w:rPr>
                <w:rFonts w:ascii="Arial" w:cs="Arial" w:eastAsia="Arial" w:hAnsi="Arial"/>
                <w:sz w:val="18"/>
                <w:szCs w:val="18"/>
                <w:b w:val="1"/>
                <w:bCs w:val="1"/>
                <w:color w:val="auto"/>
              </w:rPr>
              <w:t>THE MACERICH COMPANY</w:t>
            </w:r>
          </w:p>
        </w:tc>
        <w:tc>
          <w:tcPr>
            <w:tcW w:w="920" w:type="dxa"/>
            <w:vAlign w:val="bottom"/>
          </w:tcPr>
          <w:p>
            <w:pPr>
              <w:spacing w:after="0"/>
              <w:rPr>
                <w:sz w:val="20"/>
                <w:szCs w:val="20"/>
                <w:color w:val="auto"/>
              </w:rPr>
            </w:pPr>
          </w:p>
        </w:tc>
      </w:tr>
      <w:tr>
        <w:trPr>
          <w:trHeight w:val="364"/>
        </w:trPr>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9"/>
              </w:rPr>
              <w:t>FORM 10-Q</w:t>
            </w:r>
          </w:p>
        </w:tc>
        <w:tc>
          <w:tcPr>
            <w:tcW w:w="920" w:type="dxa"/>
            <w:vAlign w:val="bottom"/>
          </w:tcPr>
          <w:p>
            <w:pPr>
              <w:spacing w:after="0"/>
              <w:rPr>
                <w:sz w:val="24"/>
                <w:szCs w:val="24"/>
                <w:color w:val="auto"/>
              </w:rPr>
            </w:pPr>
          </w:p>
        </w:tc>
      </w:tr>
      <w:tr>
        <w:trPr>
          <w:trHeight w:val="351"/>
        </w:trPr>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0"/>
          </w:tcPr>
          <w:p>
            <w:pPr>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Pr>
          <w:p>
            <w:pPr>
              <w:spacing w:after="0"/>
              <w:rPr>
                <w:sz w:val="24"/>
                <w:szCs w:val="24"/>
                <w:color w:val="auto"/>
              </w:rPr>
            </w:pPr>
          </w:p>
        </w:tc>
      </w:tr>
      <w:tr>
        <w:trPr>
          <w:trHeight w:val="310"/>
        </w:trPr>
        <w:tc>
          <w:tcPr>
            <w:tcW w:w="10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Item 1.</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43"/>
        </w:trPr>
        <w:tc>
          <w:tcPr>
            <w:tcW w:w="1020" w:type="dxa"/>
            <w:vAlign w:val="bottom"/>
          </w:tcPr>
          <w:p>
            <w:pPr>
              <w:spacing w:after="0"/>
              <w:rPr>
                <w:sz w:val="21"/>
                <w:szCs w:val="21"/>
                <w:color w:val="auto"/>
              </w:rPr>
            </w:pPr>
          </w:p>
        </w:tc>
        <w:tc>
          <w:tcPr>
            <w:tcW w:w="9260" w:type="dxa"/>
            <w:vAlign w:val="bottom"/>
            <w:gridSpan w:val="10"/>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Balance Sheets as of</w:t>
              </w:r>
              <w:r>
                <w:rPr>
                  <w:rFonts w:ascii="Arial" w:cs="Arial" w:eastAsia="Arial" w:hAnsi="Arial"/>
                  <w:sz w:val="18"/>
                  <w:szCs w:val="18"/>
                  <w:color w:val="0000FF"/>
                </w:rPr>
                <w:t xml:space="preserve"> June </w:t>
              </w:r>
            </w:hyperlink>
            <w:r>
              <w:rPr>
                <w:rFonts w:ascii="Arial" w:cs="Arial" w:eastAsia="Arial" w:hAnsi="Arial"/>
                <w:sz w:val="18"/>
                <w:szCs w:val="18"/>
                <w:color w:val="0000FF"/>
              </w:rPr>
              <w:t>30</w:t>
            </w:r>
            <w:hyperlink w:anchor="page3">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w:t>
              </w:r>
            </w:hyperlink>
          </w:p>
        </w:tc>
        <w:tc>
          <w:tcPr>
            <w:tcW w:w="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60" w:type="dxa"/>
            <w:vAlign w:val="bottom"/>
            <w:gridSpan w:val="10"/>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Statements of Operations for the three</w:t>
              </w:r>
              <w:r>
                <w:rPr>
                  <w:rFonts w:ascii="Arial" w:cs="Arial" w:eastAsia="Arial" w:hAnsi="Arial"/>
                  <w:sz w:val="18"/>
                  <w:szCs w:val="18"/>
                  <w:color w:val="0000FF"/>
                </w:rPr>
                <w:t xml:space="preserve"> and six months ended June </w:t>
              </w:r>
            </w:hyperlink>
            <w:r>
              <w:rPr>
                <w:rFonts w:ascii="Arial" w:cs="Arial" w:eastAsia="Arial" w:hAnsi="Arial"/>
                <w:sz w:val="18"/>
                <w:szCs w:val="18"/>
                <w:color w:val="0000FF"/>
              </w:rPr>
              <w:t xml:space="preserve">30, </w:t>
            </w:r>
            <w:hyperlink w:anchor="page3">
              <w:r>
                <w:rPr>
                  <w:rFonts w:ascii="Arial" w:cs="Arial" w:eastAsia="Arial" w:hAnsi="Arial"/>
                  <w:sz w:val="18"/>
                  <w:szCs w:val="18"/>
                  <w:u w:val="single" w:color="auto"/>
                  <w:color w:val="0000FF"/>
                </w:rPr>
                <w:t>2020 and 2019</w:t>
              </w:r>
            </w:hyperlink>
          </w:p>
        </w:tc>
        <w:tc>
          <w:tcPr>
            <w:tcW w:w="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0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60" w:type="dxa"/>
            <w:vAlign w:val="bottom"/>
            <w:gridSpan w:val="10"/>
          </w:tcPr>
          <w:p>
            <w:pPr>
              <w:spacing w:after="0"/>
              <w:rPr>
                <w:rFonts w:ascii="Arial" w:cs="Arial" w:eastAsia="Arial" w:hAnsi="Arial"/>
                <w:sz w:val="18"/>
                <w:szCs w:val="18"/>
                <w:color w:val="0000FF"/>
                <w:w w:val="96"/>
              </w:rPr>
            </w:pPr>
            <w:hyperlink w:anchor="page4">
              <w:r>
                <w:rPr>
                  <w:rFonts w:ascii="Arial" w:cs="Arial" w:eastAsia="Arial" w:hAnsi="Arial"/>
                  <w:sz w:val="18"/>
                  <w:szCs w:val="18"/>
                  <w:u w:val="single" w:color="auto"/>
                  <w:color w:val="0000FF"/>
                  <w:w w:val="96"/>
                </w:rPr>
                <w:t xml:space="preserve">Consolidated Statements of Comprehensive </w:t>
              </w:r>
            </w:hyperlink>
            <w:r>
              <w:rPr>
                <w:rFonts w:ascii="Arial" w:cs="Arial" w:eastAsia="Arial" w:hAnsi="Arial"/>
                <w:sz w:val="18"/>
                <w:szCs w:val="18"/>
                <w:color w:val="0000FF"/>
                <w:w w:val="96"/>
              </w:rPr>
              <w:t xml:space="preserve">(Loss) </w:t>
            </w:r>
            <w:hyperlink w:anchor="page4">
              <w:r>
                <w:rPr>
                  <w:rFonts w:ascii="Arial" w:cs="Arial" w:eastAsia="Arial" w:hAnsi="Arial"/>
                  <w:sz w:val="18"/>
                  <w:szCs w:val="18"/>
                  <w:color w:val="0000FF"/>
                  <w:w w:val="96"/>
                </w:rPr>
                <w:t xml:space="preserve">Income for the three and six months ended June </w:t>
              </w:r>
            </w:hyperlink>
            <w:r>
              <w:rPr>
                <w:rFonts w:ascii="Arial" w:cs="Arial" w:eastAsia="Arial" w:hAnsi="Arial"/>
                <w:sz w:val="18"/>
                <w:szCs w:val="18"/>
                <w:color w:val="0000FF"/>
                <w:w w:val="96"/>
              </w:rPr>
              <w:t>30</w:t>
            </w:r>
            <w:hyperlink w:anchor="page4">
              <w:r>
                <w:rPr>
                  <w:rFonts w:ascii="Arial" w:cs="Arial" w:eastAsia="Arial" w:hAnsi="Arial"/>
                  <w:sz w:val="18"/>
                  <w:szCs w:val="18"/>
                  <w:color w:val="0000FF"/>
                  <w:w w:val="96"/>
                </w:rPr>
                <w:t xml:space="preserve">, </w:t>
              </w:r>
              <w:r>
                <w:rPr>
                  <w:rFonts w:ascii="Arial" w:cs="Arial" w:eastAsia="Arial" w:hAnsi="Arial"/>
                  <w:sz w:val="18"/>
                  <w:szCs w:val="18"/>
                  <w:u w:val="single" w:color="auto"/>
                  <w:color w:val="0000FF"/>
                  <w:w w:val="96"/>
                </w:rPr>
                <w:t>2020 and 2019</w:t>
              </w:r>
            </w:hyperlink>
          </w:p>
        </w:tc>
        <w:tc>
          <w:tcPr>
            <w:tcW w:w="9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0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6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Statements of Equity for the three</w:t>
              </w:r>
              <w:r>
                <w:rPr>
                  <w:rFonts w:ascii="Arial" w:cs="Arial" w:eastAsia="Arial" w:hAnsi="Arial"/>
                  <w:sz w:val="18"/>
                  <w:szCs w:val="18"/>
                  <w:color w:val="0000FF"/>
                </w:rPr>
                <w:t xml:space="preserve"> and six months ended June </w:t>
              </w:r>
            </w:hyperlink>
            <w:r>
              <w:rPr>
                <w:rFonts w:ascii="Arial" w:cs="Arial" w:eastAsia="Arial" w:hAnsi="Arial"/>
                <w:sz w:val="18"/>
                <w:szCs w:val="18"/>
                <w:color w:val="0000FF"/>
              </w:rPr>
              <w:t xml:space="preserve">30, </w:t>
            </w:r>
            <w:hyperlink w:anchor="page6">
              <w:r>
                <w:rPr>
                  <w:rFonts w:ascii="Arial" w:cs="Arial" w:eastAsia="Arial" w:hAnsi="Arial"/>
                  <w:sz w:val="18"/>
                  <w:szCs w:val="18"/>
                  <w:u w:val="single" w:color="auto"/>
                  <w:color w:val="0000FF"/>
                </w:rPr>
                <w:t>2020 and 2019</w:t>
              </w:r>
            </w:hyperlink>
          </w:p>
        </w:tc>
        <w:tc>
          <w:tcPr>
            <w:tcW w:w="9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0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60" w:type="dxa"/>
            <w:vAlign w:val="bottom"/>
            <w:gridSpan w:val="1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Statements of </w:t>
              </w:r>
            </w:hyperlink>
            <w:r>
              <w:rPr>
                <w:rFonts w:ascii="Arial" w:cs="Arial" w:eastAsia="Arial" w:hAnsi="Arial"/>
                <w:sz w:val="18"/>
                <w:szCs w:val="18"/>
                <w:color w:val="0000FF"/>
              </w:rPr>
              <w:t xml:space="preserve">Cash </w:t>
            </w:r>
            <w:hyperlink w:anchor="page7">
              <w:r>
                <w:rPr>
                  <w:rFonts w:ascii="Arial" w:cs="Arial" w:eastAsia="Arial" w:hAnsi="Arial"/>
                  <w:sz w:val="18"/>
                  <w:szCs w:val="18"/>
                  <w:color w:val="0000FF"/>
                </w:rPr>
                <w:t xml:space="preserve">Flows </w:t>
              </w:r>
              <w:r>
                <w:rPr>
                  <w:rFonts w:ascii="Arial" w:cs="Arial" w:eastAsia="Arial" w:hAnsi="Arial"/>
                  <w:sz w:val="18"/>
                  <w:szCs w:val="18"/>
                  <w:u w:val="single" w:color="auto"/>
                  <w:color w:val="0000FF"/>
                </w:rPr>
                <w:t>for the six months ended June 30, 2020 and 2019</w:t>
              </w:r>
            </w:hyperlink>
          </w:p>
        </w:tc>
        <w:tc>
          <w:tcPr>
            <w:tcW w:w="9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0"/>
        </w:trPr>
        <w:tc>
          <w:tcPr>
            <w:tcW w:w="10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9260" w:type="dxa"/>
            <w:vAlign w:val="bottom"/>
            <w:gridSpan w:val="10"/>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Financial Statements</w:t>
              </w:r>
            </w:hyperlink>
          </w:p>
        </w:tc>
        <w:tc>
          <w:tcPr>
            <w:tcW w:w="9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84"/>
        </w:trPr>
        <w:tc>
          <w:tcPr>
            <w:tcW w:w="102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29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6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24"/>
                <w:szCs w:val="24"/>
                <w:color w:val="auto"/>
              </w:rPr>
            </w:pPr>
          </w:p>
        </w:tc>
      </w:tr>
      <w:tr>
        <w:trPr>
          <w:trHeight w:val="311"/>
        </w:trPr>
        <w:tc>
          <w:tcPr>
            <w:tcW w:w="102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1A.</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2.</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Unregistered Sales of Equity Securities and Use of Proceeds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3.</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Defaults Upon Senior Securities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84"/>
        </w:trPr>
        <w:tc>
          <w:tcPr>
            <w:tcW w:w="10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4.</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Mine Safety Disclosures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83"/>
        </w:trPr>
        <w:tc>
          <w:tcPr>
            <w:tcW w:w="10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5.</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84"/>
        </w:trPr>
        <w:tc>
          <w:tcPr>
            <w:tcW w:w="10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6.</w:t>
              </w:r>
            </w:hyperlink>
          </w:p>
        </w:tc>
        <w:tc>
          <w:tcPr>
            <w:tcW w:w="926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283"/>
        </w:trPr>
        <w:tc>
          <w:tcPr>
            <w:tcW w:w="1020" w:type="dxa"/>
            <w:vAlign w:val="bottom"/>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Signature</w:t>
              </w:r>
            </w:hyperlink>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6,501,519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6,643,513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497,581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144,035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137,679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148,087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277,866</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1,568,878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1,519,697</w:t>
            </w:r>
          </w:p>
        </w:tc>
        <w:tc>
          <w:tcPr>
            <w:tcW w:w="0" w:type="dxa"/>
            <w:vAlign w:val="bottom"/>
          </w:tcPr>
          <w:p>
            <w:pPr>
              <w:spacing w:after="0"/>
              <w:rPr>
                <w:sz w:val="1"/>
                <w:szCs w:val="1"/>
                <w:color w:val="auto"/>
              </w:rPr>
            </w:pPr>
          </w:p>
        </w:tc>
      </w:tr>
      <w:tr>
        <w:trPr>
          <w:trHeight w:val="263"/>
        </w:trPr>
        <w:tc>
          <w:tcPr>
            <w:tcW w:w="82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9,228,348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8,853,571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4,377,787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4,392,599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1,478,635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817,377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58,672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51,027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114,201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213,586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265,595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107,902</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192,609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273,900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6,539,789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6,022,601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89"/>
              </w:rPr>
              <w:t>Common stock, $0.01 par value, 250,000,000 shares authorized, 149,601,164 and 141,407,650 shares issued</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4,596,684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4,583,911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(1,944,012)</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2,502,397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2,632,262</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186,162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198,708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2,688,559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2,830,970</w:t>
            </w:r>
          </w:p>
        </w:tc>
        <w:tc>
          <w:tcPr>
            <w:tcW w:w="0" w:type="dxa"/>
            <w:vAlign w:val="bottom"/>
          </w:tcPr>
          <w:p>
            <w:pPr>
              <w:spacing w:after="0"/>
              <w:rPr>
                <w:sz w:val="1"/>
                <w:szCs w:val="1"/>
                <w:color w:val="auto"/>
              </w:rPr>
            </w:pPr>
          </w:p>
        </w:tc>
      </w:tr>
      <w:tr>
        <w:trPr>
          <w:trHeight w:val="264"/>
        </w:trPr>
        <w:tc>
          <w:tcPr>
            <w:tcW w:w="824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9,228,348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8,853,571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 June</w:t>
            </w:r>
          </w:p>
        </w:tc>
        <w:tc>
          <w:tcPr>
            <w:tcW w:w="206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For the Six Months Ended June</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ind w:left="120"/>
              <w:spacing w:after="0"/>
              <w:rPr>
                <w:sz w:val="20"/>
                <w:szCs w:val="20"/>
                <w:color w:val="auto"/>
              </w:rPr>
            </w:pPr>
            <w:r>
              <w:rPr>
                <w:rFonts w:ascii="Arial" w:cs="Arial" w:eastAsia="Arial" w:hAnsi="Arial"/>
                <w:sz w:val="14"/>
                <w:szCs w:val="14"/>
                <w:color w:val="auto"/>
              </w:rPr>
              <w:t>Leasing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168,754</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211,022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379,475</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422,030</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13,165</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Management Companies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19,299</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178,587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227,972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405,539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454,494</w:t>
            </w: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133,696</w:t>
            </w:r>
          </w:p>
        </w:tc>
        <w:tc>
          <w:tcPr>
            <w:tcW w:w="0" w:type="dxa"/>
            <w:vAlign w:val="bottom"/>
          </w:tcPr>
          <w:p>
            <w:pPr>
              <w:spacing w:after="0"/>
              <w:rPr>
                <w:sz w:val="1"/>
                <w:szCs w:val="1"/>
                <w:color w:val="auto"/>
              </w:rPr>
            </w:pPr>
          </w:p>
        </w:tc>
      </w:tr>
      <w:tr>
        <w:trPr>
          <w:trHeight w:val="196"/>
        </w:trPr>
        <w:tc>
          <w:tcPr>
            <w:tcW w:w="5800" w:type="dxa"/>
            <w:vAlign w:val="bottom"/>
          </w:tcPr>
          <w:p>
            <w:pPr>
              <w:ind w:left="120"/>
              <w:spacing w:after="0"/>
              <w:rPr>
                <w:sz w:val="20"/>
                <w:szCs w:val="20"/>
                <w:color w:val="auto"/>
              </w:rPr>
            </w:pPr>
            <w:r>
              <w:rPr>
                <w:rFonts w:ascii="Arial" w:cs="Arial" w:eastAsia="Arial" w:hAnsi="Arial"/>
                <w:sz w:val="14"/>
                <w:szCs w:val="14"/>
                <w:color w:val="auto"/>
              </w:rPr>
              <w:t>Leasing expenses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7,677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15,182</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Companies' 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34,706</w:t>
            </w:r>
          </w:p>
        </w:tc>
        <w:tc>
          <w:tcPr>
            <w:tcW w:w="0" w:type="dxa"/>
            <w:vAlign w:val="bottom"/>
          </w:tcPr>
          <w:p>
            <w:pPr>
              <w:spacing w:after="0"/>
              <w:rPr>
                <w:sz w:val="1"/>
                <w:szCs w:val="1"/>
                <w:color w:val="auto"/>
              </w:rPr>
            </w:pPr>
          </w:p>
        </w:tc>
      </w:tr>
      <w:tr>
        <w:trPr>
          <w:trHeight w:val="196"/>
        </w:trPr>
        <w:tc>
          <w:tcPr>
            <w:tcW w:w="5800" w:type="dxa"/>
            <w:vAlign w:val="bottom"/>
          </w:tcPr>
          <w:p>
            <w:pPr>
              <w:ind w:left="120"/>
              <w:spacing w:after="0"/>
              <w:rPr>
                <w:sz w:val="20"/>
                <w:szCs w:val="20"/>
                <w:color w:val="auto"/>
              </w:rPr>
            </w:pPr>
            <w:r>
              <w:rPr>
                <w:rFonts w:ascii="Arial" w:cs="Arial" w:eastAsia="Arial" w:hAnsi="Arial"/>
                <w:sz w:val="14"/>
                <w:szCs w:val="14"/>
                <w:color w:val="auto"/>
              </w:rPr>
              <w:t>REIT general and administrative expenses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4,589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11,550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80,294</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82,385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162,507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163,853</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168,764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174,435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352,172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358,987</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 expense: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0" w:type="dxa"/>
            <w:vAlign w:val="bottom"/>
          </w:tcPr>
          <w:p>
            <w:pPr>
              <w:ind w:left="320"/>
              <w:spacing w:after="0"/>
              <w:rPr>
                <w:sz w:val="20"/>
                <w:szCs w:val="20"/>
                <w:color w:val="auto"/>
              </w:rPr>
            </w:pPr>
            <w:r>
              <w:rPr>
                <w:rFonts w:ascii="Arial" w:cs="Arial" w:eastAsia="Arial" w:hAnsi="Arial"/>
                <w:sz w:val="14"/>
                <w:szCs w:val="14"/>
                <w:color w:val="auto"/>
              </w:rPr>
              <w:t>Related parties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(77,050)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(23,690)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52,841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50,352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105,158</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99,156</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37,109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28,108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75,466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 net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6"/>
        </w:trPr>
        <w:tc>
          <w:tcPr>
            <w:tcW w:w="5800" w:type="dxa"/>
            <w:vAlign w:val="bottom"/>
          </w:tcPr>
          <w:p>
            <w:pPr>
              <w:ind w:left="3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188,798</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211,544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380,280</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434,804</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 income of unconsolidated joint ventures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19,500</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or write down of assets, net</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(9,059)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(40,570)</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13,947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22,790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Net (loss) income attributable to the Company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(25,116)</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15,734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(17,594)</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23,558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common share—attributable to common stockholders: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(0.13)</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144,102,000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141,344,000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142,769,000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2"/>
              </w:rPr>
              <w:t>141,303,000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144,102,000</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141,344,000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142,769,000</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141,303,000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4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4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 June</w:t>
            </w: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For the Six Months Ended June</w:t>
            </w:r>
          </w:p>
        </w:tc>
      </w:tr>
      <w:tr>
        <w:trPr>
          <w:trHeight w:val="192"/>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r>
      <w:tr>
        <w:trPr>
          <w:trHeight w:val="20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13,947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22,790</w:t>
            </w:r>
          </w:p>
        </w:tc>
      </w:tr>
      <w:tr>
        <w:trPr>
          <w:trHeight w:val="197"/>
        </w:trPr>
        <w:tc>
          <w:tcPr>
            <w:tcW w:w="57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(4,281)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(6,326)</w:t>
            </w:r>
          </w:p>
        </w:tc>
      </w:tr>
      <w:tr>
        <w:trPr>
          <w:trHeight w:val="196"/>
        </w:trPr>
        <w:tc>
          <w:tcPr>
            <w:tcW w:w="5780" w:type="dxa"/>
            <w:vAlign w:val="bottom"/>
          </w:tcPr>
          <w:p>
            <w:pPr>
              <w:ind w:left="20"/>
              <w:spacing w:after="0"/>
              <w:rPr>
                <w:sz w:val="20"/>
                <w:szCs w:val="20"/>
                <w:color w:val="auto"/>
              </w:rPr>
            </w:pPr>
            <w:r>
              <w:rPr>
                <w:rFonts w:ascii="Arial" w:cs="Arial" w:eastAsia="Arial" w:hAnsi="Arial"/>
                <w:sz w:val="14"/>
                <w:szCs w:val="14"/>
                <w:color w:val="auto"/>
              </w:rPr>
              <w:t>Comprehensive (loss) income</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(24,982)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4"/>
                <w:szCs w:val="14"/>
                <w:color w:val="auto"/>
              </w:rPr>
              <w:t>9,666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16,464</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w:t>
            </w:r>
          </w:p>
        </w:tc>
      </w:tr>
      <w:tr>
        <w:trPr>
          <w:trHeight w:val="202"/>
        </w:trPr>
        <w:tc>
          <w:tcPr>
            <w:tcW w:w="5780" w:type="dxa"/>
            <w:vAlign w:val="bottom"/>
          </w:tcPr>
          <w:p>
            <w:pPr>
              <w:ind w:left="20"/>
              <w:spacing w:after="0"/>
              <w:rPr>
                <w:sz w:val="20"/>
                <w:szCs w:val="20"/>
                <w:color w:val="auto"/>
              </w:rPr>
            </w:pPr>
            <w:r>
              <w:rPr>
                <w:rFonts w:ascii="Arial" w:cs="Arial" w:eastAsia="Arial" w:hAnsi="Arial"/>
                <w:sz w:val="14"/>
                <w:szCs w:val="14"/>
                <w:color w:val="auto"/>
              </w:rPr>
              <w:t>Comprehensive (loss) income attributable to the Company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(23,371)</w:t>
            </w:r>
          </w:p>
        </w:tc>
        <w:tc>
          <w:tcPr>
            <w:tcW w:w="4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11,453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(22,244)</w:t>
            </w: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17,232</w:t>
            </w:r>
          </w:p>
        </w:tc>
      </w:tr>
      <w:tr>
        <w:trPr>
          <w:trHeight w:val="21"/>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June 30, 2020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ind w:left="500"/>
              <w:spacing w:after="0"/>
              <w:rPr>
                <w:sz w:val="20"/>
                <w:szCs w:val="20"/>
                <w:color w:val="auto"/>
              </w:rPr>
            </w:pPr>
            <w:r>
              <w:rPr>
                <w:rFonts w:ascii="Arial" w:cs="Arial" w:eastAsia="Arial" w:hAnsi="Arial"/>
                <w:sz w:val="13"/>
                <w:szCs w:val="13"/>
                <w:b w:val="1"/>
                <w:bCs w:val="1"/>
                <w:color w:val="auto"/>
                <w:w w:val="85"/>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1, 2020</w:t>
            </w:r>
          </w:p>
        </w:tc>
        <w:tc>
          <w:tcPr>
            <w:tcW w:w="10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141,572,289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4,590,709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(2,042,688)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(15,446)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2,533,991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190,369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2,724,360</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(25,116)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(25,116)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(1,611)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(26,727)</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1,745</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share and unit-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45,171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4,210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4,210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4,210</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141,568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w w:val="91"/>
              </w:rPr>
              <w:t>Distributions paid ($0.10 per share)</w:t>
            </w:r>
          </w:p>
        </w:tc>
        <w:tc>
          <w:tcPr>
            <w:tcW w:w="116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(14,278)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(14,278)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(14,278)</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dividend</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7,759,280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82,856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Redemption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Arial" w:cs="Arial" w:eastAsia="Arial" w:hAnsi="Arial"/>
                <w:sz w:val="13"/>
                <w:szCs w:val="13"/>
                <w:color w:val="auto"/>
              </w:rPr>
              <w:t>Balance at June 30, 2020</w:t>
            </w: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149,601,164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4,596,684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(2,082,082)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(13,701)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2,502,397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186,162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2,688,559</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ind w:left="500"/>
              <w:spacing w:after="0"/>
              <w:rPr>
                <w:sz w:val="20"/>
                <w:szCs w:val="20"/>
                <w:color w:val="auto"/>
              </w:rPr>
            </w:pPr>
            <w:r>
              <w:rPr>
                <w:rFonts w:ascii="Arial" w:cs="Arial" w:eastAsia="Arial" w:hAnsi="Arial"/>
                <w:sz w:val="13"/>
                <w:szCs w:val="13"/>
                <w:b w:val="1"/>
                <w:bCs w:val="1"/>
                <w:color w:val="auto"/>
                <w:w w:val="85"/>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1, 2019</w:t>
            </w:r>
          </w:p>
        </w:tc>
        <w:tc>
          <w:tcPr>
            <w:tcW w:w="10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141,332,786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4,574,600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(1,714,789)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(6,511)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2,854,713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230,556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3,085,269</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15,734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15,734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(1,787)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13,947</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share and unit-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4,982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3,373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3,373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3,373</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w w:val="98"/>
              </w:rPr>
              <w:t>Distributions declared ($0.75 per</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(106,042)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(106,042)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(106,042)</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(24,115)</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w w:val="97"/>
              </w:rPr>
              <w:t>Contributions from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2019</w:t>
            </w: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141,364,568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4,578,620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(1,805,097)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2,764,144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205,226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2,969,370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141,407,650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4,583,911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(1,944,012)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2,632,262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198,708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2,830,970</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(17,594)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(17,594)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(17,996)</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(4,650)</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share and unit-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126,088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9,813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9,813</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141,568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w w:val="91"/>
              </w:rPr>
              <w:t>Distributions paid ($0.85 per share)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(120,476)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(120,476)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(120,476)</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dividend</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7,759,280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(10,061)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(10,061)</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166,578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11,677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(11,677)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June 30, 2020</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149,601,164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4,596,684</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(2,082,082)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2,502,397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186,162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2,688,559</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141,221,712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4,567,643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(1,614,357)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2,950,232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3,188,432</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23,558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23,558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22,790</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ASC 842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(6,326)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(6,326)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95,056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10,038</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26,800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Distributions declared ($1.50 per</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(212,095)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(212,095)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(212,095)</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(32,458)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(32,458)</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(864)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864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June 30,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141,364,568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4,578,620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(1,805,097)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2,764,144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205,226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2,969,370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56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22,790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sale or write down of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15,375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165,751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167,371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premium on mortgage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Amortization of share and unit-based plans</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7,433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Straight-line rent and amortization of above and below market leases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28,690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3,833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Equity in loss (income) of unconsolidated joint ventures</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of income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 in fair value of financing arrangement obligation</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(31,522)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Tenant and other receivables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10,286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Due from affiliates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9,046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(8,221)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165,078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Development, redevelopment, expansion and renovation of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Property improvements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(18,005)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repayment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65,569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Deferred leasing costs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(9,530)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91,350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Contributions to unconsolidated joint ventures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(96,988)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(22,887)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gridSpan w:val="2"/>
            <w:vMerge w:val="restart"/>
          </w:tcPr>
          <w:p>
            <w:pPr>
              <w:jc w:val="right"/>
              <w:ind w:right="277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8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8260" w:type="dxa"/>
            <w:vAlign w:val="bottom"/>
          </w:tcPr>
          <w:p>
            <w:pPr>
              <w:ind w:left="490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mortgages, bank and other notes payable</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660,000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976,000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mortgages, bank and other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(844,560)</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Payment on financing arrangement obligation</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(27,944)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financing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finance lease</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share and unit-based plans</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of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and distributions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(244,553)</w:t>
            </w:r>
          </w:p>
        </w:tc>
        <w:tc>
          <w:tcPr>
            <w:tcW w:w="0" w:type="dxa"/>
            <w:vAlign w:val="bottom"/>
          </w:tcPr>
          <w:p>
            <w:pPr>
              <w:spacing w:after="0"/>
              <w:rPr>
                <w:sz w:val="1"/>
                <w:szCs w:val="1"/>
                <w:color w:val="auto"/>
              </w:rPr>
            </w:pPr>
          </w:p>
        </w:tc>
      </w:tr>
      <w:tr>
        <w:trPr>
          <w:trHeight w:val="237"/>
        </w:trPr>
        <w:tc>
          <w:tcPr>
            <w:tcW w:w="8260" w:type="dxa"/>
            <w:vAlign w:val="bottom"/>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517,921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(143,064)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149,301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507,664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148,428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 for interest, net of amounts capitalized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100,237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105,346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Accrued development costs included in accounts payable and accrued expenses and other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49,953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tcPr>
          <w:p>
            <w:pPr>
              <w:ind w:left="120"/>
              <w:spacing w:after="0"/>
              <w:rPr>
                <w:sz w:val="20"/>
                <w:szCs w:val="20"/>
                <w:color w:val="auto"/>
              </w:rPr>
            </w:pPr>
            <w:r>
              <w:rPr>
                <w:rFonts w:ascii="Arial" w:cs="Arial" w:eastAsia="Arial" w:hAnsi="Arial"/>
                <w:sz w:val="18"/>
                <w:szCs w:val="18"/>
                <w:color w:val="auto"/>
              </w:rPr>
              <w:t>Conversion of Operating Partnership Units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62"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89"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June 30, 2020,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98"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0"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85" w:lineRule="exact"/>
        <w:rPr>
          <w:sz w:val="20"/>
          <w:szCs w:val="20"/>
          <w:color w:val="auto"/>
        </w:rPr>
      </w:pPr>
    </w:p>
    <w:p>
      <w:pPr>
        <w:ind w:left="420" w:right="7600" w:hanging="412"/>
        <w:spacing w:after="0" w:line="424"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6"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254,415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254,071</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20,684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30,049</w:t>
            </w:r>
          </w:p>
        </w:tc>
      </w:tr>
      <w:tr>
        <w:trPr>
          <w:trHeight w:val="263"/>
        </w:trPr>
        <w:tc>
          <w:tcPr>
            <w:tcW w:w="8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275,099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284,120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Mortgage notes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219,186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219,140</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19,935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32,101</w:t>
            </w:r>
          </w:p>
        </w:tc>
      </w:tr>
      <w:tr>
        <w:trPr>
          <w:trHeight w:val="264"/>
        </w:trPr>
        <w:tc>
          <w:tcPr>
            <w:tcW w:w="824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239,121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251,241</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40"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2019.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2019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96"/>
        </w:trPr>
        <w:tc>
          <w:tcPr>
            <w:tcW w:w="8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100,005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102,711</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14,211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46,590</w:t>
            </w:r>
          </w:p>
        </w:tc>
      </w:tr>
      <w:tr>
        <w:trPr>
          <w:trHeight w:val="263"/>
        </w:trPr>
        <w:tc>
          <w:tcPr>
            <w:tcW w:w="852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114,216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149,301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497,581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104,880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43,548</w:t>
            </w:r>
          </w:p>
        </w:tc>
      </w:tr>
      <w:tr>
        <w:trPr>
          <w:trHeight w:val="264"/>
        </w:trPr>
        <w:tc>
          <w:tcPr>
            <w:tcW w:w="852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507,664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148,428</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Pandemic:</w:t>
      </w:r>
    </w:p>
    <w:p>
      <w:pPr>
        <w:spacing w:after="0" w:line="14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March 11, 2020, the novel coronavirus ("COVID-19") outbreak was declared a pandemic by the World Health Organization. As a result, all of the markets that the Company operates in were subject to stay-at-home orders, and the majority of its properties were temporarily closed in part or completely. The majority of the Company’s properties are now open, other than two malls in New York City, and nine indoor California malls that had previously re-opened in May and early June 2020, but were closed for a second time in July 2020 pursuant to a statewide mandate. The Company continues to work with all its stakeholders to mitigate the impact of COVID-19.</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Lease Accounting:</w:t>
      </w:r>
    </w:p>
    <w:p>
      <w:pPr>
        <w:spacing w:after="0" w:line="15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Company's adoption of the Q&amp;A guidance did not have a material impact on the Company’s consolidated financial statements for the six months ended June 30, 2020.</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6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six months ended June 30, 2020 and 2019 (shares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00" w:type="dxa"/>
            <w:vAlign w:val="bottom"/>
          </w:tcPr>
          <w:p>
            <w:pPr>
              <w:spacing w:after="0"/>
              <w:rPr>
                <w:sz w:val="14"/>
                <w:szCs w:val="14"/>
                <w:color w:val="auto"/>
              </w:rPr>
            </w:pPr>
          </w:p>
        </w:tc>
        <w:tc>
          <w:tcPr>
            <w:tcW w:w="21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Six Months Ended June</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1"/>
              </w:rPr>
              <w:t>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(26,727)</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13,947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(17,996)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22,790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Net (loss) income attributable to the Company</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(25,116)</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15,734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23,558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color w:val="auto"/>
              </w:rPr>
              <w:t>Numerator for basic and diluted EPS—net (loss) income attributable to common</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(25,413)</w:t>
            </w:r>
          </w:p>
        </w:tc>
        <w:tc>
          <w:tcPr>
            <w:tcW w:w="18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15,443</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(18,213)</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22,985</w:t>
            </w:r>
          </w:p>
        </w:tc>
        <w:tc>
          <w:tcPr>
            <w:tcW w:w="0" w:type="dxa"/>
            <w:vAlign w:val="bottom"/>
          </w:tcPr>
          <w:p>
            <w:pPr>
              <w:spacing w:after="0"/>
              <w:rPr>
                <w:sz w:val="1"/>
                <w:szCs w:val="1"/>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w w:val="93"/>
              </w:rPr>
              <w:t>Denominator for basic and diluted EPS—weighted average number of common shares</w:t>
            </w:r>
          </w:p>
        </w:tc>
        <w:tc>
          <w:tcPr>
            <w:tcW w:w="240" w:type="dxa"/>
            <w:vAlign w:val="bottom"/>
          </w:tcPr>
          <w:p>
            <w:pPr>
              <w:spacing w:after="0"/>
              <w:rPr>
                <w:sz w:val="19"/>
                <w:szCs w:val="19"/>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8"/>
                <w:szCs w:val="18"/>
                <w:color w:val="auto"/>
              </w:rPr>
              <w:t>144,102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141,344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restart"/>
          </w:tcPr>
          <w:p>
            <w:pPr>
              <w:jc w:val="right"/>
              <w:ind w:right="74"/>
              <w:spacing w:after="0"/>
              <w:rPr>
                <w:sz w:val="20"/>
                <w:szCs w:val="20"/>
                <w:color w:val="auto"/>
              </w:rPr>
            </w:pPr>
            <w:r>
              <w:rPr>
                <w:rFonts w:ascii="Arial" w:cs="Arial" w:eastAsia="Arial" w:hAnsi="Arial"/>
                <w:sz w:val="18"/>
                <w:szCs w:val="18"/>
                <w:color w:val="auto"/>
              </w:rPr>
              <w:t>142,769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141,303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outstanding(1)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EPS—net (loss) income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120" w:hanging="328"/>
        <w:spacing w:after="0" w:line="252" w:lineRule="auto"/>
        <w:tabs>
          <w:tab w:leader="none" w:pos="684" w:val="left"/>
        </w:tabs>
        <w:numPr>
          <w:ilvl w:val="1"/>
          <w:numId w:val="4"/>
        </w:numPr>
        <w:rPr>
          <w:rFonts w:ascii="Arial" w:cs="Arial" w:eastAsia="Arial" w:hAnsi="Arial"/>
          <w:sz w:val="14"/>
          <w:szCs w:val="14"/>
          <w:color w:val="auto"/>
        </w:rPr>
      </w:pPr>
      <w:r>
        <w:rPr>
          <w:rFonts w:ascii="Arial" w:cs="Arial" w:eastAsia="Arial" w:hAnsi="Arial"/>
          <w:sz w:val="14"/>
          <w:szCs w:val="14"/>
          <w:color w:val="auto"/>
        </w:rPr>
        <w:t>Diluted EPS excludes 94,619 and 90,619 convertible preferred partnership units for the three months ended June 30, 2020 and 2019, respectively, and 92,619 and 90,619 for the six months ended June 30, 2020 and 2019, respectively, as their impact was antidilutive. Diluted EPS also excludes 10,504,452 and 10,415,278 Operating Partnership units ("OP Units") for the three months ended June 30, 2020 and 2019, respectively, and 10,491,138 and 10,415,234 OP Units for the six months ended June 30, 2020 and 2019, respectively, as their impact was antidilutive.</w:t>
      </w:r>
    </w:p>
    <w:p>
      <w:pPr>
        <w:spacing w:after="0" w:line="323"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Joint Ventures: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made the following recent financings of its unconsolidated joint ventures:</w:t>
      </w:r>
    </w:p>
    <w:p>
      <w:pPr>
        <w:spacing w:after="0" w:line="158"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119"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September 12, 2019, the Company’s joint venture in Tysons Tower placed a new $190,000 loan on the property that bears interest at an effective rate of 3.38% and matures on November 11, 2029. The Company used its share of the proceeds to pay down its line of credit and for general corporate purposes.</w:t>
      </w:r>
    </w:p>
    <w:p>
      <w:pPr>
        <w:spacing w:after="0" w:line="103"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December 18, 2019, the Company’s joint venture in One Westside placed a $414,600 construction loan on the redevelopment project. The loan bears interest at LIBOR plus 1.70%, which can be reduced to LIBOR plus 1.50% upon the completion of certain conditions, and matures on December 18, 2024. This loan is expected to fund the joint venture's remaining cost to complete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9,391,727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9,424,591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804,103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772,116</w:t>
            </w:r>
          </w:p>
        </w:tc>
      </w:tr>
      <w:tr>
        <w:trPr>
          <w:trHeight w:val="264"/>
        </w:trPr>
        <w:tc>
          <w:tcPr>
            <w:tcW w:w="8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10,195,830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Mortgage and other notes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6,113,603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6,144,685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496,205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565,412</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1,935,289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1,904,145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1,650,733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1,582,465</w:t>
            </w:r>
          </w:p>
        </w:tc>
      </w:tr>
      <w:tr>
        <w:trPr>
          <w:trHeight w:val="263"/>
        </w:trPr>
        <w:tc>
          <w:tcPr>
            <w:tcW w:w="824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10,195,830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1,935,289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1,904,145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(474,686)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(492,350)</w:t>
            </w:r>
          </w:p>
        </w:tc>
      </w:tr>
      <w:tr>
        <w:trPr>
          <w:trHeight w:val="237"/>
        </w:trPr>
        <w:tc>
          <w:tcPr>
            <w:tcW w:w="8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1,460,603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1,411,795</w:t>
            </w:r>
          </w:p>
        </w:tc>
      </w:tr>
      <w:tr>
        <w:trPr>
          <w:trHeight w:val="27"/>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1,568,878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1,519,697</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(107,902)</w:t>
            </w:r>
          </w:p>
        </w:tc>
      </w:tr>
      <w:tr>
        <w:trPr>
          <w:trHeight w:val="237"/>
        </w:trPr>
        <w:tc>
          <w:tcPr>
            <w:tcW w:w="8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1,460,603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1,411,795</w:t>
            </w:r>
          </w:p>
        </w:tc>
      </w:tr>
      <w:tr>
        <w:trPr>
          <w:trHeight w:val="27"/>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4174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20" w:right="80" w:hanging="412"/>
        <w:spacing w:after="0" w:line="273"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include assets of $2,900,500 and $2,932,401 of Pacific Premier Retail LLC (the "PPR Portfolio") as of June 30, 2020 and December 31, 2019, respectively, and liabilities of $1,702,957 and $1,732,976 of the PPR Portfolio as of June 30, 2020 and December 31, 2019, respectively.</w:t>
      </w:r>
    </w:p>
    <w:p>
      <w:pPr>
        <w:spacing w:after="0" w:line="92" w:lineRule="exact"/>
        <w:rPr>
          <w:rFonts w:ascii="Arial" w:cs="Arial" w:eastAsia="Arial" w:hAnsi="Arial"/>
          <w:sz w:val="14"/>
          <w:szCs w:val="14"/>
          <w:color w:val="auto"/>
        </w:rPr>
      </w:pPr>
    </w:p>
    <w:p>
      <w:pPr>
        <w:ind w:left="420" w:right="120" w:hanging="412"/>
        <w:spacing w:after="0" w:line="257"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$3,729 and $5,271 for the three months ended June 30, 2020 and 2019, respectively, and $7,728 and $9,810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3" w:name="page14"/>
    <w:bookmarkEnd w:id="13"/>
    <w:p>
      <w:pPr>
        <w:jc w:val="center"/>
        <w:ind w:right="-110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PPR Portfolio</w:t>
            </w: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Other Joint Ventures</w:t>
            </w:r>
          </w:p>
        </w:tc>
        <w:tc>
          <w:tcPr>
            <w:tcW w:w="3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Three Months Ended June 30, 2020</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38,806</w:t>
            </w:r>
          </w:p>
        </w:tc>
        <w:tc>
          <w:tcPr>
            <w:tcW w:w="100" w:type="dxa"/>
            <w:vAlign w:val="bottom"/>
          </w:tcPr>
          <w:p>
            <w:pPr>
              <w:spacing w:after="0"/>
              <w:rPr>
                <w:sz w:val="21"/>
                <w:szCs w:val="21"/>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139,452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178,258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139,053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178,112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53,145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61,385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53,153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90,660</w:t>
            </w:r>
          </w:p>
        </w:tc>
        <w:tc>
          <w:tcPr>
            <w:tcW w:w="0" w:type="dxa"/>
            <w:vAlign w:val="bottom"/>
          </w:tcPr>
          <w:p>
            <w:pPr>
              <w:spacing w:after="0"/>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49,458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156,862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Three Months Ended June 30, 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45,346</w:t>
            </w:r>
          </w:p>
        </w:tc>
        <w:tc>
          <w:tcPr>
            <w:tcW w:w="100" w:type="dxa"/>
            <w:vAlign w:val="bottom"/>
          </w:tcPr>
          <w:p>
            <w:pPr>
              <w:spacing w:after="0"/>
              <w:rPr>
                <w:sz w:val="21"/>
                <w:szCs w:val="21"/>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172,273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217,619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45,781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185,370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231,151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67,535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54,725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76,866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101,598</w:t>
            </w:r>
          </w:p>
        </w:tc>
        <w:tc>
          <w:tcPr>
            <w:tcW w:w="0" w:type="dxa"/>
            <w:vAlign w:val="bottom"/>
          </w:tcPr>
          <w:p>
            <w:pPr>
              <w:spacing w:after="0"/>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50,618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175,268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225,886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7,788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3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PPR Portfolio</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Joint</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Six Months Ended June 30, 2020</w:t>
            </w: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97,184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311,696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408,880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97,486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318,188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415,674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17,881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114,654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132,535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74,930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107,388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134,456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187,638</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104,284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326,167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430,451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Six Months Ended June 30, 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91,366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345,797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437,163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25,778</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91,983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370,958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462,941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18,142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118,715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136,857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33,994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74,593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108,587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50,246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141,333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191,579</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103,222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338,003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441,225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32,675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21,031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21,230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269" w:right="10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62"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The Company uses an interest rate cap and four interest rate swap agreements to manage the interest rate risk of its floating rate debt. The Company recorded other comprehensive income (loss) related to the marking-to-market of derivative instruments of $1,745 and $(4,281) for the three months ended June 30, 2020 and 2019, respectively, and $(4,650) and $(6,326) for the six months ended June 30, 2020 and 2019, respectively.</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derivatives were outstanding at June 30, 2020:</w:t>
      </w:r>
    </w:p>
    <w:p>
      <w:pPr>
        <w:spacing w:after="0" w:line="19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3"/>
                <w:szCs w:val="13"/>
                <w:color w:val="auto"/>
              </w:rPr>
            </w:pPr>
          </w:p>
        </w:tc>
        <w:tc>
          <w:tcPr>
            <w:tcW w:w="12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vMerge w:val="restart"/>
          </w:tcPr>
          <w:p>
            <w:pPr>
              <w:spacing w:after="0"/>
              <w:rPr>
                <w:sz w:val="13"/>
                <w:szCs w:val="13"/>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Product</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LIBOR Rate</w:t>
            </w:r>
          </w:p>
        </w:tc>
        <w:tc>
          <w:tcPr>
            <w:tcW w:w="100" w:type="dxa"/>
            <w:vAlign w:val="bottom"/>
            <w:vMerge w:val="restart"/>
          </w:tcPr>
          <w:p>
            <w:pPr>
              <w:spacing w:after="0"/>
              <w:rPr>
                <w:sz w:val="13"/>
                <w:szCs w:val="13"/>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3"/>
                <w:szCs w:val="13"/>
                <w:color w:val="auto"/>
              </w:rPr>
            </w:pPr>
          </w:p>
        </w:tc>
        <w:tc>
          <w:tcPr>
            <w:tcW w:w="110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Cap</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Swaps</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9/30/2021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(13,701)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(9,051)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60" w:firstLine="445"/>
        <w:spacing w:after="0" w:line="275" w:lineRule="auto"/>
        <w:rPr>
          <w:sz w:val="20"/>
          <w:szCs w:val="20"/>
          <w:color w:val="auto"/>
        </w:rPr>
      </w:pPr>
      <w:r>
        <w:rPr>
          <w:rFonts w:ascii="Arial" w:cs="Arial" w:eastAsia="Arial" w:hAnsi="Arial"/>
          <w:sz w:val="17"/>
          <w:szCs w:val="17"/>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9"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net consists of the following:</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5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1,510,368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1,520,678</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6,422,525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6,389,458</w:t>
            </w:r>
          </w:p>
        </w:tc>
      </w:tr>
      <w:tr>
        <w:trPr>
          <w:trHeight w:val="27"/>
        </w:trPr>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729,975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726,533</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Equipment and furnishings(1)</w:t>
            </w:r>
          </w:p>
        </w:tc>
        <w:tc>
          <w:tcPr>
            <w:tcW w:w="2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201,653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230,215</w:t>
            </w:r>
          </w:p>
        </w:tc>
      </w:tr>
      <w:tr>
        <w:trPr>
          <w:trHeight w:val="27"/>
        </w:trPr>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89,245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126,165</w:t>
            </w:r>
          </w:p>
        </w:tc>
      </w:tr>
      <w:tr>
        <w:trPr>
          <w:trHeight w:val="237"/>
        </w:trPr>
        <w:tc>
          <w:tcPr>
            <w:tcW w:w="66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8,953,766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8,993,049</w:t>
            </w:r>
          </w:p>
        </w:tc>
      </w:tr>
      <w:tr>
        <w:trPr>
          <w:trHeight w:val="27"/>
        </w:trPr>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depreciation(1)</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(2,452,247)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(2,349,536)</w:t>
            </w:r>
          </w:p>
        </w:tc>
      </w:tr>
      <w:tr>
        <w:trPr>
          <w:trHeight w:val="237"/>
        </w:trPr>
        <w:tc>
          <w:tcPr>
            <w:tcW w:w="66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6,501,519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6,643,513</w:t>
            </w: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140" w:right="120" w:hanging="484"/>
        <w:spacing w:after="0" w:line="273" w:lineRule="auto"/>
        <w:tabs>
          <w:tab w:leader="none" w:pos="1038" w:val="left"/>
        </w:tabs>
        <w:numPr>
          <w:ilvl w:val="0"/>
          <w:numId w:val="7"/>
        </w:numPr>
        <w:rPr>
          <w:rFonts w:ascii="Arial" w:cs="Arial" w:eastAsia="Arial" w:hAnsi="Arial"/>
          <w:sz w:val="14"/>
          <w:szCs w:val="14"/>
          <w:color w:val="auto"/>
        </w:rPr>
      </w:pPr>
      <w:r>
        <w:rPr>
          <w:rFonts w:ascii="Arial" w:cs="Arial" w:eastAsia="Arial" w:hAnsi="Arial"/>
          <w:sz w:val="14"/>
          <w:szCs w:val="14"/>
          <w:color w:val="auto"/>
        </w:rPr>
        <w:t>Equipment and furnishings and accumulated depreciation include the cost and accumulated amortization of ROU assets in connection with finance leases at June 30, 2020 and December 31, 2019 (See Note 8—Leases).</w:t>
      </w:r>
    </w:p>
    <w:p>
      <w:pPr>
        <w:spacing w:after="0" w:line="11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Depreciation expense was $72,519 and $71,453 for the three months ended June 30, 2020 and 2019, respectively, and $145,205 and $142,170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 on sale or write-down of assets, net for the three and six months ended June 30, 2020 and 2019 consist of the following:</w:t>
      </w:r>
    </w:p>
    <w:p>
      <w:pPr>
        <w:spacing w:after="0" w:line="19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 June</w:t>
            </w:r>
          </w:p>
        </w:tc>
        <w:tc>
          <w:tcPr>
            <w:tcW w:w="2360" w:type="dxa"/>
            <w:vAlign w:val="bottom"/>
            <w:gridSpan w:val="5"/>
            <w:vMerge w:val="restart"/>
          </w:tcPr>
          <w:p>
            <w:pPr>
              <w:jc w:val="right"/>
              <w:ind w:right="15"/>
              <w:spacing w:after="0"/>
              <w:rPr>
                <w:sz w:val="20"/>
                <w:szCs w:val="20"/>
                <w:color w:val="auto"/>
              </w:rPr>
            </w:pPr>
            <w:r>
              <w:rPr>
                <w:rFonts w:ascii="Arial" w:cs="Arial" w:eastAsia="Arial" w:hAnsi="Arial"/>
                <w:sz w:val="14"/>
                <w:szCs w:val="14"/>
                <w:b w:val="1"/>
                <w:bCs w:val="1"/>
                <w:color w:val="auto"/>
                <w:w w:val="96"/>
              </w:rPr>
              <w:t>For the Six Months Ended June 30,</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Write-down of assets(1)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(9,059)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(40,610)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Land sales</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(9,059)</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(40,570)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420" w:right="100" w:hanging="412"/>
        <w:spacing w:after="0" w:line="257" w:lineRule="auto"/>
        <w:tabs>
          <w:tab w:leader="none" w:pos="39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impairment losses of $30,063 on Wilton Mall and $6,640 on Paradise Valley Mall during the six months ended June 30, 2020 and a loss of $2,793 on the write-down of non-real estate assets during the three and six months ended June 30, 2020. The impairment losses were due to the reduction of the estimated holding periods of the properties. The remaining amounts for the three and six months ended June 30, 2020 and 2019 mainly pertain to the write off of development costs.</w:t>
      </w:r>
    </w:p>
    <w:p>
      <w:pPr>
        <w:spacing w:after="0" w:line="1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the impairment losses recorded for the six months ended June 30, 2020, as described above:</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Quoted Prices in</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Significant Other</w:t>
            </w: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3"/>
              </w:rPr>
              <w:t>Significant</w:t>
            </w:r>
          </w:p>
        </w:tc>
      </w:tr>
      <w:tr>
        <w:trPr>
          <w:trHeight w:val="270"/>
        </w:trPr>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Total Fair Value</w:t>
            </w:r>
          </w:p>
        </w:tc>
        <w:tc>
          <w:tcPr>
            <w:tcW w:w="140" w:type="dxa"/>
            <w:vAlign w:val="bottom"/>
          </w:tcPr>
          <w:p>
            <w:pPr>
              <w:spacing w:after="0"/>
              <w:rPr>
                <w:sz w:val="23"/>
                <w:szCs w:val="23"/>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Identical Assets</w:t>
            </w: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Unobservable Inputs</w:t>
            </w:r>
          </w:p>
        </w:tc>
        <w:tc>
          <w:tcPr>
            <w:tcW w:w="100" w:type="dxa"/>
            <w:vAlign w:val="bottom"/>
          </w:tcPr>
          <w:p>
            <w:pPr>
              <w:spacing w:after="0"/>
              <w:rPr>
                <w:sz w:val="23"/>
                <w:szCs w:val="23"/>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Measurement</w:t>
            </w:r>
          </w:p>
        </w:tc>
        <w:tc>
          <w:tcPr>
            <w:tcW w:w="14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4"/>
              </w:rPr>
              <w:t>(Level 3)</w:t>
            </w: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June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relating to the impairments were based on sales contracts and are classified within Level 2 of the fair value hierarchy.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$32,898 and $4,836 at June 30, 2020 and December 31, 2019, respectively. Also included in tenant and other receivables, net are accrued percentage rents of $297 and $9,618 at June 30, 2020 and December 31, 2019, respectively, and a deferred rent receivable due to straight-line rent adjustments of $82,618 and $82,214 at June 30, 2020 and December 31,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 Leases:</w:t>
      </w:r>
    </w:p>
    <w:p>
      <w:pPr>
        <w:spacing w:after="0" w:line="158"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69" w:right="39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leasing revenue for the three and six months ended June 30, 2020 and 2019:</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2120" w:type="dxa"/>
            <w:vAlign w:val="bottom"/>
            <w:gridSpan w:val="8"/>
          </w:tcPr>
          <w:p>
            <w:pPr>
              <w:ind w:left="80"/>
              <w:spacing w:after="0"/>
              <w:rPr>
                <w:sz w:val="20"/>
                <w:szCs w:val="20"/>
                <w:color w:val="auto"/>
              </w:rPr>
            </w:pPr>
            <w:r>
              <w:rPr>
                <w:rFonts w:ascii="Arial" w:cs="Arial" w:eastAsia="Arial" w:hAnsi="Arial"/>
                <w:sz w:val="14"/>
                <w:szCs w:val="14"/>
                <w:b w:val="1"/>
                <w:bCs w:val="1"/>
                <w:color w:val="auto"/>
                <w:w w:val="96"/>
              </w:rPr>
              <w:t>For the Six Months Ended June</w:t>
            </w:r>
          </w:p>
        </w:tc>
      </w:tr>
      <w:tr>
        <w:trPr>
          <w:trHeight w:val="192"/>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2"/>
              </w:rPr>
              <w:t>30,</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780" w:type="dxa"/>
            <w:vAlign w:val="bottom"/>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 revenue—fixed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160,784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8"/>
              </w:rPr>
              <w:t>306,339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326,671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Leasing revenue—variable payments</w:t>
            </w:r>
          </w:p>
        </w:tc>
        <w:tc>
          <w:tcPr>
            <w:tcW w:w="14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46,239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52,245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w w:val="98"/>
              </w:rPr>
              <w:t>101,826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99,192</w:t>
            </w:r>
          </w:p>
        </w:tc>
        <w:tc>
          <w:tcPr>
            <w:tcW w:w="2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80" w:type="dxa"/>
            <w:vAlign w:val="bottom"/>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(28,690)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168,754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8"/>
              </w:rPr>
              <w:t>211,022</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8"/>
              </w:rPr>
              <w:t>379,475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422,030</w:t>
            </w:r>
          </w:p>
        </w:tc>
        <w:tc>
          <w:tcPr>
            <w:tcW w:w="20" w:type="dxa"/>
            <w:vAlign w:val="bottom"/>
            <w:tcBorders>
              <w:top w:val="single" w:sz="8" w:color="auto"/>
            </w:tcBorders>
          </w:tcPr>
          <w:p>
            <w:pPr>
              <w:spacing w:after="0"/>
              <w:rPr>
                <w:sz w:val="20"/>
                <w:szCs w:val="20"/>
                <w:color w:val="auto"/>
              </w:rPr>
            </w:pPr>
          </w:p>
        </w:tc>
      </w:tr>
      <w:tr>
        <w:trPr>
          <w:trHeight w:val="27"/>
        </w:trPr>
        <w:tc>
          <w:tcPr>
            <w:tcW w:w="820" w:type="dxa"/>
            <w:vAlign w:val="bottom"/>
            <w:gridSpan w:val="2"/>
          </w:tcPr>
          <w:p>
            <w:pPr>
              <w:spacing w:after="0"/>
              <w:rPr>
                <w:sz w:val="2"/>
                <w:szCs w:val="2"/>
                <w:color w:val="auto"/>
              </w:rPr>
            </w:pPr>
          </w:p>
        </w:tc>
        <w:tc>
          <w:tcPr>
            <w:tcW w:w="42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82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36"/>
        </w:trPr>
        <w:tc>
          <w:tcPr>
            <w:tcW w:w="6240" w:type="dxa"/>
            <w:vAlign w:val="bottom"/>
            <w:gridSpan w:val="6"/>
          </w:tcPr>
          <w:p>
            <w:pPr>
              <w:spacing w:after="0"/>
              <w:rPr>
                <w:sz w:val="20"/>
                <w:szCs w:val="20"/>
                <w:color w:val="auto"/>
              </w:rPr>
            </w:pPr>
            <w:r>
              <w:rPr>
                <w:rFonts w:ascii="Arial" w:cs="Arial" w:eastAsia="Arial" w:hAnsi="Arial"/>
                <w:sz w:val="18"/>
                <w:szCs w:val="18"/>
                <w:color w:val="auto"/>
              </w:rPr>
              <w:t>The following table summarizes the future rental payments to the Company:</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Twelve months ending June 30,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51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436,611</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8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382,120</w:t>
            </w:r>
          </w:p>
        </w:tc>
        <w:tc>
          <w:tcPr>
            <w:tcW w:w="20" w:type="dxa"/>
            <w:vAlign w:val="bottom"/>
          </w:tcPr>
          <w:p>
            <w:pPr>
              <w:spacing w:after="0"/>
              <w:rPr>
                <w:sz w:val="21"/>
                <w:szCs w:val="21"/>
                <w:color w:val="auto"/>
              </w:rPr>
            </w:pPr>
          </w:p>
        </w:tc>
      </w:tr>
      <w:tr>
        <w:trPr>
          <w:trHeight w:val="27"/>
        </w:trPr>
        <w:tc>
          <w:tcPr>
            <w:tcW w:w="51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20" w:type="dxa"/>
            <w:vAlign w:val="bottom"/>
            <w:gridSpan w:val="2"/>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327,661</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8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274,629</w:t>
            </w:r>
          </w:p>
        </w:tc>
        <w:tc>
          <w:tcPr>
            <w:tcW w:w="20" w:type="dxa"/>
            <w:vAlign w:val="bottom"/>
          </w:tcPr>
          <w:p>
            <w:pPr>
              <w:spacing w:after="0"/>
              <w:rPr>
                <w:sz w:val="21"/>
                <w:szCs w:val="21"/>
                <w:color w:val="auto"/>
              </w:rPr>
            </w:pPr>
          </w:p>
        </w:tc>
      </w:tr>
      <w:tr>
        <w:trPr>
          <w:trHeight w:val="27"/>
        </w:trPr>
        <w:tc>
          <w:tcPr>
            <w:tcW w:w="51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20" w:type="dxa"/>
            <w:vAlign w:val="bottom"/>
            <w:gridSpan w:val="2"/>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216,448</w:t>
            </w:r>
          </w:p>
        </w:tc>
        <w:tc>
          <w:tcPr>
            <w:tcW w:w="2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597,091</w:t>
            </w:r>
          </w:p>
        </w:tc>
        <w:tc>
          <w:tcPr>
            <w:tcW w:w="2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2,234,560</w:t>
            </w:r>
          </w:p>
        </w:tc>
        <w:tc>
          <w:tcPr>
            <w:tcW w:w="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Lessee Leases:</w:t>
      </w:r>
    </w:p>
    <w:p>
      <w:pPr>
        <w:spacing w:after="0" w:line="15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w:t>
      </w:r>
    </w:p>
    <w:p>
      <w:pPr>
        <w:spacing w:after="0" w:line="177"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14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w w:val="96"/>
              </w:rPr>
              <w:t>For the Six Months Ended June</w:t>
            </w:r>
          </w:p>
        </w:tc>
      </w:tr>
      <w:tr>
        <w:trPr>
          <w:trHeight w:val="192"/>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3,701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9,209</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932</w:t>
            </w:r>
          </w:p>
        </w:tc>
      </w:tr>
      <w:tr>
        <w:trPr>
          <w:trHeight w:val="243"/>
        </w:trPr>
        <w:tc>
          <w:tcPr>
            <w:tcW w:w="444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4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308</w:t>
            </w: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4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4,319</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10,449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69" w:right="4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future rental payments required under the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Finance Leases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Operating Leases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0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8,860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16,867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Total undiscounted rental payments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194,201</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14,965</w:t>
            </w: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(101,597)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92,604</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2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1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0" w:type="dxa"/>
            <w:vAlign w:val="bottom"/>
          </w:tcPr>
          <w:p>
            <w:pPr>
              <w:spacing w:after="0"/>
              <w:rPr>
                <w:sz w:val="24"/>
                <w:szCs w:val="24"/>
                <w:color w:val="auto"/>
              </w:rPr>
            </w:pPr>
          </w:p>
        </w:tc>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w:t>
            </w:r>
          </w:p>
        </w:tc>
        <w:tc>
          <w:tcPr>
            <w:tcW w:w="30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31.0 years</w:t>
            </w: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1.3 years</w:t>
            </w:r>
          </w:p>
        </w:tc>
        <w:tc>
          <w:tcPr>
            <w:tcW w:w="100" w:type="dxa"/>
            <w:vAlign w:val="bottom"/>
            <w:shd w:val="clear" w:color="auto" w:fill="CCEEFF"/>
          </w:tcPr>
          <w:p>
            <w:pPr>
              <w:spacing w:after="0"/>
              <w:rPr>
                <w:sz w:val="24"/>
                <w:szCs w:val="24"/>
                <w:color w:val="auto"/>
              </w:rPr>
            </w:pPr>
          </w:p>
        </w:tc>
        <w:tc>
          <w:tcPr>
            <w:tcW w:w="134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31.0 years</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years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0" w:type="dxa"/>
            <w:vAlign w:val="bottom"/>
          </w:tcPr>
          <w:p>
            <w:pPr>
              <w:spacing w:after="0"/>
              <w:rPr>
                <w:sz w:val="21"/>
                <w:szCs w:val="21"/>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Deferred Charges and Other Assets, net: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7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060" w:type="dxa"/>
            <w:vAlign w:val="bottom"/>
            <w:gridSpan w:val="5"/>
          </w:tcPr>
          <w:p>
            <w:pPr>
              <w:jc w:val="right"/>
              <w:spacing w:after="0"/>
              <w:rPr>
                <w:sz w:val="20"/>
                <w:szCs w:val="20"/>
                <w:color w:val="auto"/>
              </w:rPr>
            </w:pPr>
            <w:r>
              <w:rPr>
                <w:rFonts w:ascii="Arial" w:cs="Arial" w:eastAsia="Arial" w:hAnsi="Arial"/>
                <w:sz w:val="18"/>
                <w:szCs w:val="18"/>
                <w:color w:val="auto"/>
                <w:w w:val="98"/>
              </w:rPr>
              <w:t>Deferred charges and other assets, net consist of the following:</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202,540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In-place lease values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78,171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Leasing commissions and legal costs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20,518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Above-market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59,916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32,108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30,757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55,349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66,113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60,475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467,707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507,726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Less accumulated amortization(1)</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(202,967)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(229,860)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264,740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277,866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3943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980" w:hanging="324"/>
        <w:spacing w:after="0" w:line="257" w:lineRule="auto"/>
        <w:tabs>
          <w:tab w:leader="none" w:pos="924"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Accumulated amortization includes $54,183 and $66,322 relating to in-place lease values, leasing commissions and legal costs at June 30, 2020 and December 31, 2019, respectively. Amortization expense of in-place lease values, leasing commissions and legal costs was $1,996 and $3,320 for the three months ended June 30, 2020 and 2019, respectively, and $5,715 and $6,525 for the six months ended June 30, 2020 and 2019, respectively.</w:t>
      </w:r>
    </w:p>
    <w:p>
      <w:pPr>
        <w:sectPr>
          <w:pgSz w:w="11900" w:h="16838" w:orient="portrait"/>
          <w:cols w:equalWidth="0" w:num="1">
            <w:col w:w="10920"/>
          </w:cols>
          <w:pgMar w:left="320" w:top="26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269" w:right="65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55,809</w:t>
            </w:r>
          </w:p>
        </w:tc>
        <w:tc>
          <w:tcPr>
            <w:tcW w:w="68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59,916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(34,785)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21,024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80,275</w:t>
            </w:r>
          </w:p>
        </w:tc>
        <w:tc>
          <w:tcPr>
            <w:tcW w:w="68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90,790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(47,216)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(53,727)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33,059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37,063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560" w:type="dxa"/>
            <w:vAlign w:val="bottom"/>
            <w:gridSpan w:val="5"/>
          </w:tcPr>
          <w:p>
            <w:pPr>
              <w:ind w:left="660"/>
              <w:spacing w:after="0"/>
              <w:rPr>
                <w:sz w:val="20"/>
                <w:szCs w:val="20"/>
                <w:color w:val="auto"/>
              </w:rPr>
            </w:pPr>
            <w:r>
              <w:rPr>
                <w:rFonts w:ascii="Arial" w:cs="Arial" w:eastAsia="Arial" w:hAnsi="Arial"/>
                <w:sz w:val="14"/>
                <w:szCs w:val="14"/>
                <w:color w:val="auto"/>
                <w:w w:val="97"/>
              </w:rPr>
              <w:t>(1)  Below-market leases are included in other accrued liabilities.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10. Mortgage Notes Payable:</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80" w:type="dxa"/>
            <w:vAlign w:val="bottom"/>
            <w:gridSpan w:val="14"/>
          </w:tcPr>
          <w:p>
            <w:pPr>
              <w:jc w:val="right"/>
              <w:ind w:right="530"/>
              <w:spacing w:after="0"/>
              <w:rPr>
                <w:sz w:val="20"/>
                <w:szCs w:val="20"/>
                <w:color w:val="auto"/>
              </w:rPr>
            </w:pPr>
            <w:r>
              <w:rPr>
                <w:rFonts w:ascii="Arial" w:cs="Arial" w:eastAsia="Arial" w:hAnsi="Arial"/>
                <w:sz w:val="18"/>
                <w:szCs w:val="18"/>
                <w:color w:val="auto"/>
                <w:w w:val="96"/>
              </w:rPr>
              <w:t>Mortgage notes payable at June 30, 2020 and December 31, 2019 consist of the following:</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390"/>
              <w:spacing w:after="0"/>
              <w:rPr>
                <w:sz w:val="20"/>
                <w:szCs w:val="20"/>
                <w:color w:val="auto"/>
              </w:rPr>
            </w:pPr>
            <w:r>
              <w:rPr>
                <w:rFonts w:ascii="Arial" w:cs="Arial" w:eastAsia="Arial" w:hAnsi="Arial"/>
                <w:sz w:val="14"/>
                <w:szCs w:val="14"/>
                <w:b w:val="1"/>
                <w:bCs w:val="1"/>
                <w:color w:val="auto"/>
                <w:w w:val="93"/>
              </w:rPr>
              <w:t>Carrying Amount of Mortgage Notes(1)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Effective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rPr>
              <w:t>Monthly</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vMerge w:val="restart"/>
          </w:tcPr>
          <w:p>
            <w:pPr>
              <w:spacing w:after="0"/>
              <w:rPr>
                <w:sz w:val="12"/>
                <w:szCs w:val="12"/>
                <w:color w:val="auto"/>
              </w:rPr>
            </w:pPr>
          </w:p>
        </w:tc>
        <w:tc>
          <w:tcPr>
            <w:tcW w:w="13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256"/>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Rate(2)</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Service(3)</w:t>
            </w:r>
          </w:p>
        </w:tc>
        <w:tc>
          <w:tcPr>
            <w:tcW w:w="12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Chandler Fashion Center(5)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255,266</w:t>
            </w:r>
          </w:p>
        </w:tc>
        <w:tc>
          <w:tcPr>
            <w:tcW w:w="10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4.18</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875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Danbury Fair Mall</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5.53</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1,538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Fashion Outlets of Chicago</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299,153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299,112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4.61</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1,145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Fashion Outlets of Niagara Falls USA(6)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4.89</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727</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Freehold Raceway Mall(5)</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398,462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398,379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3.94</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1,300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Fresno Fashion Fair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323,758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3.67</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971</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Green Acres Commons(7)</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129,387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128,926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w w:val="96"/>
              </w:rPr>
              <w:t>2.88 %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252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Green Acres Mall</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274,193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3.61</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1,447</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Kings Plaza Shopping Center</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535,156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535,097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3.71</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1,629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Oaks, The</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4.14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1,064</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Pacific View</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116,572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118,202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4.08</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668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Queens Center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3.49</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1,744</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Santa Monica Place(8)</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298,192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297,817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1.79</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384</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SanTan Village Regional Center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219,186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4.34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788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Towne Mall</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4.48</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117</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Tucson La Encantada</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4.23</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368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Victor Valley, Mall of</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114,762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114,733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4.00</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380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Vintage Faire Mall</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249,412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252,389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3.55</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1,256</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4,377,787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4,392,599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820" w:hanging="407"/>
        <w:spacing w:after="0" w:line="312" w:lineRule="auto"/>
        <w:tabs>
          <w:tab w:leader="none" w:pos="81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$14,248 and $16,042 at June 30, 2020 and December 31, 2019, respectively.</w:t>
      </w:r>
    </w:p>
    <w:p>
      <w:pPr>
        <w:spacing w:after="0" w:line="83" w:lineRule="exact"/>
        <w:rPr>
          <w:rFonts w:ascii="Arial" w:cs="Arial" w:eastAsia="Arial" w:hAnsi="Arial"/>
          <w:sz w:val="13"/>
          <w:szCs w:val="13"/>
          <w:color w:val="auto"/>
        </w:rPr>
      </w:pPr>
    </w:p>
    <w:p>
      <w:pPr>
        <w:ind w:left="820" w:hanging="407"/>
        <w:spacing w:after="0"/>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ectPr>
          <w:pgSz w:w="11900" w:h="16838" w:orient="portrait"/>
          <w:cols w:equalWidth="0" w:num="1">
            <w:col w:w="10980"/>
          </w:cols>
          <w:pgMar w:left="320" w:top="269" w:right="599" w:bottom="6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269" w:right="599" w:bottom="628"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820" w:hanging="407"/>
        <w:spacing w:after="0"/>
        <w:tabs>
          <w:tab w:leader="none" w:pos="8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49" w:lineRule="exact"/>
        <w:rPr>
          <w:rFonts w:ascii="Arial" w:cs="Arial" w:eastAsia="Arial" w:hAnsi="Arial"/>
          <w:sz w:val="14"/>
          <w:szCs w:val="14"/>
          <w:color w:val="auto"/>
        </w:rPr>
      </w:pPr>
    </w:p>
    <w:p>
      <w:pPr>
        <w:ind w:left="820" w:right="120" w:hanging="407"/>
        <w:spacing w:after="0" w:line="273" w:lineRule="auto"/>
        <w:tabs>
          <w:tab w:leader="none" w:pos="812"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47" w:lineRule="exact"/>
        <w:rPr>
          <w:rFonts w:ascii="Arial" w:cs="Arial" w:eastAsia="Arial" w:hAnsi="Arial"/>
          <w:sz w:val="13"/>
          <w:szCs w:val="13"/>
          <w:color w:val="auto"/>
        </w:rPr>
      </w:pPr>
    </w:p>
    <w:p>
      <w:pPr>
        <w:ind w:left="820" w:right="140" w:hanging="407"/>
        <w:spacing w:after="0" w:line="257" w:lineRule="auto"/>
        <w:tabs>
          <w:tab w:leader="none" w:pos="812"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loan includes unamortized debt premium of $309 and $773 at June 30, 2020 and December 31, 2019, respectively. The debt premium represents the excess of the fair value of the loan over the principal value of the loan assumed at acquisition and is amortized into interest expense over the remaining term of the loan in a manner that approximates the effective interest method.</w:t>
      </w:r>
    </w:p>
    <w:p>
      <w:pPr>
        <w:spacing w:after="0" w:line="117" w:lineRule="exact"/>
        <w:rPr>
          <w:rFonts w:ascii="Arial" w:cs="Arial" w:eastAsia="Arial" w:hAnsi="Arial"/>
          <w:sz w:val="14"/>
          <w:szCs w:val="14"/>
          <w:color w:val="auto"/>
        </w:rPr>
      </w:pPr>
    </w:p>
    <w:p>
      <w:pPr>
        <w:ind w:left="820" w:hanging="407"/>
        <w:spacing w:after="0"/>
        <w:tabs>
          <w:tab w:leader="none" w:pos="8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loan bears interest at LIBOR plus 2.15%. At June 30, 2020 and December 31, 2019, the total interest rate was 2.88% and 4.40%, respectively.</w:t>
      </w:r>
    </w:p>
    <w:p>
      <w:pPr>
        <w:spacing w:after="0" w:line="149" w:lineRule="exact"/>
        <w:rPr>
          <w:rFonts w:ascii="Arial" w:cs="Arial" w:eastAsia="Arial" w:hAnsi="Arial"/>
          <w:sz w:val="14"/>
          <w:szCs w:val="14"/>
          <w:color w:val="auto"/>
        </w:rPr>
      </w:pPr>
    </w:p>
    <w:p>
      <w:pPr>
        <w:ind w:left="820" w:right="180" w:hanging="407"/>
        <w:spacing w:after="0" w:line="257" w:lineRule="auto"/>
        <w:tabs>
          <w:tab w:leader="none" w:pos="812"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 during the period ending December 9, 2020 (See Note 5—Derivative Instruments and Hedging Activities). At June 30, 2020 and December 31, 2019, the total interest rate was 1.79% and 3.34%,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mortgage notes payable are secured by the properties on which they are placed and are non-recourse to the Company.</w:t>
      </w:r>
    </w:p>
    <w:p>
      <w:pPr>
        <w:spacing w:after="0" w:line="16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 off from the Company's line of credit or with cash on hand.</w:t>
      </w:r>
    </w:p>
    <w:p>
      <w:pPr>
        <w:spacing w:after="0" w:line="89"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Total interest expense capitalized was $1,361 and $2,143 for the three months ended ended June 30, 2020 and 2019, respectively, and $2,656 and $4,853 for the six months ended June 30, 2020 and 2019, respectively.</w:t>
      </w:r>
    </w:p>
    <w:p>
      <w:pPr>
        <w:spacing w:after="0" w:line="10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June 30, 2020 and December 31, 2019 was $4,421,744 and $4,427,790,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and other notes payable consist of the following: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$1,500,000 revolving line of credit that bears interest at LIBOR plus a spread of 1.30% to 1.90%, depending on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overall leverage level, and was to mature on July 6, 2020. On April 8, 2020, the Company exercised its option to extend the maturity of the facility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6, 2021. The line of credit can be expanded, depending on certain conditions, up to a total facility of $2,000,000. The Company anticipates refinancing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revolving line of credit in advance of its maturity date.</w:t>
      </w:r>
    </w:p>
    <w:p>
      <w:pPr>
        <w:spacing w:after="0" w:line="130"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Based on the Company's leverage level as of June 30, 2020, the borrowing rate on the facility was LIBOR plus 1.55%. The Company has four interest rate swap agreements that effectively convert a total of $400,000 of the outstanding balance from floating rate debt of LIBOR plus 1.55% to fixed rate debt of 4.30% until September 30, 2021 (See Note 5—Derivative Instruments and Hedging Activities). As of June 30, 2020 and December 31, 2019, borrowings under the line of credit were $1,480,000 and $820,000, respectively, less unamortized deferred finance costs of $1,365 and $2,623, respectively, at a total interest rate of 2.55% and 3.92%, respectively. As of June 30, 2020 and December 31, 2019, the Company's availability under the line of credit for additional borrowings was $19,719 and $679,719, respectively. The estimated fair value (Level 2 measurement) of the line of credit at June 30, 2020 and December 31, 2019 was $1,490,840 and $826,280, respectively, based on a present value model using a credit interest rate spread offered to the Company for comparable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Prasada Note:</w:t>
      </w:r>
    </w:p>
    <w:p>
      <w:pPr>
        <w:spacing w:after="0" w:line="158" w:lineRule="exact"/>
        <w:rPr>
          <w:sz w:val="20"/>
          <w:szCs w:val="20"/>
          <w:color w:val="auto"/>
        </w:rPr>
      </w:pPr>
    </w:p>
    <w:p>
      <w:pPr>
        <w:jc w:val="both"/>
        <w:ind w:right="140" w:firstLine="445"/>
        <w:spacing w:after="0" w:line="342" w:lineRule="auto"/>
        <w:rPr>
          <w:sz w:val="20"/>
          <w:szCs w:val="20"/>
          <w:color w:val="auto"/>
        </w:rPr>
      </w:pPr>
      <w:r>
        <w:rPr>
          <w:rFonts w:ascii="Arial" w:cs="Arial" w:eastAsia="Arial" w:hAnsi="Arial"/>
          <w:sz w:val="16"/>
          <w:szCs w:val="16"/>
          <w:color w:val="auto"/>
        </w:rPr>
        <w:t>On March 29, 2013, the Company issued a $13,330 note payable that bore interest at 5.25% and was to mature on May 30, 2021. The note payable was collateralized by a portion of a development reimbursement agreement with the City of Surprise, Arizona. On October 7, 2019, the loan was paid off.</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and December 31, 2019, the Company was in compliance with all applicable financial loan covenants.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62" w:lineRule="exact"/>
        <w:rPr>
          <w:sz w:val="20"/>
          <w:szCs w:val="20"/>
          <w:color w:val="auto"/>
        </w:rPr>
      </w:pPr>
    </w:p>
    <w:p>
      <w:pPr>
        <w:ind w:right="160" w:firstLine="445"/>
        <w:spacing w:after="0" w:line="288" w:lineRule="auto"/>
        <w:rPr>
          <w:sz w:val="20"/>
          <w:szCs w:val="20"/>
          <w:color w:val="auto"/>
        </w:rPr>
      </w:pPr>
      <w:r>
        <w:rPr>
          <w:rFonts w:ascii="Arial" w:cs="Arial" w:eastAsia="Arial" w:hAnsi="Arial"/>
          <w:sz w:val="16"/>
          <w:szCs w:val="16"/>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June 30, 2020 and December 31, 2019 was based upon a terminal capitalization rate of 5.5% and 5.0%, respectively, a discount rate of 7.0% and 6.0%, respectively, and market rents per square foot of $35 to $115.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0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During the three and six months ended June 30, 2020 and 2019, the Company incurred interest income in connection with the financing arrangement as follows: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40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 June</w:t>
            </w: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For the Six Months Ended June</w:t>
            </w:r>
          </w:p>
        </w:tc>
      </w:tr>
      <w:tr>
        <w:trPr>
          <w:trHeight w:val="192"/>
        </w:trPr>
        <w:tc>
          <w:tcPr>
            <w:tcW w:w="6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24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equal to the partner's share of net (loss) income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3,879</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Distributions in excess of the partner's share of net income</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3,953</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fair value of financing arrangement obligation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(32,907)</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(81,291)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(31,522)</w:t>
            </w:r>
          </w:p>
        </w:tc>
      </w:tr>
      <w:tr>
        <w:trPr>
          <w:trHeight w:val="237"/>
        </w:trPr>
        <w:tc>
          <w:tcPr>
            <w:tcW w:w="616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(32,807)</w:t>
            </w: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(77,050)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(23,690)</w:t>
            </w:r>
          </w:p>
        </w:tc>
      </w:tr>
      <w:tr>
        <w:trPr>
          <w:trHeight w:val="27"/>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On June 27, 2019, the Company replaced the existing mortgage note payable on Chandler Fashion Center with a new $256,000 loan. In connection with the refinancing transaction, the Company distributed $27,945 of the excess loan proceeds to its joint venture partner, which was recorded as a reduction to the financing arrangement obligation.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62"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June 30, 2020 and December 31, 2019. The remaining 7% limited partnership interest as of June 30, 2020 and December 31, 2019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2020 and</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the aggregate redemption value of the then-outstanding OP Units not owned by the Company was $93,206 and $277,524, respectively.</w:t>
      </w:r>
    </w:p>
    <w:p>
      <w:pPr>
        <w:spacing w:after="0" w:line="18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85"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14. Stockholders' Equity: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Dividend</w:t>
      </w:r>
    </w:p>
    <w:p>
      <w:pPr>
        <w:spacing w:after="0" w:line="15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106"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Buyback Program</w:t>
      </w:r>
    </w:p>
    <w:p>
      <w:pPr>
        <w:spacing w:after="0" w:line="158"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106"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There were no repurchases under the Stock Buyback Program during the six months ended June 30, 2020 or 2019. At June 30, 2020, there was $278,707 available under the Stock Buyback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62"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As of June 30, 2020, the Company was contingently liable for $40,814 in letters of credit guaranteeing performance by the Company of certain obligations relating to the Centers. The Company does not believe that these letters of credit will result in a liability to the Company.</w:t>
      </w:r>
    </w:p>
    <w:p>
      <w:pPr>
        <w:spacing w:after="0" w:line="65"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June 30, 2020, the Company had $2,203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6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42"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140" w:type="dxa"/>
            <w:vAlign w:val="bottom"/>
            <w:gridSpan w:val="6"/>
          </w:tcPr>
          <w:p>
            <w:pPr>
              <w:jc w:val="right"/>
              <w:ind w:right="15"/>
              <w:spacing w:after="0"/>
              <w:rPr>
                <w:sz w:val="20"/>
                <w:szCs w:val="20"/>
                <w:color w:val="auto"/>
              </w:rPr>
            </w:pPr>
            <w:r>
              <w:rPr>
                <w:rFonts w:ascii="Arial" w:cs="Arial" w:eastAsia="Arial" w:hAnsi="Arial"/>
                <w:sz w:val="14"/>
                <w:szCs w:val="14"/>
                <w:b w:val="1"/>
                <w:bCs w:val="1"/>
                <w:color w:val="auto"/>
                <w:w w:val="96"/>
              </w:rPr>
              <w:t>For the Six Months Ended June</w:t>
            </w:r>
          </w:p>
        </w:tc>
      </w:tr>
      <w:tr>
        <w:trPr>
          <w:trHeight w:val="192"/>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9,151</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6,806</w:t>
            </w:r>
          </w:p>
        </w:tc>
      </w:tr>
      <w:tr>
        <w:trPr>
          <w:trHeight w:val="27"/>
        </w:trPr>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36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15,957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Interest income from related party transactions includes $32,807 and $13,243 for the three months ended June 30, 2020 and 2019, respectively, and $77,050 and $23,690 for the six months ended June 30, 2020 and 2019, respectively, in connection with the Financing Arrangement (See Note 12— Financing Arrangement).</w:t>
      </w:r>
    </w:p>
    <w:p>
      <w:pPr>
        <w:spacing w:after="0" w:line="103"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Due from affiliates includes $10,273 and $6,157 of unreimbursed costs and fees from unconsolidated joint ventures due to the Management Companies as of June 30, 2020 and December 31, 2019, respectively.</w:t>
      </w:r>
    </w:p>
    <w:p>
      <w:pPr>
        <w:spacing w:after="0" w:line="103" w:lineRule="exact"/>
        <w:rPr>
          <w:sz w:val="20"/>
          <w:szCs w:val="20"/>
          <w:color w:val="auto"/>
        </w:rPr>
      </w:pPr>
    </w:p>
    <w:p>
      <w:pPr>
        <w:ind w:right="320" w:firstLine="445"/>
        <w:spacing w:after="0" w:line="301" w:lineRule="auto"/>
        <w:rPr>
          <w:sz w:val="20"/>
          <w:szCs w:val="20"/>
          <w:color w:val="auto"/>
        </w:rPr>
      </w:pPr>
      <w:r>
        <w:rPr>
          <w:rFonts w:ascii="Arial" w:cs="Arial" w:eastAsia="Arial" w:hAnsi="Arial"/>
          <w:sz w:val="16"/>
          <w:szCs w:val="16"/>
          <w:color w:val="auto"/>
        </w:rPr>
        <w:t>In addition, due from affiliates included a note receivable from RED/303 LLC ("RED") that bore interest at 5.25% and was to mature on May 30, 2021. Interest income earned on this note was $0 and $46 for the three months ended June 30, 2020 and 2019, respectively, and $0 and $94 for the six months ended June 30, 2020 and 2019, respectively. On October 7, 2019, the note receivable was collected in full. RED is considered a related party because it is a partner in a joint venture development project. The note was collateralized by RED's membership interest in the development project.</w:t>
      </w:r>
    </w:p>
    <w:p>
      <w:pPr>
        <w:spacing w:after="0" w:line="90"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Also included in due from affiliates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collected in full on February 13, 2019. Interest income earned on this note was $0 and $1,112 for the six months ended June 30, 2020 and 2019, respectively. Lennar Corporation was considered a related party because it was a joint venture partner in the project.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w:t>
      </w:r>
    </w:p>
    <w:p>
      <w:pPr>
        <w:spacing w:after="0" w:line="16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90"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2020, the Company granted the following LTIP Units:</w:t>
      </w:r>
    </w:p>
    <w:p>
      <w:pPr>
        <w:spacing w:after="0" w:line="212" w:lineRule="exact"/>
        <w:rPr>
          <w:sz w:val="20"/>
          <w:szCs w:val="20"/>
          <w:color w:val="auto"/>
        </w:rPr>
      </w:pPr>
    </w:p>
    <w:tbl>
      <w:tblPr>
        <w:tblLayout w:type="fixed"/>
        <w:tblInd w:w="1860" w:type="dxa"/>
        <w:tblCellMar>
          <w:top w:w="0" w:type="dxa"/>
          <w:left w:w="0" w:type="dxa"/>
          <w:bottom w:w="0" w:type="dxa"/>
          <w:right w:w="0" w:type="dxa"/>
        </w:tblCellMar>
      </w:tblPr>
      <w:tr>
        <w:trPr>
          <w:trHeight w:val="203"/>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 per</w:t>
            </w:r>
          </w:p>
        </w:tc>
        <w:tc>
          <w:tcPr>
            <w:tcW w:w="1260" w:type="dxa"/>
            <w:vAlign w:val="bottom"/>
          </w:tcPr>
          <w:p>
            <w:pPr>
              <w:spacing w:after="0"/>
              <w:rPr>
                <w:sz w:val="17"/>
                <w:szCs w:val="17"/>
                <w:color w:val="auto"/>
              </w:rPr>
            </w:pPr>
          </w:p>
        </w:tc>
      </w:tr>
      <w:tr>
        <w:trPr>
          <w:trHeight w:val="210"/>
        </w:trPr>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c>
          <w:tcPr>
            <w:tcW w:w="1220" w:type="dxa"/>
            <w:vAlign w:val="bottom"/>
          </w:tcPr>
          <w:p>
            <w:pPr>
              <w:jc w:val="right"/>
              <w:ind w:right="332"/>
              <w:spacing w:after="0"/>
              <w:rPr>
                <w:sz w:val="20"/>
                <w:szCs w:val="20"/>
                <w:color w:val="auto"/>
              </w:rPr>
            </w:pPr>
            <w:r>
              <w:rPr>
                <w:rFonts w:ascii="Arial" w:cs="Arial" w:eastAsia="Arial" w:hAnsi="Arial"/>
                <w:sz w:val="16"/>
                <w:szCs w:val="16"/>
                <w:b w:val="1"/>
                <w:bCs w:val="1"/>
                <w:color w:val="auto"/>
              </w:rPr>
              <w:t>Units</w:t>
            </w:r>
          </w:p>
        </w:tc>
        <w:tc>
          <w:tcPr>
            <w:tcW w:w="180" w:type="dxa"/>
            <w:vAlign w:val="bottom"/>
          </w:tcPr>
          <w:p>
            <w:pPr>
              <w:spacing w:after="0"/>
              <w:rPr>
                <w:sz w:val="18"/>
                <w:szCs w:val="18"/>
                <w:color w:val="auto"/>
              </w:rPr>
            </w:pPr>
          </w:p>
        </w:tc>
        <w:tc>
          <w:tcPr>
            <w:tcW w:w="2000" w:type="dxa"/>
            <w:vAlign w:val="bottom"/>
            <w:gridSpan w:val="2"/>
          </w:tcPr>
          <w:p>
            <w:pPr>
              <w:ind w:left="74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LTIP Unit</w:t>
            </w:r>
          </w:p>
        </w:tc>
        <w:tc>
          <w:tcPr>
            <w:tcW w:w="1260" w:type="dxa"/>
            <w:vAlign w:val="bottom"/>
          </w:tcPr>
          <w:p>
            <w:pPr>
              <w:jc w:val="right"/>
              <w:ind w:right="212"/>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154,158</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12/31/2022</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321,940</w:t>
            </w:r>
          </w:p>
        </w:tc>
        <w:tc>
          <w:tcPr>
            <w:tcW w:w="1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12/31/2022</w:t>
            </w:r>
          </w:p>
        </w:tc>
      </w:tr>
      <w:tr>
        <w:trPr>
          <w:trHeight w:val="27"/>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39,176</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2/28/2023</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37,592</w:t>
            </w:r>
          </w:p>
        </w:tc>
        <w:tc>
          <w:tcPr>
            <w:tcW w:w="1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2/28/2023</w:t>
            </w:r>
          </w:p>
        </w:tc>
      </w:tr>
      <w:tr>
        <w:trPr>
          <w:trHeight w:val="27"/>
        </w:trPr>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88"/>
        </w:trPr>
        <w:tc>
          <w:tcPr>
            <w:tcW w:w="1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552,866</w:t>
            </w:r>
          </w:p>
        </w:tc>
        <w:tc>
          <w:tcPr>
            <w:tcW w:w="1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fair value of the market-indexed LTIP Units (Level 3) granted on January 1, 2020 was estimated on the date of grant using a Monte Carlo Simulation model that assumed a risk free interest rate of 1.62% and an expected volatility of 26.08%. The fair value of the market-indexed LTIP Units (Level 3) granted on March 1, 2020 was estimated on the date of grant using a Monte Carlo Simulation model that assumed a risk free interest rate of 0.85% and an expected volatility of 28.34%.</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00" w:type="dxa"/>
            <w:vAlign w:val="bottom"/>
            <w:gridSpan w:val="7"/>
          </w:tcPr>
          <w:p>
            <w:pPr>
              <w:ind w:left="660"/>
              <w:spacing w:after="0"/>
              <w:rPr>
                <w:sz w:val="20"/>
                <w:szCs w:val="20"/>
                <w:color w:val="auto"/>
              </w:rPr>
            </w:pPr>
            <w:r>
              <w:rPr>
                <w:rFonts w:ascii="Arial" w:cs="Arial" w:eastAsia="Arial" w:hAnsi="Arial"/>
                <w:sz w:val="16"/>
                <w:szCs w:val="16"/>
                <w:b w:val="1"/>
                <w:bCs w:val="1"/>
                <w:color w:val="auto"/>
              </w:rPr>
              <w:t>LTIP Units</w:t>
            </w:r>
          </w:p>
        </w:tc>
        <w:tc>
          <w:tcPr>
            <w:tcW w:w="2120" w:type="dxa"/>
            <w:vAlign w:val="bottom"/>
            <w:gridSpan w:val="8"/>
          </w:tcPr>
          <w:p>
            <w:pPr>
              <w:ind w:left="40"/>
              <w:spacing w:after="0"/>
              <w:rPr>
                <w:sz w:val="20"/>
                <w:szCs w:val="20"/>
                <w:color w:val="auto"/>
              </w:rPr>
            </w:pPr>
            <w:r>
              <w:rPr>
                <w:rFonts w:ascii="Arial" w:cs="Arial" w:eastAsia="Arial" w:hAnsi="Arial"/>
                <w:sz w:val="16"/>
                <w:szCs w:val="16"/>
                <w:b w:val="1"/>
                <w:bCs w:val="1"/>
                <w:color w:val="auto"/>
              </w:rPr>
              <w:t>Phantom Stock Units</w:t>
            </w:r>
          </w:p>
        </w:tc>
        <w:tc>
          <w:tcPr>
            <w:tcW w:w="194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Stock Units</w:t>
            </w:r>
          </w:p>
        </w:tc>
      </w:tr>
      <w:tr>
        <w:trPr>
          <w:trHeight w:val="33"/>
        </w:trPr>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6"/>
                <w:szCs w:val="16"/>
                <w:b w:val="1"/>
                <w:bCs w:val="1"/>
                <w:color w:val="auto"/>
              </w:rPr>
              <w:t>Units</w:t>
            </w:r>
          </w:p>
        </w:tc>
        <w:tc>
          <w:tcPr>
            <w:tcW w:w="14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Arial" w:cs="Arial" w:eastAsia="Arial" w:hAnsi="Arial"/>
                <w:sz w:val="16"/>
                <w:szCs w:val="16"/>
                <w:b w:val="1"/>
                <w:bCs w:val="1"/>
                <w:color w:val="auto"/>
              </w:rPr>
              <w:t>Value(1)</w:t>
            </w: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1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Value(1)</w:t>
            </w:r>
          </w:p>
        </w:tc>
        <w:tc>
          <w:tcPr>
            <w:tcW w:w="840" w:type="dxa"/>
            <w:vAlign w:val="bottom"/>
          </w:tcPr>
          <w:p>
            <w:pPr>
              <w:jc w:val="right"/>
              <w:ind w:right="233"/>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Value(1)</w:t>
            </w:r>
          </w:p>
        </w:tc>
      </w:tr>
      <w:tr>
        <w:trPr>
          <w:trHeight w:val="33"/>
        </w:trPr>
        <w:tc>
          <w:tcPr>
            <w:tcW w:w="30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Balance at January 1, 2020</w:t>
            </w:r>
          </w:p>
        </w:tc>
        <w:tc>
          <w:tcPr>
            <w:tcW w:w="18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616,219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199,987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43.59</w:t>
            </w:r>
          </w:p>
        </w:tc>
      </w:tr>
      <w:tr>
        <w:trPr>
          <w:trHeight w:val="243"/>
        </w:trPr>
        <w:tc>
          <w:tcPr>
            <w:tcW w:w="300" w:type="dxa"/>
            <w:vAlign w:val="bottom"/>
          </w:tcPr>
          <w:p>
            <w:pPr>
              <w:spacing w:after="0"/>
              <w:rPr>
                <w:sz w:val="21"/>
                <w:szCs w:val="21"/>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9"/>
              <w:spacing w:after="0"/>
              <w:rPr>
                <w:sz w:val="20"/>
                <w:szCs w:val="20"/>
                <w:color w:val="auto"/>
              </w:rPr>
            </w:pPr>
            <w:r>
              <w:rPr>
                <w:rFonts w:ascii="Arial" w:cs="Arial" w:eastAsia="Arial" w:hAnsi="Arial"/>
                <w:sz w:val="18"/>
                <w:szCs w:val="18"/>
                <w:color w:val="auto"/>
              </w:rPr>
              <w:t>552,866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17,836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w w:val="97"/>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247,872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14.24</w:t>
            </w:r>
          </w:p>
        </w:tc>
      </w:tr>
      <w:tr>
        <w:trPr>
          <w:trHeight w:val="27"/>
        </w:trPr>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(15,825)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45.18</w:t>
            </w:r>
          </w:p>
        </w:tc>
      </w:tr>
      <w:tr>
        <w:trPr>
          <w:trHeight w:val="243"/>
        </w:trPr>
        <w:tc>
          <w:tcPr>
            <w:tcW w:w="300" w:type="dxa"/>
            <w:vAlign w:val="bottom"/>
          </w:tcPr>
          <w:p>
            <w:pPr>
              <w:spacing w:after="0"/>
              <w:rPr>
                <w:sz w:val="21"/>
                <w:szCs w:val="21"/>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59.04</w:t>
            </w:r>
          </w:p>
        </w:tc>
      </w:tr>
      <w:tr>
        <w:trPr>
          <w:trHeight w:val="27"/>
        </w:trPr>
        <w:tc>
          <w:tcPr>
            <w:tcW w:w="30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84"/>
        </w:trPr>
        <w:tc>
          <w:tcPr>
            <w:tcW w:w="30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June 30, 2020</w:t>
            </w:r>
          </w:p>
        </w:tc>
        <w:tc>
          <w:tcPr>
            <w:tcW w:w="18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1,158,963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34.67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347,384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22.17</w:t>
            </w:r>
          </w:p>
        </w:tc>
      </w:tr>
      <w:tr>
        <w:trPr>
          <w:trHeight w:val="20"/>
        </w:trPr>
        <w:tc>
          <w:tcPr>
            <w:tcW w:w="30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60"/>
        </w:trPr>
        <w:tc>
          <w:tcPr>
            <w:tcW w:w="30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4"/>
                <w:szCs w:val="14"/>
                <w:color w:val="auto"/>
                <w:w w:val="97"/>
              </w:rPr>
              <w:t>(1) Value represents the weighted average grant date fair value.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12"/>
        </w:trPr>
        <w:tc>
          <w:tcPr>
            <w:tcW w:w="5580" w:type="dxa"/>
            <w:vAlign w:val="bottom"/>
            <w:gridSpan w:val="10"/>
          </w:tcPr>
          <w:p>
            <w:pPr>
              <w:spacing w:after="0"/>
              <w:rPr>
                <w:sz w:val="20"/>
                <w:szCs w:val="20"/>
                <w:color w:val="auto"/>
              </w:rPr>
            </w:pPr>
            <w:r>
              <w:rPr>
                <w:rFonts w:ascii="Arial" w:cs="Arial" w:eastAsia="Arial" w:hAnsi="Arial"/>
                <w:sz w:val="18"/>
                <w:szCs w:val="18"/>
                <w:color w:val="auto"/>
                <w:w w:val="91"/>
              </w:rPr>
              <w:t>The following table summarizes the activity of the stock options outstanding: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8"/>
          </w:tcPr>
          <w:p>
            <w:pPr>
              <w:jc w:val="right"/>
              <w:ind w:right="620"/>
              <w:spacing w:after="0"/>
              <w:rPr>
                <w:sz w:val="20"/>
                <w:szCs w:val="20"/>
                <w:color w:val="auto"/>
              </w:rPr>
            </w:pPr>
            <w:r>
              <w:rPr>
                <w:rFonts w:ascii="Arial" w:cs="Arial" w:eastAsia="Arial" w:hAnsi="Arial"/>
                <w:sz w:val="16"/>
                <w:szCs w:val="16"/>
                <w:b w:val="1"/>
                <w:bCs w:val="1"/>
                <w:color w:val="auto"/>
              </w:rPr>
              <w:t>Stock Options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
        </w:trPr>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9"/>
              </w:rPr>
              <w:t>Value(1)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4"/>
        </w:trPr>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8"/>
              </w:rPr>
              <w:t>Balance at January 1, 2020</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57.32</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Granted(2)</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54.34</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5"/>
              </w:rPr>
              <w:t>Balance at June 30, 2020</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37,515</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54.34</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154305</wp:posOffset>
            </wp:positionV>
            <wp:extent cx="19799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85" w:lineRule="exact"/>
        <w:rPr>
          <w:sz w:val="20"/>
          <w:szCs w:val="20"/>
          <w:color w:val="auto"/>
        </w:rPr>
      </w:pPr>
    </w:p>
    <w:p>
      <w:pPr>
        <w:ind w:left="3120" w:hanging="212"/>
        <w:spacing w:after="0"/>
        <w:tabs>
          <w:tab w:leader="none" w:pos="3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Value represents the weighted average exercise price.</w:t>
      </w:r>
    </w:p>
    <w:p>
      <w:pPr>
        <w:spacing w:after="0" w:line="41" w:lineRule="exact"/>
        <w:rPr>
          <w:rFonts w:ascii="Arial" w:cs="Arial" w:eastAsia="Arial" w:hAnsi="Arial"/>
          <w:sz w:val="14"/>
          <w:szCs w:val="14"/>
          <w:color w:val="auto"/>
        </w:rPr>
      </w:pPr>
    </w:p>
    <w:p>
      <w:pPr>
        <w:ind w:left="3060" w:right="3720" w:hanging="152"/>
        <w:spacing w:after="0" w:line="312" w:lineRule="auto"/>
        <w:tabs>
          <w:tab w:leader="none" w:pos="3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Pursuant to the terms of the Company's equity plan, the exercise price and number of options were adjusted so that the stock dividend paid on June 3, 2020 had no negative impact on the outstanding stock options (See Note 14 - Stockholders' Equity).</w:t>
      </w:r>
    </w:p>
    <w:p>
      <w:pPr>
        <w:sectPr>
          <w:pgSz w:w="11900" w:h="16838" w:orient="portrait"/>
          <w:cols w:equalWidth="0" w:num="1">
            <w:col w:w="10900"/>
          </w:cols>
          <w:pgMar w:left="320" w:top="2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69" w:right="67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06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For the Six Months Ended June</w:t>
            </w:r>
          </w:p>
        </w:tc>
      </w:t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49"/>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LTIP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3,350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6,361</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3,204</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Phantom stock units</w:t>
            </w:r>
          </w:p>
        </w:tc>
        <w:tc>
          <w:tcPr>
            <w:tcW w:w="14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422</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5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4,210</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The Company capitalized share and unit-based compensation costs of $941 and $1,459 for the three months ended June 30, 2020 and 2019, respectively, and $2,320 and $2,605 for the six months ended June 30, 2020 and 2019, respectively. Unrecognized compensation costs of share and unit-based plans at June 30, 2020 consisted of $9,782 from LTIP Units, $3,560 from stock units and $320 from phantom stock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62"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of the TRSs are as follows: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58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3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96"/>
        </w:trPr>
        <w:tc>
          <w:tcPr>
            <w:tcW w:w="43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295"/>
              <w:spacing w:after="0"/>
              <w:rPr>
                <w:sz w:val="20"/>
                <w:szCs w:val="20"/>
                <w:color w:val="auto"/>
              </w:rPr>
            </w:pPr>
            <w:r>
              <w:rPr>
                <w:rFonts w:ascii="Arial" w:cs="Arial" w:eastAsia="Arial" w:hAnsi="Arial"/>
                <w:sz w:val="18"/>
                <w:szCs w:val="18"/>
                <w:color w:val="auto"/>
                <w:w w:val="86"/>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left="255"/>
              <w:spacing w:after="0"/>
              <w:rPr>
                <w:sz w:val="20"/>
                <w:szCs w:val="20"/>
                <w:color w:val="auto"/>
              </w:rPr>
            </w:pPr>
            <w:r>
              <w:rPr>
                <w:rFonts w:ascii="Arial" w:cs="Arial" w:eastAsia="Arial" w:hAnsi="Arial"/>
                <w:sz w:val="18"/>
                <w:szCs w:val="18"/>
                <w:color w:val="auto"/>
                <w:w w:val="90"/>
              </w:rPr>
              <w:t>(851)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4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income tax benefit (expense)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0"/>
              </w:rPr>
              <w:t>(679)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$32,108 and $30,757 were included in deferred charges and other assets, net at June 30, 2020 and December 31, 2019, respectively.</w:t>
      </w:r>
    </w:p>
    <w:p>
      <w:pPr>
        <w:spacing w:after="0" w:line="120"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tax years 2016 through 2018 remain open to examination by the taxing jurisdictions to which the Company is subject. The Company does not expect that the total amount of unrecognized tax benefit will materially change within the next twelve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62"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On July 24, 2020, the Company announced a dividend/distribution of $0.15 per share for common stockholders and OP Unitholders of record on August 19, 2020. All dividends/distributions will be paid 100% in cash on September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69" w:right="4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780"/>
        <w:spacing w:after="0" w:line="441"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IMPORTANT INFORMATION RELATED TO FORWARD-LOOKING STATEMENTS</w:t>
      </w:r>
    </w:p>
    <w:p>
      <w:pPr>
        <w:spacing w:after="0" w:line="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54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14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right="40" w:firstLine="445"/>
        <w:spacing w:after="0" w:line="285" w:lineRule="auto"/>
        <w:rPr>
          <w:sz w:val="20"/>
          <w:szCs w:val="20"/>
          <w:color w:val="auto"/>
        </w:rPr>
      </w:pPr>
      <w:r>
        <w:rPr>
          <w:rFonts w:ascii="Arial" w:cs="Arial" w:eastAsia="Arial" w:hAnsi="Arial"/>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Quarterly Report on Form 10-Q and in our Annual Report on Form 10-K for the year ended December 31, 2019,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62"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2020, the Operating Partnership owned or had an ownership interest in 47 regional shopping centers, five community/power shopping centers and other assets aggregating approximately 51 million square feet of gross leasable area. These 52 regional and community/power shopping centers are referred to hereinafter as the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six months ended June 30, 2020 and 2019. It compares the results of operations for the three months ended June 30, 2020 to the results of operations for the three months ended June 30, 2019. It also compares the results of operations and cash flows for the six months ended June 30, 2020 to the results of operations and cash flows for the six months ended June 30, 2019.</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0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9"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1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0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19" w:lineRule="exact"/>
        <w:rPr>
          <w:sz w:val="20"/>
          <w:szCs w:val="20"/>
          <w:color w:val="auto"/>
        </w:rPr>
      </w:pPr>
    </w:p>
    <w:p>
      <w:pPr>
        <w:jc w:val="both"/>
        <w:ind w:right="360" w:firstLine="445"/>
        <w:spacing w:after="0" w:line="263" w:lineRule="auto"/>
        <w:rPr>
          <w:sz w:val="20"/>
          <w:szCs w:val="20"/>
          <w:color w:val="auto"/>
        </w:rPr>
      </w:pPr>
      <w:r>
        <w:rPr>
          <w:rFonts w:ascii="Arial" w:cs="Arial" w:eastAsia="Arial" w:hAnsi="Arial"/>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116"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10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1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119"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$37.1 million is repayable by the end of 2020 with the balance repayable in the first quarter of 2021.</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5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$61.9 million of the total $247.7 million incurred by the joint venture as of June 30, 2020. The joint venture expects to fund the remaining costs of the development with its new $414.6 million construction loan (See "Financing Activities").</w:t>
      </w:r>
    </w:p>
    <w:p>
      <w:pPr>
        <w:spacing w:after="0" w:line="89" w:lineRule="exact"/>
        <w:rPr>
          <w:sz w:val="20"/>
          <w:szCs w:val="20"/>
          <w:color w:val="auto"/>
        </w:rPr>
      </w:pPr>
    </w:p>
    <w:p>
      <w:pPr>
        <w:ind w:right="280" w:firstLine="445"/>
        <w:spacing w:after="0" w:line="286" w:lineRule="auto"/>
        <w:rPr>
          <w:sz w:val="20"/>
          <w:szCs w:val="20"/>
          <w:color w:val="auto"/>
        </w:rPr>
      </w:pPr>
      <w:r>
        <w:rPr>
          <w:rFonts w:ascii="Arial" w:cs="Arial" w:eastAsia="Arial" w:hAnsi="Arial"/>
          <w:sz w:val="17"/>
          <w:szCs w:val="17"/>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$36.1 million of the total $72.1 million incurred by the joint venture as of June 30, 2020.</w:t>
      </w:r>
    </w:p>
    <w:p>
      <w:pPr>
        <w:spacing w:after="0" w:line="98" w:lineRule="exact"/>
        <w:rPr>
          <w:sz w:val="20"/>
          <w:szCs w:val="20"/>
          <w:color w:val="auto"/>
        </w:rPr>
      </w:pPr>
    </w:p>
    <w:p>
      <w:pPr>
        <w:ind w:right="300" w:firstLine="445"/>
        <w:spacing w:after="0" w:line="301" w:lineRule="auto"/>
        <w:rPr>
          <w:sz w:val="20"/>
          <w:szCs w:val="20"/>
          <w:color w:val="auto"/>
        </w:rPr>
      </w:pPr>
      <w:r>
        <w:rPr>
          <w:rFonts w:ascii="Arial" w:cs="Arial" w:eastAsia="Arial" w:hAnsi="Arial"/>
          <w:sz w:val="16"/>
          <w:szCs w:val="16"/>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$34.3 million at its pro rata share as of June 30,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Transactions and Events:</w:t>
      </w:r>
    </w:p>
    <w:p>
      <w:pPr>
        <w:spacing w:after="0" w:line="14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On March 11, 2020, the COVID-19 outbreak was declared a pandemic by the World Health Organization. As a result, all of the markets that the Company operates in were subject to stay-at-home orders, and the majority of its properties were temporarily closed in part or completely. As of August 7, 2020, the majority of the Company’s properties are now open, other than Queens Center and Kings Plaza in New York City, which have been closed since March 2020, and nine indoor California malls that had previously re-opened in May and early June 2020, but were closed for a second time in July 2020 pursuant to a statewide mandate. Those nine California malls include Fresno Fashion Fair, Inland Center, Lakewood Center, Los Cerritos Center, Stonewood Mall, The Mall at Victor Valley, The Oaks, Pacific View and Vintage Faire Mall. The duration of the nine recent California center closures is yet undetermined.</w:t>
      </w:r>
    </w:p>
    <w:p>
      <w:pPr>
        <w:spacing w:after="0" w:line="12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The Company continues to work with all of its stakeholders to mitigate the impact of COVID-19. The Company has developed and implemented a long list of operational protocols based on Centers for Disease Control and Prevention (“CDC”) recommendations designed to ensure the safety of its employees, tenants, service providers and shoppers. Those measures include among others: the use of sophisticated air filtration systems to increase air circulation and outside air flow and ventilation, significantly intensified cleaning and sanitizing procedures with special focus on high-touch and traffic areas, highly visible and accessible self-service sanitizing stations, providing masks at all properties as needed and requiring mask-wearing at nearly all properties in compliance with state and local requirements, touchless entries, social distance queuing including the use of digital technologies, path of travel guidelines including vertical transportation and deliveries, furniture placement and the use of sophisticated traffic-counting technology to ensure that its properties adhere to any relevant regulatory capacity constraints. The Company’s indoor properties feature vast interior common areas, most with two to three story ceiling clearances, ample floor space and a comfortable environment to practice effective social distancing even during peak retail periods. The Company provides round-the-clock security to enforce policies and regulations, to discourage congregation and to encourage proper distancing. Each property deploys robust messaging to inform all of the Company’s stakeholders of its operating standards and requirements within a multi-media platform that includes abundant on premise signage, digital and social messaging, and information within its property and corporate websites. The Company believes that, due to the quality of design and construction of its malls, it will be able to continue to provide a safe indoor environment for its employees, tenants, service providers and shoppers. While the Company will incur some incremental costs associated with COVID-19 operating protocols and programs, it does not anticipate these incremental costs will be significant.</w:t>
      </w:r>
    </w:p>
    <w:p>
      <w:pPr>
        <w:spacing w:after="0" w:line="114" w:lineRule="exact"/>
        <w:rPr>
          <w:sz w:val="20"/>
          <w:szCs w:val="20"/>
          <w:color w:val="auto"/>
        </w:rPr>
      </w:pPr>
    </w:p>
    <w:p>
      <w:pPr>
        <w:ind w:right="180" w:firstLine="445"/>
        <w:spacing w:after="0" w:line="301" w:lineRule="auto"/>
        <w:rPr>
          <w:sz w:val="20"/>
          <w:szCs w:val="20"/>
          <w:color w:val="auto"/>
        </w:rPr>
      </w:pPr>
      <w:r>
        <w:rPr>
          <w:rFonts w:ascii="Arial" w:cs="Arial" w:eastAsia="Arial" w:hAnsi="Arial"/>
          <w:sz w:val="16"/>
          <w:szCs w:val="16"/>
          <w:color w:val="auto"/>
        </w:rPr>
        <w:t>While the ultimate adverse impact of this outbreak is unknown at this time, the Company’s financial condition and the results of its operations have been negatively impacted, as tenants delayed rent payments during the second quarter of 2020 and some tenants have continued to request delayed or reduced rent payments for July and beyond. See "Outlook" in Results of Operations for a further discussion of the forward-looking impact of COVID-19 and the Company's strategic plan to mitigate the anticipated negative impact on its financial condition and results of operations.</w:t>
      </w:r>
    </w:p>
    <w:p>
      <w:pPr>
        <w:spacing w:after="0" w:line="7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represents a reduction from the Company’s first quarter dividend, and was paid in a combination of cash and shares of common stock to preserve liquidity in light of the impact and uncertainty arising out of the COVID-19 outbreak. On July 24, 2020, the Company declared a further reduced third quarter cash dividend of $0.15 per share of its common stock, which will be paid on September 8, 2020 to stockholders of record on August 19, 2020. The Company may continue to pay dividends at reduced levels during the remainder of 2020 and beyond. The dividend amount will be reviewed by the Board on a quarterly basis. See “Liquidity and Capital Resources” for a further discussion of the Company’s anticipated liquidity needs, and the measures taken by the Company to meet those needs.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w:t>
      </w:r>
    </w:p>
    <w:p>
      <w:pPr>
        <w:spacing w:after="0" w:line="144"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6"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w:t>
      </w:r>
    </w:p>
    <w:p>
      <w:pPr>
        <w:spacing w:after="0" w:line="158"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w:t>
      </w:r>
    </w:p>
    <w:p>
      <w:pPr>
        <w:spacing w:after="0" w:line="1" w:lineRule="exact"/>
        <w:rPr>
          <w:sz w:val="20"/>
          <w:szCs w:val="20"/>
          <w:color w:val="auto"/>
        </w:rPr>
      </w:pPr>
    </w:p>
    <w:p>
      <w:pPr>
        <w:ind w:firstLine="8"/>
        <w:spacing w:after="0" w:line="285" w:lineRule="auto"/>
        <w:tabs>
          <w:tab w:leader="none" w:pos="3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91"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Impairment:</w:t>
      </w:r>
    </w:p>
    <w:p>
      <w:pPr>
        <w:spacing w:after="0" w:line="158"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84" w:lineRule="exact"/>
        <w:rPr>
          <w:sz w:val="20"/>
          <w:szCs w:val="20"/>
          <w:color w:val="auto"/>
        </w:rPr>
      </w:pPr>
    </w:p>
    <w:p>
      <w:pPr>
        <w:jc w:val="both"/>
        <w:ind w:right="440" w:firstLine="445"/>
        <w:spacing w:after="0" w:line="286" w:lineRule="auto"/>
        <w:rPr>
          <w:sz w:val="20"/>
          <w:szCs w:val="20"/>
          <w:color w:val="auto"/>
        </w:rPr>
      </w:pPr>
      <w:r>
        <w:rPr>
          <w:rFonts w:ascii="Arial" w:cs="Arial" w:eastAsia="Arial" w:hAnsi="Arial"/>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8"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16"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56"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110"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For the comparison of the three and six months ended June 30, 2020 to the three and six months ended June 30, 2019, the Redevelopment Properties are Paradise Valley Mall and certain ground up developments. For the comparison of the three and six months ended June 30, 2020 to the three and six months ended June 30, 2019, there are no Disposition Properties.</w:t>
      </w:r>
    </w:p>
    <w:p>
      <w:pPr>
        <w:spacing w:after="0" w:line="103"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10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 rent per square foot at expiration for the leases expiring during the trailing twelve months based on the spaces 10,000 square feet and under) to be key performance indicators of the Company's internal growth.</w:t>
      </w:r>
    </w:p>
    <w:p>
      <w:pPr>
        <w:spacing w:after="0" w:line="89"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Tenant sales per square foot decreased from $776 for the twelve months ended June 30, 2019 to $774 for the twelve months ended June 30, 2020. Given the widespread closure of the majority of the Company's tenants during April and portions of May and June 2020 as a result of COVID-19 (See "Other Transactions and Events" in Management's Overview and Summary), the tenant sales metric is computed to exclude the period of COVID-19 closure for each tenant. The leased occupancy rate decreased from 94.1% at June 30, 2019 to 91.3% at June 30, 2020. The leasing environment has slowed due to COVID-19, and, as a result, the Company signed 37 new and renewal leases during the second quarter of 2020, which is substantially lower than the quarterly average of new and renewal leases signed during the past four quarters ended March 31, 2020 of 219 leases. Given the substantial decline in leasing volume during the second quarter of 2020, the Company does not believe that re-leasing spreads in the second quarter of 2020 are meaningful. The Company continues to renew or replace leases that are scheduled to expire in 2020, however, the Company cannot be certain of the impact that COVID-19 will have on its ability to sign, renew or replace leases expiring in 2020 or beyond. The leases that are scheduled to expire in the year 2020 represent 0.9 million square feet of the Centers, accounting for 14.0% of the gross leasable area ("GLA") of mall stores and freestanding stores within spaces less than or equal to 10,000 square feet. These calculations exclude Centers under development or redevelopment and property dispositions (See "Redevelopment and Development Activities" in Management's Overview and Summary), and include square footage of Centers owned by joint ventures at the Company’s share. As of June 30, 2020, the Company had entered into leases for approximately 62% of the square footage expiring in 2020, and was in the process of negotiating and documenting leases for an additional 25% of its square footage expiring in 2020. The Company has entered into 91 leases for new stores totaling nearly 570,000 square feet that are planned for opening in 2020. While there may be additional new store openings in 2020, any such leases are not yet executed. In total, the Company has entered into 138 leases for new stores totaling over 1.3 million square feet. After speaking with each prospective tenant of such new stores, only six tenants have currently indicated they no longer plan to or are uncertain about their ability to open their new store, which equates to only 47,000 square feet of the total 1.3 million square foot pipeline of new store leases. The balance of the 132 leases are planned to open primarily in 2020 and 2021.</w:t>
      </w:r>
    </w:p>
    <w:p>
      <w:pPr>
        <w:spacing w:after="0" w:line="320"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During the trailing twelve months ended June 30, 2020, the Company signed 245 new leases and 457 renewal leases comprising approximately 2.8 million square feet of GLA, of which 1.9 million square feet is related to the consolidated Centers. The average tenant allowance was $17.04 per square foot.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As a result of COVID-19 (See "Other Transactions and Events" in Management's Overview and Summary) and subsequent government mandates, all but a few of the Company’s Centers had shuttered, except for the continued operation of essential retail and services, and approximately 74% of the gross leasable area, which was previously occupied prior to the COVID-19 closures, had closed. During the period following the stay-at-home mandates, the Company has continued to employ the appropriate levels of maintenance, cleaning and security protocols to ensure the maximum safety of its tenants, vendors, employees and properties. As of August 7, 2020, the majority of the Company’s properties are now open, other than Queens Center and Kings Plaza in New York City, which have been closed since March 2020, and nine indoor California malls that had previously re-opened in May and early June 2020, but were closed for a second time in July 2020 pursuant to a statewide mandate. Those nine California malls include Fresno Fashion Fair, Inland Center, Lakewood Center, Los Cerritos Center, Stonewood Mall, The Mall at Victor Valley, The Oaks, Pacific View and Vintage Faire Mall. The duration of the nine recent California center closures is yet undetermined.</w:t>
      </w:r>
    </w:p>
    <w:p>
      <w:pPr>
        <w:spacing w:after="0" w:line="113"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The Company collected approximately 46% of rents billed for the three months ended June 30, 2020, including approximately 58% for the month of June 2020. The Company has collected approximately 66% of rents billed for July 2020. The rate of collections in the second quarter of 2020 improved as the quarter progressed. The Company continues to make meaningful progress in its negotiations with national and local tenants to secure rental payments, despite a significant portion of the Company’s tenants requesting rental assistance, whether in the form of deferral or rent reduction. For example, the Company has agreed to repayment terms with and/or received payments from approximately 60% of the Company’s top 100 tenants based on revenue. The majority of these lease amendments provide for payment deferrals extending into 2021. Other lease amendments, entered into primarily with local tenants, result in rent abatements. The majority of the Company’s leases require continued payment of rent by the Company’s tenants during the period of government mandated closures caused by COVID-19. Many of the Company’s leases contain co-tenancy clauses, which provide for reduced rent and/or termination rights if Anchors close and/or occupancy falls below threshold levels. The Company does not believe that the temporary closures of Anchors or other tenants during the COVID-19 stay-at-home mandates have triggered co-tenancy clauses within its leases. However, certain Anchor or small tenant closures will become permanent following the re-opening of the Company's properties, and co-tenancy clauses within certain leases may be triggered as a result. It is too early to determine the impact of all such clauses, but the Company does not anticipate the negative impact on lease revenue will be significant.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firstLine="445"/>
        <w:spacing w:after="0" w:line="286" w:lineRule="auto"/>
        <w:rPr>
          <w:sz w:val="20"/>
          <w:szCs w:val="20"/>
          <w:color w:val="auto"/>
        </w:rPr>
      </w:pPr>
      <w:r>
        <w:rPr>
          <w:rFonts w:ascii="Arial" w:cs="Arial" w:eastAsia="Arial" w:hAnsi="Arial"/>
          <w:sz w:val="17"/>
          <w:szCs w:val="17"/>
          <w:color w:val="auto"/>
        </w:rPr>
        <w:t>During 2020, there have been 32 bankruptcy filings involving the Company’s tenants, totaling 288 leases and involving approximately 5.7 million square feet and $77.1 million of annual leasing revenue at the Company’s share. The Company anticipates that there may likely be further bankruptcy filings by tenants at the Company’s properties, which are accelerated as a result of general conditions caused by COVID-19.</w:t>
      </w:r>
    </w:p>
    <w:p>
      <w:pPr>
        <w:spacing w:after="0" w:line="84"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As disclosed in the Company’s Quarterly Report on Form 10-Q for the three months ended March 31, 2020, the Company has submitted recovery claims under its insurance coverage due to business interruption from COVID-19. As of June 30, 2020, the Company does not believe it is likely that it will be able to collect on these claims given the facts and circumstances regarding the COVID-19 pandemic event.</w:t>
      </w:r>
    </w:p>
    <w:p>
      <w:pPr>
        <w:spacing w:after="0" w:line="98"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The Company has experienced, and expects to continue to experience, a negative impact to its leasing revenue, its rate of rent collections from tenants, and the occupancy rates at its properties due to COVID-19. For the quarter ended June 30, 2020, leasing revenue decreased by 20% compared to the quarter ended June 30, 2019. As of June 30, 2020, the leased occupancy rate decreased to 91.3% from 94.1% at June 30, 2019. The Company anticipates a further decline to occupancy rates from tenant bankruptcies and pre-lease termination abandonments by certain tenants. In addition, the volume of leasing transactions declined significantly in the second quarter of 2020.</w:t>
      </w:r>
    </w:p>
    <w:p>
      <w:pPr>
        <w:spacing w:after="0" w:line="109"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During this period of disrupted rent collections due to COVID-19, the Company has taken numerous measures to preserve its liquidity, including among others:</w:t>
      </w:r>
    </w:p>
    <w:p>
      <w:pPr>
        <w:spacing w:after="0" w:line="89" w:lineRule="exact"/>
        <w:rPr>
          <w:sz w:val="20"/>
          <w:szCs w:val="20"/>
          <w:color w:val="auto"/>
        </w:rPr>
      </w:pPr>
    </w:p>
    <w:p>
      <w:pPr>
        <w:ind w:right="60" w:firstLine="453"/>
        <w:spacing w:after="0" w:line="259"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drawn the majority of the remaining capacity on its $1.5 billion revolving line of credit. As of June 30, 2020, the Company had $573.0 million of cash, including its pro rata share from its unconsolidated joint ventures. The Company will incur additional interest expense during the period that it continues to carry higher than normal cash balances on its consolidated balance sheet. The period of continued cash retention is uncertain at this time.</w:t>
      </w:r>
    </w:p>
    <w:p>
      <w:pPr>
        <w:spacing w:after="0" w:line="119" w:lineRule="exact"/>
        <w:rPr>
          <w:rFonts w:ascii="Arial" w:cs="Arial" w:eastAsia="Arial" w:hAnsi="Arial"/>
          <w:sz w:val="18"/>
          <w:szCs w:val="18"/>
          <w:color w:val="auto"/>
        </w:rPr>
      </w:pPr>
    </w:p>
    <w:p>
      <w:pPr>
        <w:ind w:right="100" w:firstLine="453"/>
        <w:spacing w:after="0" w:line="25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paid a reduced quarterly dividend of $0.50 per share of its common stock on June 3, 2020, in a combination of 20% cash and 80% of shares of the Company’s common stock. On July 24, 2020, the Company declared a further reduced third quarter cash dividend of $0.15 per share of its common stock, which will be paid on September 8, 2020 to stockholders of record on August 19, 2020. When combined with the cash portion of the second quarter dividend of $0.10 per share, if the third quarter cash dividend rate of $0.15 per share of its common stock were to be paid for the next two quarters, the Company would retain approximately $370 million of cash.</w:t>
      </w:r>
    </w:p>
    <w:p>
      <w:pPr>
        <w:spacing w:after="0" w:line="120" w:lineRule="exact"/>
        <w:rPr>
          <w:rFonts w:ascii="Arial" w:cs="Arial" w:eastAsia="Arial" w:hAnsi="Arial"/>
          <w:sz w:val="18"/>
          <w:szCs w:val="18"/>
          <w:color w:val="auto"/>
        </w:rPr>
      </w:pPr>
    </w:p>
    <w:p>
      <w:pPr>
        <w:jc w:val="both"/>
        <w:ind w:right="60" w:firstLine="453"/>
        <w:spacing w:after="0" w:line="263"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anticipates spending approximately $60 million in the second half of 2020 on redevelopment, which represents a 60% reduction in previously estimated 2020 redevelopment expenditures for that period of time. This excludes the redevelopment of One Westside, which is fully funded by a non-recourse construction facility.</w:t>
      </w:r>
    </w:p>
    <w:p>
      <w:pPr>
        <w:spacing w:after="0" w:line="102"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reduced planned capital expenditures at its properties by 65% down to approximately $15 million at the Company’s share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2020.</w:t>
      </w:r>
    </w:p>
    <w:p>
      <w:pPr>
        <w:spacing w:after="0" w:line="143" w:lineRule="exact"/>
        <w:rPr>
          <w:rFonts w:ascii="Arial" w:cs="Arial" w:eastAsia="Arial" w:hAnsi="Arial"/>
          <w:sz w:val="16"/>
          <w:szCs w:val="16"/>
          <w:color w:val="auto"/>
        </w:rPr>
      </w:pPr>
    </w:p>
    <w:p>
      <w:pPr>
        <w:ind w:left="660" w:hanging="20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expects amounts to be incurred during 2020 for tenant allowances and deferred leasing charges to be substantially less than 2019.</w:t>
      </w:r>
    </w:p>
    <w:p>
      <w:pPr>
        <w:spacing w:after="0" w:line="180" w:lineRule="exact"/>
        <w:rPr>
          <w:rFonts w:ascii="Arial" w:cs="Arial" w:eastAsia="Arial" w:hAnsi="Arial"/>
          <w:sz w:val="16"/>
          <w:szCs w:val="16"/>
          <w:color w:val="auto"/>
        </w:rPr>
      </w:pPr>
    </w:p>
    <w:p>
      <w:pPr>
        <w:ind w:right="720" w:firstLine="453"/>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reduced its controllable shopping center expenses by approximately 35% to 45% during the period that its properties were substantially closed.</w:t>
      </w:r>
    </w:p>
    <w:p>
      <w:pPr>
        <w:spacing w:after="0" w:line="89" w:lineRule="exact"/>
        <w:rPr>
          <w:rFonts w:ascii="Arial" w:cs="Arial" w:eastAsia="Arial" w:hAnsi="Arial"/>
          <w:sz w:val="18"/>
          <w:szCs w:val="18"/>
          <w:color w:val="auto"/>
        </w:rPr>
      </w:pPr>
    </w:p>
    <w:p>
      <w:pPr>
        <w:ind w:right="280" w:firstLine="453"/>
        <w:spacing w:after="0" w:line="311" w:lineRule="auto"/>
        <w:tabs>
          <w:tab w:leader="none" w:pos="6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$37.1 million is repayable by the end of 2020 with the balance repayable in the first quarter of 2021.</w:t>
      </w:r>
    </w:p>
    <w:p>
      <w:pPr>
        <w:spacing w:after="0" w:line="8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Given the continued disruption and uncertainties from COVID-19 and the impact on the capital markets, the Company does not anticipate it will be able to refinance its near-term maturing mortgages. As a result, the Company plans to secure short-term extensions of its near-term maturing non-recourse mortgage loans on Danbury Fair Mall of $191.5 million maturing on October 1, 2020, Fashion Outlets of Niagara of $104.7 million maturing on October 6, 2020, FlatIron Crossing of $113.3 million maturing on January 5, 2021, Green Acres Mall of $274.2 million maturing on February 3, 2021 and Green Acres Commons of $129.4 million maturing on March 29, 2021, although there can be no guarantees the Company will be successful in obtaining these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2020 and 2019</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Leasing revenue decreased by $42.3 million, or 20.0%, from 2019 to 2020. The decrease in leasing revenue is attributed to decreases of $41.6 million from the Same Centers and $0.7 million from the Redevelopment Properties. Leasing revenue includes the amortization of above and below-market leases, the amortization of straight-line rents, lease termination income and the provision for bad debts. The amortization of above and below-market leases decreased from $4.1 million in 2019 to $0.4 million in 2020. The amortization of straight-line rents decreased from $1.5 million in 2019 to $(1.8) million in 2020. Lease termination income decreased from $2.6 million in 2019 to $1.5 million in 2020. Provision for bad debts increased from $2.0 million in 2019 to $27.8 million in 2020. The increase in bad debt expense is a result of the Company assessing collectability by tenant and determining that it was no longer probable that substantially all leasing revenue would be collected from the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99"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Other income decreased from $7.8 million in 2019 to $3.0 million in 2020. The decrease is primarily a decline in parking garage income due to the closures of properties as a result of COVID-19 (See "Other Transactions and Events" in Management's Overview and Summary).</w:t>
      </w:r>
    </w:p>
    <w:p>
      <w:pPr>
        <w:spacing w:after="0" w:line="65"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Management Companies' revenue decreased from $9.1 million in 2019 to $6.8 million in 2020. The decrease in Management Companies' revenue is primarily due to a decrease in development fees from unconsolidated joint ventures.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Shopping center and operating expenses decreased $7.0 million, or 10.9%, from 2019 to 2020. The decrease in shopping center and operating expenses is attributed to decreases of $6.9 million from the Same Centers and $0.1 million from the Redevelopment Properties. The decrease in shopping center and operating expenses at the Same Centers is primarily the result of COVID-19 (See "Other Transactions and Events" in Management's Overview and Summary).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Leasing expenses decreased from $7.7 million in 2019 to $6.7 million in 2020.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operating expenses increased $0.8 million from 2019 to 2020.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REIT general and administrative expenses increased $3.7 million from 2019 to 2020 primarily due to an increase in compensation and consulting expense.</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Depreciation and amortization decreased $2.1 million from 2019 to 2020. The decrease in depreciation and amortization is attributed to a decrease of $2.4 million from the Same Centers offset in part by a $0.3 million increase from the Redevelopment Properties.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w:t>
      </w:r>
    </w:p>
    <w:p>
      <w:pPr>
        <w:spacing w:after="0" w:line="14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Interest expense decreased $17.1 million from 2019 to 2020. The decrease in interest expense is attributed to a decrease of $19.6 million from the Financing Arrangement (See "Other Transactions and Events" in Management's Overview and Summary) offset in part by an increase of $1.6 million from the Same Centers and $0.9 million from the increased borrowings under the Company's revolving line of credit. The decrease in interest expense from the Financing Arrangement is primarily due to the change in fair value of the underlying properties and the mortgage notes payable on the underlying properties.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(Loss) Income of Unconsolidated Joint Ventures:</w:t>
      </w:r>
    </w:p>
    <w:p>
      <w:pPr>
        <w:spacing w:after="0" w:line="144"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Equity in (loss) income of unconsolidated joint ventures decreased $21.4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$1.0 million in 2019 to $12.9 million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Sale or Write Down of Assets, net:</w:t>
      </w:r>
    </w:p>
    <w:p>
      <w:pPr>
        <w:spacing w:after="0" w:line="14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loss on sale or write down of assets, net decreased from a loss of $9.1 million in 2019 to a loss of $3.9 million in 2020. The change in loss on sale or write down of assets, net is primarily due to the write-down of development costs in 2019, offset in part by the $2.8 million write-down of non-real estate assets and $1.1 million write-down of development costs in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(Loss) Income:</w:t>
      </w:r>
    </w:p>
    <w:p>
      <w:pPr>
        <w:spacing w:after="0" w:line="15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Net (loss) income decreased $40.7 million from 2019 to 2020. The decrease in net (loss) income is primarily the result of COVID-19 (See "Other Transactions and Events" in Management's Overview and Summary).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decreased 54.7% from $133.6 million in 2019 to $60.5 million in 2020.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2020 and 2019</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Leasing revenue decreased by $42.6 million, or 10.1%, from 2019 to 2020. The decrease in leasing revenue is attributed to decreases of $41.7 million from the Same Centers and $0.9 million from the Redevelopment Properties. Leasing revenue includes the amortization of above and below-market leases, the amortization of straight-line rents, lease termination income and the provision for bad debts. The amortization of above and below-market leases decreased from $4.6 million in 2019 to $0.8 million in 2020. Straight-line rents decreased from $3.9 million in 2019 to $0.4 million in 2020. Lease termination income decreased from $3.2 million in 2019 to $2.7 million in 2020. Provision for bad debts increased from $3.8 million in 2019 to $28.7 million in 2020. The increase in bad debt expense is a result of the Company assessing collectability by tenant and determining that it was no longer probable that substantially all leasing revenue would be collected from the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99"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Management Companies' revenue decreased from $19.3 million in 2019 to $13.8 million in 2020 due to a decrease in development fees and interest income due to the collection of a loan receivable in 2019.</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Shopping center and operating expenses decreased $5.8 million, or 4.4%, from 2019 to 2020. The decrease in shopping center and operating expenses is attributed to decreases of $5.0 million from the Same Centers, $0.5 million from the Disposition Properties and $0.3 million from the Redevelopment Properties. The decrease in shopping center and operating expenses at the Same Centers is primarily the result of COVID-19 (See "Other Transactions and Events" in Management's Overview and Summary).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Leasing expenses decreased from $15.2 million in 2019 to $14.1 million in 2020.</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operating expenses decreased $2.0 million from 2019 to 2020 due to a decrease in compensation expense.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REIT general and administrative expenses increased $3.5 million from 2019 to 2020 primarily due to an increase in compensation and consulting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14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Depreciation and amortization decreased $1.3 million from 2019 to 2020. The decrease in depreciation and amortization is attributed to decreases of $1.8 million from the Same Centers offset in part by a $0.5 million increase from the Redevelopment Properties.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 Expense:</w:t>
      </w:r>
    </w:p>
    <w:p>
      <w:pPr>
        <w:spacing w:after="0" w:line="15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Interest expense decreased $47.4 million from 2019 to 2020. The decrease in interest expense was attributed to a decrease of $53.4 million from the Financing Arrangement (See Note 12—Financing Arrangement in the Company's Notes to the Consolidated Financial Statements), offset in part by increases of $4.9 million from the Same Centers and $1.1 million from increased borrowings under the Company's revolving line of credit. The decrease in interest expense from the Financing Arrangement is primarily due to the change in fair value of the underlying properties and the mortgage notes payable on the underlying properties.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 (Loss) Income of Unconsolidated Joint Ventures:</w:t>
      </w:r>
    </w:p>
    <w:p>
      <w:pPr>
        <w:spacing w:after="0" w:line="15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Equity in (loss) income of unconsolidated joint ventures decreased $24.0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$1.6 million in 2019 to $14.7 million in 2020.</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on Sale or Write Down of Assets, net:</w:t>
      </w:r>
    </w:p>
    <w:p>
      <w:pPr>
        <w:spacing w:after="0" w:line="144"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Loss on sale or write down of assets, net increased $25.2 million from 2019 to 2020. The increase in loss on sale or write down of assets, net is primarily due to the $36.7 million of impairment losses, $2.8 million write-down of non-real estate assets and $1.1 million write-down of development costs in 2020, offset in part by the $14.8 million in the write-down of development costs in 2019. The impairment losses were due to the reduction in the estimated holding periods of Wilton Mall and Paradise Valley Mall.</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(Loss) Income:</w:t>
      </w:r>
    </w:p>
    <w:p>
      <w:pPr>
        <w:spacing w:after="0" w:line="158"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Net (loss) income decreased $40.8 million from 2019 to 2020. The decrease in net (loss) income is primarily the result of COVID-19 (See "Other Transactions and Events" in Management's Overview and Summary).</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decreased 28.3% from $255.6 million in 2019 to $183.2 million in 2020. For a reconciliation of net (loss)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right="380" w:firstLine="445"/>
        <w:spacing w:after="0" w:line="301" w:lineRule="auto"/>
        <w:rPr>
          <w:sz w:val="20"/>
          <w:szCs w:val="20"/>
          <w:color w:val="auto"/>
        </w:rPr>
      </w:pPr>
      <w:r>
        <w:rPr>
          <w:rFonts w:ascii="Arial" w:cs="Arial" w:eastAsia="Arial" w:hAnsi="Arial"/>
          <w:sz w:val="16"/>
          <w:szCs w:val="16"/>
          <w:color w:val="auto"/>
        </w:rPr>
        <w:t>Cash provided by operating activities decreased $180.5 million from 2019 to 2020. The decrease is primarily due to a $131.9 million increase in tenant and other receivables, a $29.5 million decrease in other accrued liabilities and to the other changes in assets and liabilities and the results, as discussed above. The increase in tenant and other receivables and the decrease in other accrued liabilities is primarily attributed to a decrease in rents collected and a decrease in prepaid rent as a result of COVID-19 (See "Other Transactions and Events" in Management's Overview and Summary).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Cash used in investing activities increased $86.2 million from 2019 to 2020. The increase in cash used in investing activities is primarily attributed to decreases in proceeds from notes receivable of $65.6 million and distributions from unconsolidated joint ventures of $67.2 million offset in part by a decrease in contributions to unconsolidated joint ventures of $16.6 million. The decrease in proceeds from notes receivable is due to the collection of the note receivable from the Lennar Corporation in 2019 (See Note 16—Related Party Transactions in the Company's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Cash provided by financing activities increased $661.0 million from 2019 to 2020. The increase in cash provided by financing activities is primarily due to a decrease in payments on mortgages, bank and other notes payable of $828.4 million and a decrease in dividends and distributions of $114.0 million which are offset by a decrease in proceeds from mortgages, bank and other notes payable of $316.0 million. The decreases in payments on mortgages, bank and other notes payable, dividends and distributions and the proceeds from mortgages, bank and other notes payable are attributed to the Company's plan to increase liquidity in connection with COVID-19 (See "Other Transactions and Events" in Management's Overview and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20" w:firstLine="445"/>
        <w:spacing w:after="0" w:line="269" w:lineRule="auto"/>
        <w:rPr>
          <w:sz w:val="20"/>
          <w:szCs w:val="20"/>
          <w:color w:val="auto"/>
        </w:rPr>
      </w:pPr>
      <w:r>
        <w:rPr>
          <w:rFonts w:ascii="Arial" w:cs="Arial" w:eastAsia="Arial" w:hAnsi="Arial"/>
          <w:sz w:val="17"/>
          <w:szCs w:val="17"/>
          <w:color w:val="auto"/>
        </w:rPr>
        <w:t>The Company has historically met its liquidity needs for its operating expenses, debt service and dividend requirements for the next twelve months through cash generated from operations, distributions from unconsolidated joint ventures, working capital reserves and/or borrowings under its line of credit. As a result of the uncertain environment resulting from the COVID-19 pandemic (See "Other Transactions and Events" in Management's Overview and Summary), the Company has taken a number of measures to enhance liquidity. These actions ensure that funds are available to meet the Company's obligations for a sustained period of time as the extent and duration of the pandemic's impact becomes clearer. These measures include (i) reduction of the Company's controllable operating expenses, (ii) reduction of planned capital and development expenditures, (iii) reduction of the cash component of its dividend in the second quarter and its third quarter cash dividend, (iv) negotiated deferrals of debt service payments on nineteen mortgage loans totaling $47.2 million, and (v) deferral of real estate taxes to the extent such relief is available. In addition, during the first quarter, the Company borrowed $550 million on its line of credit. As of June 30, 2020, the Company has approximately $573 million of cash, including the unconsolidated joint ventures at the Company's pro rata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capital expenditures incurred at the Centers (at the Company's pro rata share):</w:t>
      </w:r>
    </w:p>
    <w:p>
      <w:pPr>
        <w:spacing w:after="0" w:line="271"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9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17,424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45,208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8,297</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1,781</w:t>
            </w:r>
          </w:p>
        </w:tc>
      </w:tr>
      <w:tr>
        <w:trPr>
          <w:trHeight w:val="237"/>
        </w:trPr>
        <w:tc>
          <w:tcPr>
            <w:tcW w:w="6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36,505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72,710</w:t>
            </w: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4,653</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84,049</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4,136</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1,603</w:t>
            </w:r>
          </w:p>
        </w:tc>
      </w:tr>
      <w:tr>
        <w:trPr>
          <w:trHeight w:val="237"/>
        </w:trPr>
        <w:tc>
          <w:tcPr>
            <w:tcW w:w="6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59,478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94,441</w:t>
            </w: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Company expects amounts to be incurred during the next twelve months for tenant allowances and deferred leasing charges to be substantially less than 2019. The Company expects to incur approximately $60.0 million during the remaining period of 2020 for development, redevelopment, expansion and renovations. This amount excludes the Company's share of the remaining development cost of One Westside,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1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Company has also generated liquidity in the past, and may continue to do so in the future, through equity offerings and issuances, property refinancings, joint venture transactions and the sale of non-core assets.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Company paid a reduced quarterly dividend of $0.50 per share of its common stock on June 3, 2020, in a combination of 20% cash and 80% of shares of the Company’s common stock. On July 24, 2020, the Company declared a further reduced third quarter cash dividend of $0.15 per share of its common stock, which will be paid on September 8, 2020 to stockholders of record on August 19, 2020. When combined with the cash portion of the second quarter dividend of $0.10 per share, if the third quarter cash dividend rate of $0.15 per share of its common stock were to be paid for the next two quarters, the Company would retain approximately $370 million of cash.</w:t>
      </w:r>
    </w:p>
    <w:p>
      <w:pPr>
        <w:spacing w:after="0" w:line="107"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as a result of COVID-</w:t>
      </w:r>
    </w:p>
    <w:p>
      <w:pPr>
        <w:ind w:right="120" w:firstLine="8"/>
        <w:spacing w:after="0" w:line="290"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Many factors impact the Company's ability to access capital, such as its overall debt level, interest rates, interest coverage ratios and prevailing market conditions. Increases in the Company's proportion of floating rate debt, will cause it to be subject to interest rate fluctuations in the future.</w:t>
      </w:r>
    </w:p>
    <w:p>
      <w:pPr>
        <w:spacing w:after="0" w:line="9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June 30, 2020 was $8.7 billion (consisting of $5.9 billion of consolidated debt, less $359.2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2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Given the continued disruption and uncertainties from COVID-19 and the impact on the capital markets, the Company does not anticipate it will be able to refinance its near-term maturing mortgages. As a result, the Company plans to secure short-term extensions of its near-term maturing non-recourse mortgage loans on Danbury Fair Mall of $191.5 million maturing on October 1, 2020, Fashion Outlets of Niagara of $104.7 million maturing on October 6, 2020, FlatIron Crossing of $113.3 million maturing on January 5, 2021, Green Acres Mall of $274.2 million maturing on February 3, 2021 and Green Acres Commons of $129.4 million maturing on March 29, 2021, although there can be no guarantees the Company will be successful in obtaining these extensions.</w:t>
      </w:r>
    </w:p>
    <w:p>
      <w:pPr>
        <w:spacing w:after="0" w:line="111" w:lineRule="exact"/>
        <w:rPr>
          <w:sz w:val="20"/>
          <w:szCs w:val="20"/>
          <w:color w:val="auto"/>
        </w:rPr>
      </w:pPr>
    </w:p>
    <w:p>
      <w:pPr>
        <w:ind w:right="260" w:firstLine="445"/>
        <w:spacing w:after="0" w:line="272" w:lineRule="auto"/>
        <w:rPr>
          <w:sz w:val="20"/>
          <w:szCs w:val="20"/>
          <w:color w:val="auto"/>
        </w:rPr>
      </w:pPr>
      <w:r>
        <w:rPr>
          <w:rFonts w:ascii="Arial" w:cs="Arial" w:eastAsia="Arial" w:hAnsi="Arial"/>
          <w:sz w:val="17"/>
          <w:szCs w:val="17"/>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10"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The Company has a $1.5 billion revolving line of credit facility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 billion. All obligations under the facility are unconditionally guaranteed only by the Company. Based on the Company's leverage level as of June 30, 2020, the borrowing rate on the facility was LIBOR plus 1.55%. The Company has four interest rate swap agreements that effectively convert a total of $400.0 million of the outstanding balance from floating rate debt of LIBOR plus 1.55% to fixed rate debt of 4.30% until September 30, 2021. At June 30, 2020, total borrowings under the line of credit were $1.5 billion less unamortized deferred finance costs of $1.4 million with a total interest rate of 2.55%. The Company's availability under the line of credit was $19.7 million at June 30, 2020. The Company anticipates refinancing its revolving line of credit in advance of its maturity date.</w:t>
      </w:r>
    </w:p>
    <w:p>
      <w:pPr>
        <w:spacing w:after="0" w:line="98" w:lineRule="exact"/>
        <w:rPr>
          <w:sz w:val="20"/>
          <w:szCs w:val="20"/>
          <w:color w:val="auto"/>
        </w:rPr>
      </w:pPr>
    </w:p>
    <w:p>
      <w:pPr>
        <w:ind w:left="420" w:right="1140" w:firstLine="40"/>
        <w:spacing w:after="0" w:line="414" w:lineRule="auto"/>
        <w:rPr>
          <w:sz w:val="20"/>
          <w:szCs w:val="20"/>
          <w:color w:val="auto"/>
        </w:rPr>
      </w:pPr>
      <w:r>
        <w:rPr>
          <w:rFonts w:ascii="Arial" w:cs="Arial" w:eastAsia="Arial" w:hAnsi="Arial"/>
          <w:sz w:val="18"/>
          <w:szCs w:val="18"/>
          <w:color w:val="auto"/>
        </w:rPr>
        <w:t xml:space="preserve">Cash dividends and distributions for the six months ended June 30, 2020 were $130.5 million, which were funded from cash on hand. At June 30, 2020, the Company was in compliance with all applicable loan covenants under its agreements. At June 30, 2020, the Company had cash and cash equivalents of $497.6 million. </w:t>
      </w:r>
      <w:r>
        <w:rPr>
          <w:rFonts w:ascii="Arial" w:cs="Arial" w:eastAsia="Arial" w:hAnsi="Arial"/>
          <w:sz w:val="18"/>
          <w:szCs w:val="18"/>
          <w:i w:val="1"/>
          <w:iCs w:val="1"/>
          <w:color w:val="auto"/>
        </w:rPr>
        <w:t>Off-Balance Sheet Arrangements:</w:t>
      </w:r>
    </w:p>
    <w:p>
      <w:pPr>
        <w:spacing w:after="0" w:line="3"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As of June 30, 2020, one of the Company's joint ventures has $149.7 million of debt that could become recourse to the Company, should the joint venture be unable to discharge the obligation of the related debt.</w:t>
      </w:r>
    </w:p>
    <w:p>
      <w:pPr>
        <w:spacing w:after="0" w:line="8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Additionally, as of June 30, 2020, the Company was contingently liable for $40.8 million in letters of credit guaranteeing performance by the</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Company of certain obligations relating to the Centers. The Company does not believe that these letters of credit will result in a liability to the Company.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is a schedule of contractual obligations as of June 30, 2020 for the consolidated Centers over the periods in which they are expected to be paid (in thousands):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0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obligations (includes expected</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6,930,456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909,486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2,421,245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592,974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3,006,751</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Lease liabilities(2)</w:t>
            </w: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213,219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47,417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23,552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obligations(3)</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191,228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119,236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30,049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7,337,106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1,041,828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2,496,861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630,270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3,168,147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June 30, 2020.</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8—Leases in the Company's Notes to the Consolidated Financial Statements.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15—Commitments and Contingencies in the Company's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8"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The Company uses FFO in addition to net income to report its operating and financial results and considers FFO and FFO </w:t>
      </w:r>
      <w:r>
        <w:rPr>
          <w:rFonts w:ascii="Arial" w:cs="Arial" w:eastAsia="Arial" w:hAnsi="Arial"/>
          <w:sz w:val="16"/>
          <w:szCs w:val="16"/>
          <w:color w:val="auto"/>
        </w:rPr>
        <w:t>—</w:t>
      </w:r>
      <w:r>
        <w:rPr>
          <w:rFonts w:ascii="Arial" w:cs="Arial" w:eastAsia="Arial" w:hAnsi="Arial"/>
          <w:sz w:val="18"/>
          <w:szCs w:val="18"/>
          <w:color w:val="auto"/>
        </w:rPr>
        <w:t>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Beginning during the first quarter of 2018, the Company revised its definition of FFO so that FFO excluded the impact of the financing expense in connection with Chandler Freehold. Beginning in the third quarter of 2019, the Company now presents a separate non-GAAP measure - FFO excluding financing expense in connection with Chandler Freehold. The Company has revised the FFO presentation for the three and six months ended June 30, 2019 to conform to the current presentation.</w:t>
      </w:r>
    </w:p>
    <w:p>
      <w:pPr>
        <w:spacing w:after="0" w:line="11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also presents FFO excluding financing expense in connection with Chandler Freehold and loss on extinguishment of debt, net.</w:t>
      </w:r>
    </w:p>
    <w:p>
      <w:pPr>
        <w:spacing w:after="0" w:line="16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1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Funds From Operations ("FFO") (Continued)</w:t>
      </w:r>
    </w:p>
    <w:p>
      <w:pPr>
        <w:spacing w:after="0" w:line="14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Arial" w:cs="Arial" w:eastAsia="Arial" w:hAnsi="Arial"/>
          <w:sz w:val="16"/>
          <w:szCs w:val="16"/>
          <w:color w:val="auto"/>
        </w:rPr>
        <w:t>—</w:t>
      </w:r>
      <w:r>
        <w:rPr>
          <w:rFonts w:ascii="Arial" w:cs="Arial" w:eastAsia="Arial" w:hAnsi="Arial"/>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119"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following reconciles net (loss) income attributable to the Company to FFO and FFO</w:t>
      </w:r>
      <w:r>
        <w:rPr>
          <w:rFonts w:ascii="Arial" w:cs="Arial" w:eastAsia="Arial" w:hAnsi="Arial"/>
          <w:sz w:val="16"/>
          <w:szCs w:val="16"/>
          <w:color w:val="auto"/>
        </w:rPr>
        <w:t>—</w:t>
      </w:r>
      <w:r>
        <w:rPr>
          <w:rFonts w:ascii="Arial" w:cs="Arial" w:eastAsia="Arial" w:hAnsi="Arial"/>
          <w:sz w:val="18"/>
          <w:szCs w:val="18"/>
          <w:color w:val="auto"/>
        </w:rPr>
        <w:t>diluted attributable to common stockholders and unit holders-basic and diluted, excluding financing expense in connection with Chandler Freehold and loss on extinguishment of debt, net, for the three and six months ended June 30, 2020 and 2019 (dollars and shares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 attributable to the Company</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(25,116)</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15,734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20"/>
        </w:trPr>
        <w:tc>
          <w:tcPr>
            <w:tcW w:w="6340" w:type="dxa"/>
            <w:vAlign w:val="bottom"/>
          </w:tcPr>
          <w:p>
            <w:pPr>
              <w:spacing w:after="0"/>
              <w:rPr>
                <w:sz w:val="20"/>
                <w:szCs w:val="20"/>
                <w:color w:val="auto"/>
              </w:rPr>
            </w:pPr>
            <w:r>
              <w:rPr>
                <w:rFonts w:ascii="Arial" w:cs="Arial" w:eastAsia="Arial" w:hAnsi="Arial"/>
                <w:sz w:val="16"/>
                <w:szCs w:val="16"/>
                <w:color w:val="auto"/>
                <w:w w:val="96"/>
              </w:rPr>
              <w:t>Adjustments to reconcile net (loss) income attributable to the Company to FFO attributable to</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40" w:type="dxa"/>
            <w:vAlign w:val="bottom"/>
          </w:tcPr>
          <w:p>
            <w:pPr>
              <w:spacing w:after="0"/>
              <w:rPr>
                <w:sz w:val="20"/>
                <w:szCs w:val="20"/>
                <w:color w:val="auto"/>
              </w:rPr>
            </w:pPr>
            <w:r>
              <w:rPr>
                <w:rFonts w:ascii="Arial" w:cs="Arial" w:eastAsia="Arial" w:hAnsi="Arial"/>
                <w:sz w:val="16"/>
                <w:szCs w:val="16"/>
                <w:color w:val="auto"/>
              </w:rPr>
              <w:t>common stockholders and unit holders—basic and diluted: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Noncontrolling interests in the Operating Partnership</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1,147</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23"/>
        </w:trPr>
        <w:tc>
          <w:tcPr>
            <w:tcW w:w="6340" w:type="dxa"/>
            <w:vAlign w:val="bottom"/>
          </w:tcPr>
          <w:p>
            <w:pPr>
              <w:ind w:left="100"/>
              <w:spacing w:after="0"/>
              <w:rPr>
                <w:sz w:val="20"/>
                <w:szCs w:val="20"/>
                <w:color w:val="auto"/>
              </w:rPr>
            </w:pPr>
            <w:r>
              <w:rPr>
                <w:rFonts w:ascii="Arial" w:cs="Arial" w:eastAsia="Arial" w:hAnsi="Arial"/>
                <w:sz w:val="16"/>
                <w:szCs w:val="16"/>
                <w:color w:val="auto"/>
              </w:rPr>
              <w:t>Loss on sale or write down of assets, net—consolidated assets</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3,867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9,059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15,375</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Add: noncontrolling interests share of loss on sale or write down of assets—consolidated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(3,369)</w:t>
            </w:r>
          </w:p>
        </w:tc>
        <w:tc>
          <w:tcPr>
            <w:tcW w:w="0" w:type="dxa"/>
            <w:vAlign w:val="bottom"/>
          </w:tcPr>
          <w:p>
            <w:pPr>
              <w:spacing w:after="0"/>
              <w:rPr>
                <w:sz w:val="1"/>
                <w:szCs w:val="1"/>
                <w:color w:val="auto"/>
              </w:rPr>
            </w:pPr>
          </w:p>
        </w:tc>
      </w:tr>
      <w:tr>
        <w:trPr>
          <w:trHeight w:val="224"/>
        </w:trPr>
        <w:tc>
          <w:tcPr>
            <w:tcW w:w="6340" w:type="dxa"/>
            <w:vAlign w:val="bottom"/>
          </w:tcPr>
          <w:p>
            <w:pPr>
              <w:ind w:left="100"/>
              <w:spacing w:after="0"/>
              <w:rPr>
                <w:sz w:val="20"/>
                <w:szCs w:val="20"/>
                <w:color w:val="auto"/>
              </w:rPr>
            </w:pPr>
            <w:r>
              <w:rPr>
                <w:rFonts w:ascii="Arial" w:cs="Arial" w:eastAsia="Arial" w:hAnsi="Arial"/>
                <w:sz w:val="16"/>
                <w:szCs w:val="16"/>
                <w:color w:val="auto"/>
              </w:rPr>
              <w:t>Add: gain on sale of undepreciated assets—consolidated assets</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loss on write-down of non-real estate assets—consolidated assets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(2,793)</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100"/>
              <w:spacing w:after="0"/>
              <w:rPr>
                <w:sz w:val="20"/>
                <w:szCs w:val="20"/>
                <w:color w:val="auto"/>
              </w:rPr>
            </w:pPr>
            <w:r>
              <w:rPr>
                <w:rFonts w:ascii="Arial" w:cs="Arial" w:eastAsia="Arial" w:hAnsi="Arial"/>
                <w:sz w:val="16"/>
                <w:szCs w:val="16"/>
                <w:color w:val="auto"/>
              </w:rPr>
              <w:t>Loss on sale or write down of assets—unconsolidated joint ventures, net(1)</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amortization—consolidated assets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80,294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82,385</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162,507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163,853</w:t>
            </w:r>
          </w:p>
        </w:tc>
        <w:tc>
          <w:tcPr>
            <w:tcW w:w="0" w:type="dxa"/>
            <w:vAlign w:val="bottom"/>
          </w:tcPr>
          <w:p>
            <w:pPr>
              <w:spacing w:after="0"/>
              <w:rPr>
                <w:sz w:val="1"/>
                <w:szCs w:val="1"/>
                <w:color w:val="auto"/>
              </w:rPr>
            </w:pPr>
          </w:p>
        </w:tc>
      </w:tr>
      <w:tr>
        <w:trPr>
          <w:trHeight w:val="224"/>
        </w:trPr>
        <w:tc>
          <w:tcPr>
            <w:tcW w:w="6340" w:type="dxa"/>
            <w:vAlign w:val="bottom"/>
          </w:tcPr>
          <w:p>
            <w:pPr>
              <w:ind w:left="100"/>
              <w:spacing w:after="0"/>
              <w:rPr>
                <w:sz w:val="20"/>
                <w:szCs w:val="20"/>
                <w:color w:val="auto"/>
              </w:rPr>
            </w:pPr>
            <w:r>
              <w:rPr>
                <w:rFonts w:ascii="Arial" w:cs="Arial" w:eastAsia="Arial" w:hAnsi="Arial"/>
                <w:sz w:val="16"/>
                <w:szCs w:val="16"/>
                <w:color w:val="auto"/>
              </w:rPr>
              <w:t>Less: noncontrolling interests in depreciation and amortization—consolidated assets</w:t>
            </w:r>
          </w:p>
        </w:tc>
        <w:tc>
          <w:tcPr>
            <w:tcW w:w="2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(7,321)</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amortization—unconsolidated joint ventures(1)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46,418</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51,207</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96,205</w:t>
            </w:r>
          </w:p>
        </w:tc>
        <w:tc>
          <w:tcPr>
            <w:tcW w:w="0" w:type="dxa"/>
            <w:vAlign w:val="bottom"/>
          </w:tcPr>
          <w:p>
            <w:pPr>
              <w:spacing w:after="0"/>
              <w:rPr>
                <w:sz w:val="1"/>
                <w:szCs w:val="1"/>
                <w:color w:val="auto"/>
              </w:rPr>
            </w:pPr>
          </w:p>
        </w:tc>
      </w:tr>
      <w:tr>
        <w:trPr>
          <w:trHeight w:val="223"/>
        </w:trPr>
        <w:tc>
          <w:tcPr>
            <w:tcW w:w="6340" w:type="dxa"/>
            <w:vAlign w:val="bottom"/>
          </w:tcPr>
          <w:p>
            <w:pPr>
              <w:ind w:left="100"/>
              <w:spacing w:after="0"/>
              <w:rPr>
                <w:sz w:val="20"/>
                <w:szCs w:val="20"/>
                <w:color w:val="auto"/>
              </w:rPr>
            </w:pPr>
            <w:r>
              <w:rPr>
                <w:rFonts w:ascii="Arial" w:cs="Arial" w:eastAsia="Arial" w:hAnsi="Arial"/>
                <w:sz w:val="16"/>
                <w:szCs w:val="16"/>
                <w:color w:val="auto"/>
              </w:rPr>
              <w:t>Less: depreciation on personal property</w:t>
            </w:r>
          </w:p>
        </w:tc>
        <w:tc>
          <w:tcPr>
            <w:tcW w:w="2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(7,799)</w:t>
            </w:r>
          </w:p>
        </w:tc>
        <w:tc>
          <w:tcPr>
            <w:tcW w:w="0" w:type="dxa"/>
            <w:vAlign w:val="bottom"/>
          </w:tcPr>
          <w:p>
            <w:pPr>
              <w:spacing w:after="0"/>
              <w:rPr>
                <w:sz w:val="1"/>
                <w:szCs w:val="1"/>
                <w:color w:val="auto"/>
              </w:rPr>
            </w:pPr>
          </w:p>
        </w:tc>
      </w:tr>
      <w:tr>
        <w:trPr>
          <w:trHeight w:val="33"/>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FFO attributable to common stockholders and unit holders—basic and diluted</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93,161</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148,866</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261,550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283,144</w:t>
            </w:r>
          </w:p>
        </w:tc>
        <w:tc>
          <w:tcPr>
            <w:tcW w:w="0" w:type="dxa"/>
            <w:vAlign w:val="bottom"/>
          </w:tcPr>
          <w:p>
            <w:pPr>
              <w:spacing w:after="0"/>
              <w:rPr>
                <w:sz w:val="1"/>
                <w:szCs w:val="1"/>
                <w:color w:val="auto"/>
              </w:rPr>
            </w:pPr>
          </w:p>
        </w:tc>
      </w:tr>
      <w:tr>
        <w:trPr>
          <w:trHeight w:val="224"/>
        </w:trPr>
        <w:tc>
          <w:tcPr>
            <w:tcW w:w="6340" w:type="dxa"/>
            <w:vAlign w:val="bottom"/>
          </w:tcPr>
          <w:p>
            <w:pPr>
              <w:ind w:left="100"/>
              <w:spacing w:after="0"/>
              <w:rPr>
                <w:sz w:val="20"/>
                <w:szCs w:val="20"/>
                <w:color w:val="auto"/>
              </w:rPr>
            </w:pPr>
            <w:r>
              <w:rPr>
                <w:rFonts w:ascii="Arial" w:cs="Arial" w:eastAsia="Arial" w:hAnsi="Arial"/>
                <w:sz w:val="16"/>
                <w:szCs w:val="16"/>
                <w:color w:val="auto"/>
              </w:rPr>
              <w:t>Financing expense in connection with Chandler Freehold</w:t>
            </w:r>
          </w:p>
        </w:tc>
        <w:tc>
          <w:tcPr>
            <w:tcW w:w="2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(32,626)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(27,569)</w:t>
            </w:r>
          </w:p>
        </w:tc>
        <w:tc>
          <w:tcPr>
            <w:tcW w:w="0" w:type="dxa"/>
            <w:vAlign w:val="bottom"/>
          </w:tcPr>
          <w:p>
            <w:pPr>
              <w:spacing w:after="0"/>
              <w:rPr>
                <w:sz w:val="1"/>
                <w:szCs w:val="1"/>
                <w:color w:val="auto"/>
              </w:rPr>
            </w:pPr>
          </w:p>
        </w:tc>
      </w:tr>
      <w:tr>
        <w:trPr>
          <w:trHeight w:val="33"/>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w w:val="98"/>
              </w:rPr>
              <w:t>FFO attributable to common stockholders and unit holders, excluding financing expense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connection with Chandler Freehold—basic and diluted</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60,535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133,641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183,217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255,575</w:t>
            </w:r>
          </w:p>
        </w:tc>
        <w:tc>
          <w:tcPr>
            <w:tcW w:w="0" w:type="dxa"/>
            <w:vAlign w:val="bottom"/>
          </w:tcPr>
          <w:p>
            <w:pPr>
              <w:spacing w:after="0"/>
              <w:rPr>
                <w:sz w:val="1"/>
                <w:szCs w:val="1"/>
                <w:color w:val="auto"/>
              </w:rPr>
            </w:pPr>
          </w:p>
        </w:tc>
      </w:tr>
      <w:tr>
        <w:trPr>
          <w:trHeight w:val="224"/>
        </w:trPr>
        <w:tc>
          <w:tcPr>
            <w:tcW w:w="6340" w:type="dxa"/>
            <w:vAlign w:val="bottom"/>
          </w:tcPr>
          <w:p>
            <w:pPr>
              <w:ind w:left="100"/>
              <w:spacing w:after="0"/>
              <w:rPr>
                <w:sz w:val="20"/>
                <w:szCs w:val="20"/>
                <w:color w:val="auto"/>
              </w:rPr>
            </w:pPr>
            <w:r>
              <w:rPr>
                <w:rFonts w:ascii="Arial" w:cs="Arial" w:eastAsia="Arial" w:hAnsi="Arial"/>
                <w:sz w:val="16"/>
                <w:szCs w:val="16"/>
                <w:color w:val="auto"/>
              </w:rPr>
              <w:t>Loss on extinguishment of debt, net—consolidated assets</w:t>
            </w:r>
          </w:p>
        </w:tc>
        <w:tc>
          <w:tcPr>
            <w:tcW w:w="2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w w:val="98"/>
              </w:rPr>
              <w:t>FFO attributable to common stockholders and unit holders, excluding financing expense in</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60,535</w:t>
            </w:r>
          </w:p>
        </w:tc>
        <w:tc>
          <w:tcPr>
            <w:tcW w:w="1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133,641</w:t>
            </w:r>
          </w:p>
        </w:tc>
        <w:tc>
          <w:tcPr>
            <w:tcW w:w="1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183,217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255,926</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connection with Chandler Freehold and loss on extinguishment of debt, net—basic and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FFO attributable to common stockholders and unit holders—basic(2)</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154,606</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151,760</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153,260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151,718</w:t>
            </w:r>
          </w:p>
        </w:tc>
        <w:tc>
          <w:tcPr>
            <w:tcW w:w="0" w:type="dxa"/>
            <w:vAlign w:val="bottom"/>
          </w:tcPr>
          <w:p>
            <w:pPr>
              <w:spacing w:after="0"/>
              <w:rPr>
                <w:sz w:val="1"/>
                <w:szCs w:val="1"/>
                <w:color w:val="auto"/>
              </w:rPr>
            </w:pPr>
          </w:p>
        </w:tc>
      </w:tr>
      <w:tr>
        <w:trPr>
          <w:trHeight w:val="224"/>
        </w:trPr>
        <w:tc>
          <w:tcPr>
            <w:tcW w:w="6340" w:type="dxa"/>
            <w:vAlign w:val="bottom"/>
          </w:tcPr>
          <w:p>
            <w:pPr>
              <w:spacing w:after="0"/>
              <w:rPr>
                <w:sz w:val="20"/>
                <w:szCs w:val="20"/>
                <w:color w:val="auto"/>
              </w:rPr>
            </w:pPr>
            <w:r>
              <w:rPr>
                <w:rFonts w:ascii="Arial" w:cs="Arial" w:eastAsia="Arial" w:hAnsi="Arial"/>
                <w:sz w:val="16"/>
                <w:szCs w:val="16"/>
                <w:color w:val="auto"/>
              </w:rPr>
              <w:t>Adjustments for impact of dilutive securities in computing FFO—diluted: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 and unit based compensation plans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Weighted average number of FFO shares outstanding for FFO attributable to common</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154,606</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151,760</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153,260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151,718</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6"/>
                <w:szCs w:val="16"/>
                <w:color w:val="auto"/>
              </w:rPr>
              <w:t>stockholders and unit holders—basic and diluted(2)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149" w:lineRule="exact"/>
        <w:rPr>
          <w:rFonts w:ascii="Arial" w:cs="Arial" w:eastAsia="Arial" w:hAnsi="Arial"/>
          <w:sz w:val="16"/>
          <w:szCs w:val="16"/>
          <w:color w:val="auto"/>
        </w:rPr>
      </w:pPr>
    </w:p>
    <w:p>
      <w:pPr>
        <w:ind w:left="420" w:right="120" w:hanging="412"/>
        <w:spacing w:after="0" w:line="301" w:lineRule="auto"/>
        <w:tabs>
          <w:tab w:leader="none" w:pos="4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10.5 million and 10.4 million OP Units for th</w:t>
      </w:r>
      <w:r>
        <w:rPr>
          <w:rFonts w:ascii="Arial" w:cs="Arial" w:eastAsia="Arial" w:hAnsi="Arial"/>
          <w:sz w:val="17"/>
          <w:szCs w:val="17"/>
          <w:color w:val="auto"/>
        </w:rPr>
        <w:t>e</w:t>
      </w:r>
      <w:r>
        <w:rPr>
          <w:rFonts w:ascii="Arial" w:cs="Arial" w:eastAsia="Arial" w:hAnsi="Arial"/>
          <w:sz w:val="16"/>
          <w:szCs w:val="16"/>
          <w:color w:val="auto"/>
        </w:rPr>
        <w:t xml:space="preserve"> three and six months ended June 30, 2020 and 2019, respectively.</w:t>
      </w:r>
    </w:p>
    <w:p>
      <w:pPr>
        <w:spacing w:after="0" w:line="68" w:lineRule="exact"/>
        <w:rPr>
          <w:rFonts w:ascii="Arial" w:cs="Arial" w:eastAsia="Arial" w:hAnsi="Arial"/>
          <w:sz w:val="16"/>
          <w:szCs w:val="16"/>
          <w:color w:val="auto"/>
        </w:rPr>
      </w:pPr>
    </w:p>
    <w:p>
      <w:pPr>
        <w:ind w:left="420" w:right="80"/>
        <w:spacing w:after="0" w:line="275" w:lineRule="auto"/>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260"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5"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table sets forth information as of June 30, 2020 concerning the Company's long-term debt obligations, including principal cash flows by scheduled maturity, weighted average interest rates and estimated fair value (dollars 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Expected Maturity Date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9"/>
          </w:tcPr>
          <w:p>
            <w:pPr>
              <w:jc w:val="right"/>
              <w:ind w:right="308"/>
              <w:spacing w:after="0"/>
              <w:rPr>
                <w:sz w:val="20"/>
                <w:szCs w:val="20"/>
                <w:color w:val="auto"/>
              </w:rPr>
            </w:pPr>
            <w:r>
              <w:rPr>
                <w:rFonts w:ascii="Arial" w:cs="Arial" w:eastAsia="Arial" w:hAnsi="Arial"/>
                <w:sz w:val="14"/>
                <w:szCs w:val="14"/>
                <w:b w:val="1"/>
                <w:bCs w:val="1"/>
                <w:color w:val="auto"/>
              </w:rPr>
              <w:t>For the twelve months ending June 30,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7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4"/>
                <w:szCs w:val="14"/>
                <w:color w:val="auto"/>
              </w:rPr>
              <w:t>Fixed rate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588,325</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760,830</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25,846</w:t>
            </w: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6,995</w:t>
            </w: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378,269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2,601,463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4,361,728</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4,405,204</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4"/>
                <w:szCs w:val="14"/>
                <w:color w:val="auto"/>
              </w:rPr>
              <w:t>Floating rate</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1,507,380</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line="137" w:lineRule="exact"/>
              <w:rPr>
                <w:sz w:val="20"/>
                <w:szCs w:val="20"/>
                <w:color w:val="auto"/>
              </w:rPr>
            </w:pPr>
            <w:r>
              <w:rPr>
                <w:rFonts w:ascii="Arial" w:cs="Arial" w:eastAsia="Arial" w:hAnsi="Arial"/>
                <w:sz w:val="14"/>
                <w:szCs w:val="14"/>
                <w:color w:val="auto"/>
              </w:rPr>
              <w:t>Total debt—Consolidated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718,325</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1,840,830</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325,846</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6,995</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378,269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2,601,463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5,871,728</w:t>
            </w:r>
          </w:p>
        </w:tc>
        <w:tc>
          <w:tcPr>
            <w:tcW w:w="4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5,912,584</w:t>
            </w:r>
          </w:p>
        </w:tc>
        <w:tc>
          <w:tcPr>
            <w:tcW w:w="0" w:type="dxa"/>
            <w:vAlign w:val="bottom"/>
          </w:tcPr>
          <w:p>
            <w:pPr>
              <w:spacing w:after="0"/>
              <w:rPr>
                <w:sz w:val="1"/>
                <w:szCs w:val="1"/>
                <w:color w:val="auto"/>
              </w:rPr>
            </w:pPr>
          </w:p>
        </w:tc>
      </w:tr>
      <w:tr>
        <w:trPr>
          <w:trHeight w:val="167"/>
        </w:trPr>
        <w:tc>
          <w:tcPr>
            <w:tcW w:w="1720" w:type="dxa"/>
            <w:vAlign w:val="bottom"/>
          </w:tcPr>
          <w:p>
            <w:pPr>
              <w:ind w:left="20"/>
              <w:spacing w:after="0"/>
              <w:rPr>
                <w:sz w:val="20"/>
                <w:szCs w:val="20"/>
                <w:color w:val="auto"/>
              </w:rPr>
            </w:pPr>
            <w:r>
              <w:rPr>
                <w:rFonts w:ascii="Arial" w:cs="Arial" w:eastAsia="Arial" w:hAnsi="Arial"/>
                <w:sz w:val="14"/>
                <w:szCs w:val="14"/>
                <w:color w:val="auto"/>
              </w:rPr>
              <w:t>Centers</w:t>
            </w: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2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UNCONSOLIDATED</w:t>
            </w: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Arial" w:cs="Arial" w:eastAsia="Arial" w:hAnsi="Arial"/>
                <w:sz w:val="14"/>
                <w:szCs w:val="14"/>
                <w:color w:val="auto"/>
                <w:w w:val="99"/>
              </w:rPr>
              <w:t>Company's pro rata share):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151,843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47,609</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646,509</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403,124</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3,022,926</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3,078,118</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Floating rate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197,709</w:t>
            </w:r>
          </w:p>
        </w:tc>
        <w:tc>
          <w:tcPr>
            <w:tcW w:w="0" w:type="dxa"/>
            <w:vAlign w:val="bottom"/>
          </w:tcPr>
          <w:p>
            <w:pPr>
              <w:spacing w:after="0"/>
              <w:rPr>
                <w:sz w:val="1"/>
                <w:szCs w:val="1"/>
                <w:color w:val="auto"/>
              </w:rPr>
            </w:pPr>
          </w:p>
        </w:tc>
      </w:tr>
      <w:tr>
        <w:trPr>
          <w:trHeight w:val="197"/>
        </w:trPr>
        <w:tc>
          <w:tcPr>
            <w:tcW w:w="17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Total debt—Unconsolidated</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151,843</w:t>
            </w:r>
          </w:p>
        </w:tc>
        <w:tc>
          <w:tcPr>
            <w:tcW w:w="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83,792</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797,009</w:t>
            </w:r>
          </w:p>
        </w:tc>
        <w:tc>
          <w:tcPr>
            <w:tcW w:w="5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412,815</w:t>
            </w:r>
          </w:p>
        </w:tc>
        <w:tc>
          <w:tcPr>
            <w:tcW w:w="5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35,585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1,739,667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3,220,711</w:t>
            </w:r>
          </w:p>
        </w:tc>
        <w:tc>
          <w:tcPr>
            <w:tcW w:w="4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3,275,827</w:t>
            </w: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Joint Venture Centers</w:t>
            </w:r>
          </w:p>
        </w:tc>
        <w:tc>
          <w:tcPr>
            <w:tcW w:w="2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The consolidated Centers' total fixed rate debt at June 30, 2020 and December 31, 2019 was $4.4 billion. The average interest rate on the fixed rate debt at June 30, 2020 and December 31, 2019 was 3.99%. The consolidated Centers' total floating rate debt at June 30, 2020 and December 31, 2019 was $1.5 billion and $850.0 million, respectively. The average interest rate on the floating rate debt at June 30, 2020 and December 31, 2019 was 1.76% and 3.36%, respectively.</w:t>
      </w:r>
    </w:p>
    <w:p>
      <w:pPr>
        <w:spacing w:after="0" w:line="119"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The Company's pro rata share of the unconsolidated joint venture Centers' fixed rate debt at June 30, 2020 and December 31, 2019 was $3.0 billion. The average interest rate on the fixed rate debt at June 30, 2020 and December 31, 2019 was 3.81%. The Company's pro rata share of the unconsolidated joint venture Centers' floating rate debt at June 30, 2020 and December 31, 2019 was $197.8 million and $196.1 million, respectively. The average interest rate on the floating rate debt at June 30, 2020 and December 31, 2019 was 2.16% and 3.69%, respectively.</w:t>
      </w:r>
    </w:p>
    <w:p>
      <w:pPr>
        <w:spacing w:after="0" w:line="104"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2020, the Company has one interest rate cap agreement and four interest rate swap agreements in place (See Note 5—Derivative Instruments and Hedging Activities in the Company's Notes to the Consolidated Financial Statements).</w:t>
      </w:r>
    </w:p>
    <w:p>
      <w:pPr>
        <w:spacing w:after="0" w:line="95"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$17.1 million per year based on $1.7 billion of floating rate debt outstanding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0"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2020, the Company's Chief Executive Officer and Chief Financial Officer have concluded that the Company's disclosure controls and procedures (as defined in Rule 13a-15(e) and</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80"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400" w:firstLine="445"/>
        <w:spacing w:after="0" w:line="308" w:lineRule="auto"/>
        <w:rPr>
          <w:sz w:val="20"/>
          <w:szCs w:val="20"/>
          <w:color w:val="auto"/>
        </w:rPr>
      </w:pPr>
      <w:r>
        <w:rPr>
          <w:rFonts w:ascii="Arial" w:cs="Arial" w:eastAsia="Arial" w:hAnsi="Arial"/>
          <w:sz w:val="17"/>
          <w:szCs w:val="17"/>
          <w:color w:val="auto"/>
        </w:rPr>
        <w:t>The following risk factor supplements the risk factors described under “Item 1A. Risk Factors” in our Annual Report on Form 10-K for the year ended December 31, 2019, and should be read in conjunction with the other risk factors presented in the Annual Report on Form 10-K.</w:t>
      </w:r>
    </w:p>
    <w:p>
      <w:pPr>
        <w:spacing w:after="0" w:line="75" w:lineRule="exact"/>
        <w:rPr>
          <w:sz w:val="20"/>
          <w:szCs w:val="20"/>
          <w:color w:val="auto"/>
        </w:rPr>
      </w:pPr>
    </w:p>
    <w:p>
      <w:pPr>
        <w:ind w:right="180" w:firstLine="445"/>
        <w:spacing w:after="0" w:line="266" w:lineRule="auto"/>
        <w:rPr>
          <w:sz w:val="20"/>
          <w:szCs w:val="20"/>
          <w:color w:val="auto"/>
        </w:rPr>
      </w:pPr>
      <w:r>
        <w:rPr>
          <w:rFonts w:ascii="Arial" w:cs="Arial" w:eastAsia="Arial" w:hAnsi="Arial"/>
          <w:sz w:val="18"/>
          <w:szCs w:val="18"/>
          <w:b w:val="1"/>
          <w:bCs w:val="1"/>
          <w:color w:val="auto"/>
        </w:rPr>
        <w:t>The outbreak of the novel coronavirus ("COVID-19") has caused, and could continue to cause, disruptions in the U.S., regional and global economies and has impacted, and could continue to materially and adversely impact, our financial condition and results of operations and the financial condition and results of operations of our tenants.</w:t>
      </w:r>
    </w:p>
    <w:p>
      <w:pPr>
        <w:spacing w:after="0" w:line="11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March 2020, the World Health Organization declared COVID-19 a global pandemic. COVID-19 has caused, and could continue to cause, widespread disruptions to the United States and global economy and has contributed to significant volatility and negative pressure in financial markets. The global impact of the outbreak is continually evolving and, as additional cases of the virus are identified, many countries, including the United States, have reacted by instituting quarantines, restrictions on travel and/or mandatory closures of businesses. Certain states and cities, including where the Centers are located, have also reacted by instituting quarantines, restrictions on travel, “stay-at-home” rules, restrictions on types of business that may continue to operate, and/or restrictions on the types of construction projects that may continue.</w:t>
      </w:r>
    </w:p>
    <w:p>
      <w:pPr>
        <w:spacing w:after="0" w:line="9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extent to which COVID-19 impacts our operations will depend on future developments, which are highly uncertain and cannot be predicted with confidence, including the scope, severity and duration of such pandemic, the actions taken to contain the pandemic or mitigate its impact, as well as the effect of any relaxation of current restrictions, all of which could vary by geographic region in which our properties are located, and the direct and indirect economic effects of the pandemic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containment measures, among others. The rapid development and fluidity of this situation precludes any prediction as to the full adverse impact of COVID-</w:t>
      </w:r>
    </w:p>
    <w:p>
      <w:pPr>
        <w:spacing w:after="0" w:line="46" w:lineRule="exact"/>
        <w:rPr>
          <w:sz w:val="20"/>
          <w:szCs w:val="20"/>
          <w:color w:val="auto"/>
        </w:rPr>
      </w:pPr>
    </w:p>
    <w:p>
      <w:pPr>
        <w:jc w:val="both"/>
        <w:ind w:right="40" w:firstLine="8"/>
        <w:spacing w:after="0" w:line="255"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Nevertheless, COVID-19 has, and may continue to, adversely affect our business, financial condition and results of operations, and it may also have the effect of heightening many of the risks described in the “Risk Factors” section of our Annual Report on Form 10-K for the year ended December 31, 2019, including:</w:t>
      </w:r>
    </w:p>
    <w:p>
      <w:pPr>
        <w:spacing w:after="0" w:line="108" w:lineRule="exact"/>
        <w:rPr>
          <w:rFonts w:ascii="Arial" w:cs="Arial" w:eastAsia="Arial" w:hAnsi="Arial"/>
          <w:sz w:val="18"/>
          <w:szCs w:val="18"/>
          <w:color w:val="auto"/>
        </w:rPr>
      </w:pPr>
    </w:p>
    <w:p>
      <w:pPr>
        <w:ind w:left="660" w:right="100" w:hanging="328"/>
        <w:spacing w:after="0" w:line="263"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Centers resulting from government or tenant action, including continued delays in re-opening or subsequent closures of previously re-opened Centers, which has adversely affected, and is expected to continue to adversely effect, our operations and those of our tenants;</w:t>
      </w:r>
    </w:p>
    <w:p>
      <w:pPr>
        <w:spacing w:after="0" w:line="116" w:lineRule="exact"/>
        <w:rPr>
          <w:rFonts w:ascii="Arial" w:cs="Arial" w:eastAsia="Arial" w:hAnsi="Arial"/>
          <w:sz w:val="18"/>
          <w:szCs w:val="18"/>
          <w:color w:val="auto"/>
        </w:rPr>
      </w:pPr>
    </w:p>
    <w:p>
      <w:pPr>
        <w:ind w:left="660" w:right="120" w:hanging="328"/>
        <w:spacing w:after="0" w:line="259"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reduced economic activity impacting the businesses, financial condition and liquidity of our tenants, which has caused and could continue to cause, one or more of our tenants, including one or more of our Anchors, or one or more of our joint venture partners, to be unable to meet their obligations to us in full, or at all, to otherwise seek modifications of such obligations, including, in the case of our tenants, deferrals or reductions of rental payments, or to declare bankruptcy;</w:t>
      </w:r>
    </w:p>
    <w:p>
      <w:pPr>
        <w:spacing w:after="0" w:line="119" w:lineRule="exact"/>
        <w:rPr>
          <w:rFonts w:ascii="Arial" w:cs="Arial" w:eastAsia="Arial" w:hAnsi="Arial"/>
          <w:sz w:val="18"/>
          <w:szCs w:val="18"/>
          <w:color w:val="auto"/>
        </w:rPr>
      </w:pPr>
    </w:p>
    <w:p>
      <w:pPr>
        <w:ind w:left="660" w:right="300" w:hanging="328"/>
        <w:spacing w:after="0" w:line="259"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decreased levels of consumer spending and consumer confidence during the pandemic, as well as a decrease in traffic at our Centers once re-opened, which could affect the ability of the Centers to generate sufficient revenues to meet operating and other expenses in the short-term and accelerate a shift to online retail shopping, which, if sustained could result in prolonged decreases in revenue at the Centers even after the immediate impact of the pandemic is resolved;</w:t>
      </w:r>
    </w:p>
    <w:p>
      <w:pPr>
        <w:spacing w:after="0" w:line="105" w:lineRule="exact"/>
        <w:rPr>
          <w:rFonts w:ascii="Arial" w:cs="Arial" w:eastAsia="Arial" w:hAnsi="Arial"/>
          <w:sz w:val="18"/>
          <w:szCs w:val="18"/>
          <w:color w:val="auto"/>
        </w:rPr>
      </w:pPr>
    </w:p>
    <w:p>
      <w:pPr>
        <w:ind w:left="660" w:right="240" w:hanging="328"/>
        <w:spacing w:after="0" w:line="263"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potential closure of Anchors at one or more of our properties, which could trigger co-tenancy lease clauses within one or more of our leases at such properties and lead to a decline in revenue and occupancy;</w:t>
      </w:r>
    </w:p>
    <w:p>
      <w:pPr>
        <w:spacing w:after="0" w:line="102" w:lineRule="exact"/>
        <w:rPr>
          <w:rFonts w:ascii="Arial" w:cs="Arial" w:eastAsia="Arial" w:hAnsi="Arial"/>
          <w:sz w:val="18"/>
          <w:szCs w:val="18"/>
          <w:color w:val="auto"/>
        </w:rPr>
      </w:pPr>
    </w:p>
    <w:p>
      <w:pPr>
        <w:ind w:left="660" w:right="380" w:hanging="328"/>
        <w:spacing w:after="0" w:line="277"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state, local or industry-initiated efforts, such as a rent freeze for tenants or a suspension of a landlord’s ability to enforce evictions, which may affect our ability to collect rent or enforce remedies for the failure to pay rent;</w:t>
      </w:r>
    </w:p>
    <w:p>
      <w:pPr>
        <w:spacing w:after="0" w:line="89" w:lineRule="exact"/>
        <w:rPr>
          <w:rFonts w:ascii="Arial" w:cs="Arial" w:eastAsia="Arial" w:hAnsi="Arial"/>
          <w:sz w:val="18"/>
          <w:szCs w:val="18"/>
          <w:color w:val="auto"/>
        </w:rPr>
      </w:pPr>
    </w:p>
    <w:p>
      <w:pPr>
        <w:ind w:left="660" w:right="40" w:hanging="328"/>
        <w:spacing w:after="0" w:line="342" w:lineRule="auto"/>
        <w:tabs>
          <w:tab w:leader="none" w:pos="6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disruption and instability in the global financial markets or deteriorations in credit and financing conditions, which could make it difficult for us to access debt and equity capital on attractive terms, or at all, and impact our ability to fund business activities and repay debt on a timely basis;</w:t>
      </w:r>
    </w:p>
    <w:p>
      <w:pPr>
        <w:spacing w:after="0" w:line="56" w:lineRule="exact"/>
        <w:rPr>
          <w:rFonts w:ascii="Arial" w:cs="Arial" w:eastAsia="Arial" w:hAnsi="Arial"/>
          <w:sz w:val="16"/>
          <w:szCs w:val="16"/>
          <w:color w:val="auto"/>
        </w:rPr>
      </w:pPr>
    </w:p>
    <w:p>
      <w:pPr>
        <w:ind w:left="660" w:right="220" w:hanging="328"/>
        <w:spacing w:after="0" w:line="263"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disruptions in the supply of materials or products or the inability of contractors to perform on a timely basis or at all, which could increase the costs of construction of new or existing projects and cause delays in completing ongoing or future construction, development or re-development projects;</w:t>
      </w:r>
    </w:p>
    <w:p>
      <w:pPr>
        <w:spacing w:after="0" w:line="116" w:lineRule="exact"/>
        <w:rPr>
          <w:rFonts w:ascii="Arial" w:cs="Arial" w:eastAsia="Arial" w:hAnsi="Arial"/>
          <w:sz w:val="18"/>
          <w:szCs w:val="18"/>
          <w:color w:val="auto"/>
        </w:rPr>
      </w:pPr>
    </w:p>
    <w:p>
      <w:pPr>
        <w:ind w:left="660" w:right="200" w:hanging="328"/>
        <w:spacing w:after="0" w:line="286" w:lineRule="auto"/>
        <w:tabs>
          <w:tab w:leader="none" w:pos="6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84" w:lineRule="exact"/>
        <w:rPr>
          <w:rFonts w:ascii="Arial" w:cs="Arial" w:eastAsia="Arial" w:hAnsi="Arial"/>
          <w:sz w:val="17"/>
          <w:szCs w:val="17"/>
          <w:color w:val="auto"/>
        </w:rPr>
      </w:pPr>
    </w:p>
    <w:p>
      <w:pPr>
        <w:ind w:left="660" w:right="260" w:hanging="328"/>
        <w:spacing w:after="0" w:line="277"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potential that we may further reduce our dividend and/or pay future dividends at least partially in our stock instead of in cash, in which case stockholders may be required to pay U.S. federal income taxes in excess of the cash dividends they receive;</w:t>
      </w:r>
    </w:p>
    <w:p>
      <w:pPr>
        <w:spacing w:after="0" w:line="102" w:lineRule="exact"/>
        <w:rPr>
          <w:rFonts w:ascii="Arial" w:cs="Arial" w:eastAsia="Arial" w:hAnsi="Arial"/>
          <w:sz w:val="18"/>
          <w:szCs w:val="18"/>
          <w:color w:val="auto"/>
        </w:rPr>
      </w:pPr>
    </w:p>
    <w:p>
      <w:pPr>
        <w:jc w:val="both"/>
        <w:ind w:left="660" w:right="200" w:hanging="328"/>
        <w:spacing w:after="0" w:line="263"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potential decline in asset values at one or more of our properties encumbered by mortgage debt, which could inhibit our ability to successfully refinance one or more such properties, result in a default under the applicable mortgage debt agreement and potentially cause the acceleration of such indebtedness;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which could adversely affect our ability or desire to make strategic acquisitions or dispositions;</w:t>
      </w:r>
    </w:p>
    <w:p>
      <w:pPr>
        <w:spacing w:after="0" w:line="89" w:lineRule="exact"/>
        <w:rPr>
          <w:rFonts w:ascii="Arial" w:cs="Arial" w:eastAsia="Arial" w:hAnsi="Arial"/>
          <w:sz w:val="18"/>
          <w:szCs w:val="18"/>
          <w:color w:val="auto"/>
        </w:rPr>
      </w:pPr>
    </w:p>
    <w:p>
      <w:pPr>
        <w:ind w:left="660" w:right="640" w:hanging="328"/>
        <w:spacing w:after="0" w:line="308" w:lineRule="auto"/>
        <w:tabs>
          <w:tab w:leader="none" w:pos="6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potential negative impact on the health of our personnel, particularly if a significant number of our executive management team or key employees are impacted, which could result in a deterioration in our ability to ensure business continuity during a disruption;</w:t>
      </w:r>
    </w:p>
    <w:p>
      <w:pPr>
        <w:spacing w:after="0" w:line="78" w:lineRule="exact"/>
        <w:rPr>
          <w:rFonts w:ascii="Arial" w:cs="Arial" w:eastAsia="Arial" w:hAnsi="Arial"/>
          <w:sz w:val="17"/>
          <w:szCs w:val="17"/>
          <w:color w:val="auto"/>
        </w:rPr>
      </w:pPr>
    </w:p>
    <w:p>
      <w:pPr>
        <w:ind w:left="660" w:right="80" w:hanging="328"/>
        <w:spacing w:after="0" w:line="259"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uncertainty as to whether government authorities will maintain the relaxation of current restrictions on businesses in the regions in which our properties are located, if such restrictions have been relaxed at all, and whether government authorities will impose (or suggest) requirements on landlords, such as us, to further enhance health and safety protocols, or whether we will voluntarily adopt any such requirements ourselves, which could result in increased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costs and demands on our property management teams to ensure compliance with any such requirements; and</w:t>
      </w:r>
    </w:p>
    <w:p>
      <w:pPr>
        <w:spacing w:after="0" w:line="144" w:lineRule="exact"/>
        <w:rPr>
          <w:sz w:val="20"/>
          <w:szCs w:val="20"/>
          <w:color w:val="auto"/>
        </w:rPr>
      </w:pPr>
    </w:p>
    <w:p>
      <w:pPr>
        <w:ind w:left="660" w:right="4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limited access to our facilities, management, tenants, support staff and professional advisors, which could hamper our ability to comply with regulatory obligations and prevent us from conducting our business as efficiently and effectively as we otherwise would.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right="300" w:firstLine="445"/>
        <w:spacing w:after="0" w:line="311" w:lineRule="auto"/>
        <w:rPr>
          <w:sz w:val="20"/>
          <w:szCs w:val="20"/>
          <w:color w:val="auto"/>
        </w:rPr>
      </w:pPr>
      <w:r>
        <w:rPr>
          <w:rFonts w:ascii="Arial" w:cs="Arial" w:eastAsia="Arial" w:hAnsi="Arial"/>
          <w:sz w:val="16"/>
          <w:szCs w:val="16"/>
          <w:color w:val="auto"/>
        </w:rPr>
        <w:t>On April 7, 2020, the Company, as general partner of the Operating Partnership, issued 82,856 shares of common stock of the Company upon the redemption of 82,856 common partnership units of the Operating Partnership. These shares of common stock were issued in a private placement to a limited partner of the Operating Partnership, who is an accredited investor, pursuant to Section 4(a)(2) of the Securities Act of 1933, as amended.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7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98"/>
              <w:spacing w:after="0"/>
              <w:rPr>
                <w:sz w:val="20"/>
                <w:szCs w:val="20"/>
                <w:color w:val="auto"/>
              </w:rPr>
            </w:pPr>
            <w:r>
              <w:rPr>
                <w:rFonts w:ascii="Arial" w:cs="Arial" w:eastAsia="Arial" w:hAnsi="Arial"/>
                <w:sz w:val="16"/>
                <w:szCs w:val="16"/>
                <w:b w:val="1"/>
                <w:bCs w:val="1"/>
                <w:color w:val="auto"/>
              </w:rPr>
              <w:t>Total Number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00" w:type="dxa"/>
            <w:vAlign w:val="bottom"/>
          </w:tcPr>
          <w:p>
            <w:pPr>
              <w:jc w:val="right"/>
              <w:ind w:right="58"/>
              <w:spacing w:after="0"/>
              <w:rPr>
                <w:sz w:val="20"/>
                <w:szCs w:val="20"/>
                <w:color w:val="auto"/>
              </w:rPr>
            </w:pPr>
            <w:r>
              <w:rPr>
                <w:rFonts w:ascii="Arial" w:cs="Arial" w:eastAsia="Arial" w:hAnsi="Arial"/>
                <w:sz w:val="16"/>
                <w:szCs w:val="16"/>
                <w:b w:val="1"/>
                <w:bCs w:val="1"/>
                <w:color w:val="auto"/>
                <w:w w:val="95"/>
              </w:rPr>
              <w:t>Shares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Paid per Share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April 1, 2020 to April 30, 2020</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May 1, 2020 to May 31, 2020</w:t>
            </w:r>
          </w:p>
        </w:tc>
        <w:tc>
          <w:tcPr>
            <w:tcW w:w="15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278,707,048</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 2020 to June 30, 2020</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5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39" w:lineRule="exact"/>
        <w:rPr>
          <w:sz w:val="20"/>
          <w:szCs w:val="20"/>
          <w:color w:val="auto"/>
        </w:rPr>
      </w:pPr>
    </w:p>
    <w:p>
      <w:pPr>
        <w:ind w:left="1220" w:hanging="564"/>
        <w:spacing w:after="0" w:line="275"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20" w:type="dxa"/>
            <w:vAlign w:val="bottom"/>
            <w:gridSpan w:val="19"/>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top w:val="single" w:sz="8" w:color="auto"/>
            </w:tcBorders>
          </w:tcPr>
          <w:p>
            <w:pPr>
              <w:jc w:val="right"/>
              <w:spacing w:after="0" w:line="189" w:lineRule="exact"/>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2.1</w:t>
              </w:r>
            </w:hyperlink>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80" w:type="dxa"/>
            <w:vAlign w:val="bottom"/>
            <w:tcBorders>
              <w:top w:val="single" w:sz="8" w:color="auto"/>
            </w:tcBorders>
            <w:gridSpan w:val="26"/>
          </w:tcPr>
          <w:p>
            <w:pPr>
              <w:spacing w:after="0" w:line="189"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LP, Macerich Queens JV LP, Queens JV GP LLC, 1700480 Ontario Inc. and the Company (incorporated by reference as an exhibit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Company’s Current Report on Form 8-K, event date November 14, 2014).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0"/>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9"/>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0"/>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3.1.2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1998 Form 10-K).</w:t>
              </w:r>
            </w:hyperlink>
          </w:p>
        </w:tc>
        <w:tc>
          <w:tcPr>
            <w:tcW w:w="838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3.1.3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Report on Form 8-K, event date July 26, 2002).</w:t>
              </w:r>
            </w:hyperlink>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3.1.4</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amended (No. 333-88718)).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3.1.5</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Form 10-K).</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3.1.6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Articles Supplementary of the Company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February 5, 2009).</w:t>
              </w:r>
            </w:hyperlink>
          </w:p>
        </w:tc>
        <w:tc>
          <w:tcPr>
            <w:tcW w:w="87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3.1.7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Report on Form 10-Q for the quarter ended June 30, 2009).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3.1.8</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w w:val="96"/>
              </w:rPr>
            </w:pPr>
            <w:hyperlink r:id="rId67">
              <w:r>
                <w:rPr>
                  <w:rFonts w:ascii="Arial" w:cs="Arial" w:eastAsia="Arial" w:hAnsi="Arial"/>
                  <w:sz w:val="18"/>
                  <w:szCs w:val="18"/>
                  <w:u w:val="single" w:color="auto"/>
                  <w:color w:val="0000FF"/>
                  <w:w w:val="96"/>
                </w:rPr>
                <w:t>Article NINTH) (incorporated by reference as an exhibit to the Company’s Current Report on Form 8-K, event date May 30, 2014).</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3.1.9</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Articles Supplementary of the Company (election to be subject to Section 3-803 of the Maryland General Corporation Law) (incorporated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by reference as an exhibit to the Company’s Current Report on Form 8-K, event date March 17, 2015).</w:t>
              </w:r>
            </w:hyperlink>
          </w:p>
        </w:tc>
        <w:tc>
          <w:tcPr>
            <w:tcW w:w="25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3.1.10</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Articles Supplementary of the Company (Series E Preferred Stock) (incorporated by reference as an exhibit to the Company’s Current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Report on Form 8-K, event date March 18, 2015).</w:t>
              </w:r>
            </w:hyperlink>
          </w:p>
        </w:tc>
        <w:tc>
          <w:tcPr>
            <w:tcW w:w="606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3.1.11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to the Company’s Current Report on Form 8-K, event date May 7, 2015).</w:t>
              </w:r>
            </w:hyperlink>
          </w:p>
        </w:tc>
        <w:tc>
          <w:tcPr>
            <w:tcW w:w="406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3.1.12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(incorporated by reference as an exhibit to the Company’s Current Report on Form 8-K, event date May 28, 2015).</w:t>
              </w:r>
            </w:hyperlink>
          </w:p>
        </w:tc>
        <w:tc>
          <w:tcPr>
            <w:tcW w:w="220" w:type="dxa"/>
            <w:vAlign w:val="bottom"/>
            <w:gridSpan w:val="4"/>
          </w:tcPr>
          <w:p>
            <w:pPr>
              <w:spacing w:after="0"/>
              <w:rPr>
                <w:sz w:val="16"/>
                <w:szCs w:val="16"/>
                <w:color w:val="auto"/>
              </w:rPr>
            </w:pPr>
          </w:p>
        </w:tc>
        <w:tc>
          <w:tcPr>
            <w:tcW w:w="140" w:type="dxa"/>
            <w:vAlign w:val="bottom"/>
            <w:gridSpan w:val="4"/>
          </w:tcPr>
          <w:p>
            <w:pPr>
              <w:spacing w:after="0"/>
              <w:rPr>
                <w:sz w:val="16"/>
                <w:szCs w:val="16"/>
                <w:color w:val="auto"/>
              </w:rPr>
            </w:pPr>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3.1.13</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Articles Supplementary of the Company (opting out of provisions of Subtitle 8 of Title 3 of the Maryland General Corporate Law (MUTA</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w w:val="98"/>
              </w:rPr>
            </w:pPr>
            <w:hyperlink r:id="rId72">
              <w:r>
                <w:rPr>
                  <w:rFonts w:ascii="Arial" w:cs="Arial" w:eastAsia="Arial" w:hAnsi="Arial"/>
                  <w:sz w:val="18"/>
                  <w:szCs w:val="18"/>
                  <w:u w:val="single" w:color="auto"/>
                  <w:color w:val="0000FF"/>
                  <w:w w:val="98"/>
                </w:rPr>
                <w:t>provisions)) (incorporated by reference as an exhibit to the Company’s Current Report on Form 8-K, event date April 24, 2019).</w:t>
              </w:r>
            </w:hyperlink>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3.2</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event date April 24, 2019).</w:t>
              </w:r>
            </w:hyperlink>
          </w:p>
        </w:tc>
        <w:tc>
          <w:tcPr>
            <w:tcW w:w="7820" w:type="dxa"/>
            <w:vAlign w:val="bottom"/>
            <w:tcBorders>
              <w:top w:val="single" w:sz="8" w:color="0000FF"/>
            </w:tcBorders>
            <w:gridSpan w:val="12"/>
          </w:tcPr>
          <w:p>
            <w:pPr>
              <w:spacing w:after="0"/>
              <w:rPr>
                <w:sz w:val="13"/>
                <w:szCs w:val="13"/>
                <w:color w:val="auto"/>
              </w:rPr>
            </w:pPr>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Section 302 Certification of Thomas O'Hern, Chief Executive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31.2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Section 302 Certification of Scott Kingsmore, Chief Financial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32.1*</w:t>
              </w:r>
            </w:hyperlink>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Section 906 Certifications of Thomas O'Hern and Scott Kingsmore</w:t>
              </w:r>
            </w:hyperlink>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2"/>
        </w:trPr>
        <w:tc>
          <w:tcPr>
            <w:tcW w:w="3420" w:type="dxa"/>
            <w:vAlign w:val="bottom"/>
          </w:tcPr>
          <w:p>
            <w:pPr>
              <w:jc w:val="center"/>
              <w:ind w:right="2328"/>
              <w:spacing w:after="0"/>
              <w:rPr>
                <w:rFonts w:ascii="Arial" w:cs="Arial" w:eastAsia="Arial" w:hAnsi="Arial"/>
                <w:sz w:val="14"/>
                <w:szCs w:val="14"/>
                <w:u w:val="single" w:color="auto"/>
                <w:color w:val="0000FF"/>
                <w:w w:val="92"/>
              </w:rPr>
            </w:pPr>
            <w:hyperlink w:anchor="page1">
              <w:r>
                <w:rPr>
                  <w:rFonts w:ascii="Arial" w:cs="Arial" w:eastAsia="Arial" w:hAnsi="Arial"/>
                  <w:sz w:val="14"/>
                  <w:szCs w:val="14"/>
                  <w:u w:val="single" w:color="auto"/>
                  <w:color w:val="0000FF"/>
                  <w:w w:val="92"/>
                </w:rPr>
                <w:t>Table of Contents</w:t>
              </w:r>
            </w:hyperlink>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6"/>
        </w:trPr>
        <w:tc>
          <w:tcPr>
            <w:tcW w:w="34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4"/>
              </w:rPr>
              <w:t>Exhibit</w:t>
            </w:r>
          </w:p>
        </w:tc>
        <w:tc>
          <w:tcPr>
            <w:tcW w:w="308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4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Number</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8" w:lineRule="exact"/>
        <w:rPr>
          <w:sz w:val="20"/>
          <w:szCs w:val="20"/>
          <w:color w:val="auto"/>
        </w:rPr>
      </w:pPr>
    </w:p>
    <w:p>
      <w:pPr>
        <w:ind w:firstLine="706"/>
        <w:spacing w:after="0" w:line="794" w:lineRule="auto"/>
        <w:tabs>
          <w:tab w:leader="none" w:pos="11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Furnished herewith.</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7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31750</wp:posOffset>
            </wp:positionV>
            <wp:extent cx="36175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7"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Scott W. Kingsmore</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6"/>
          <w:szCs w:val="16"/>
          <w:i w:val="1"/>
          <w:iCs w:val="1"/>
          <w:color w:val="auto"/>
        </w:rPr>
        <w:t>Senior Executive Vice President, Treasurer and Chief Financial Officer</w:t>
      </w:r>
    </w:p>
    <w:p>
      <w:pPr>
        <w:spacing w:after="0" w:line="86" w:lineRule="exact"/>
        <w:rPr>
          <w:sz w:val="20"/>
          <w:szCs w:val="20"/>
          <w:color w:val="auto"/>
        </w:rPr>
      </w:pPr>
    </w:p>
    <w:p>
      <w:pPr>
        <w:ind w:left="20"/>
        <w:spacing w:after="0"/>
        <w:tabs>
          <w:tab w:leader="none" w:pos="6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20"/>
          </w:cols>
          <w:pgMar w:left="320" w:top="122" w:right="8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2020 of The Macerich Company;</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060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260" w:val="left"/>
          <w:tab w:leader="none" w:pos="6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2020 of The Macerich Company;</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471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7" w:lineRule="exact"/>
        <w:rPr>
          <w:sz w:val="20"/>
          <w:szCs w:val="20"/>
          <w:color w:val="auto"/>
        </w:rPr>
      </w:pPr>
    </w:p>
    <w:p>
      <w:pPr>
        <w:ind w:left="380"/>
        <w:spacing w:after="0"/>
        <w:tabs>
          <w:tab w:leader="none" w:pos="1200" w:val="left"/>
          <w:tab w:leader="none" w:pos="5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i w:val="1"/>
          <w:iCs w:val="1"/>
          <w:color w:val="auto"/>
        </w:rPr>
        <w:t>Senior Executive Vice President and Chief Financial Officer</w:t>
      </w:r>
    </w:p>
    <w:p>
      <w:pPr>
        <w:sectPr>
          <w:pgSz w:w="11900" w:h="16838" w:orient="portrait"/>
          <w:cols w:equalWidth="0" w:num="1">
            <w:col w:w="11240"/>
          </w:cols>
          <w:pgMar w:left="320" w:top="98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35" w:lineRule="exact"/>
        <w:rPr>
          <w:sz w:val="20"/>
          <w:szCs w:val="20"/>
          <w:color w:val="auto"/>
        </w:rPr>
      </w:pPr>
    </w:p>
    <w:p>
      <w:pPr>
        <w:ind w:left="980" w:right="140" w:hanging="324"/>
        <w:spacing w:after="0" w:line="277" w:lineRule="auto"/>
        <w:tabs>
          <w:tab w:leader="none" w:pos="9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2020 of the Company (the "Report") fully complies with the requirements of Section 13(a) and 15(d) of the Securities Exchange Act of 1934, as amended; and</w:t>
      </w:r>
    </w:p>
    <w:p>
      <w:pPr>
        <w:spacing w:after="0" w:line="48" w:lineRule="exact"/>
        <w:rPr>
          <w:rFonts w:ascii="Arial" w:cs="Arial" w:eastAsia="Arial" w:hAnsi="Arial"/>
          <w:sz w:val="18"/>
          <w:szCs w:val="18"/>
          <w:color w:val="auto"/>
        </w:rPr>
      </w:pPr>
    </w:p>
    <w:p>
      <w:pPr>
        <w:ind w:left="980" w:right="660" w:hanging="324"/>
        <w:spacing w:after="0" w:line="277" w:lineRule="auto"/>
        <w:tabs>
          <w:tab w:leader="none" w:pos="9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66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1"/>
    </w:lvl>
    <w:lvl w:ilvl="1">
      <w:lvlJc w:val="left"/>
      <w:lvlText w:val="(%2)"/>
      <w:numFmt w:val="decimal"/>
      <w:start w:val="1"/>
    </w:lvl>
  </w:abstractNum>
  <w:abstractNum w:abstractNumId="4">
    <w:nsid w:val="41A7C4C9"/>
    <w:multiLevelType w:val="hybridMultilevel"/>
    <w:lvl w:ilvl="0">
      <w:lvlJc w:val="left"/>
      <w:lvlText w:val="%1."/>
      <w:numFmt w:val="decimal"/>
      <w:start w:val="4"/>
    </w:lvl>
    <w:lvl w:ilvl="1">
      <w:lvlJc w:val="left"/>
      <w:lvlText w:val="%2"/>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0"/>
    </w:lvl>
    <w:lvl w:ilvl="1">
      <w:lvlJc w:val="left"/>
      <w:lvlText w:val="(%2)"/>
      <w:numFmt w:val="decimal"/>
      <w:start w:val="3"/>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Roman"/>
      <w:start w:val="3"/>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9"/>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9"/>
    </w:lvl>
    <w:lvl w:ilvl="1">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60" Type="http://schemas.openxmlformats.org/officeDocument/2006/relationships/hyperlink" Target="http://www.sec.gov/Archives/edgar/data/912242/000110465914081468/a14-24669_1ex2d1.htm" TargetMode="External"/><Relationship Id="rId61" Type="http://schemas.openxmlformats.org/officeDocument/2006/relationships/hyperlink" Target="http://www.sec.gov/Archives/edgar/data/912242/0001047469-99-012492.txt" TargetMode="External"/><Relationship Id="rId62" Type="http://schemas.openxmlformats.org/officeDocument/2006/relationships/hyperlink" Target="http://www.sec.gov/Archives/edgar/data/912242/000091205702030706/a2086079zex-3_1.htm" TargetMode="External"/><Relationship Id="rId63" Type="http://schemas.openxmlformats.org/officeDocument/2006/relationships/hyperlink" Target="http://www.sec.gov/Archives/edgar/data/912242/000091205702021417/a2080342zex-4_6.htm" TargetMode="External"/><Relationship Id="rId64" Type="http://schemas.openxmlformats.org/officeDocument/2006/relationships/hyperlink" Target="http://www.sec.gov/Archives/edgar/data/912242/000104746909001981/a2189901zex-3_15.htm" TargetMode="External"/><Relationship Id="rId65" Type="http://schemas.openxmlformats.org/officeDocument/2006/relationships/hyperlink" Target="http://www.sec.gov/Archives/edgar/data/912242/000110465909008348/a09-5253_1ex3d1.htm" TargetMode="External"/><Relationship Id="rId66" Type="http://schemas.openxmlformats.org/officeDocument/2006/relationships/hyperlink" Target="http://www.sec.gov/Archives/edgar/data/912242/000104746909007391/a2193924zex-3_17.htm" TargetMode="External"/><Relationship Id="rId67" Type="http://schemas.openxmlformats.org/officeDocument/2006/relationships/hyperlink" Target="http://www.sec.gov/Archives/edgar/data/912242/000110465914043330/a14-14485_1ex3d1.htm" TargetMode="External"/><Relationship Id="rId68" Type="http://schemas.openxmlformats.org/officeDocument/2006/relationships/hyperlink" Target="http://www.sec.gov/Archives/edgar/data/912242/000110465915020412/a15-6870_1ex3d1.htm" TargetMode="External"/><Relationship Id="rId69" Type="http://schemas.openxmlformats.org/officeDocument/2006/relationships/hyperlink" Target="http://www.sec.gov/Archives/edgar/data/912242/000110465915020810/a15-6873_1ex3d1.htm" TargetMode="External"/><Relationship Id="rId70" Type="http://schemas.openxmlformats.org/officeDocument/2006/relationships/hyperlink" Target="http://www.sec.gov/Archives/edgar/data/912242/000110465915037228/a15-11185_1ex3d1.htm" TargetMode="External"/><Relationship Id="rId71" Type="http://schemas.openxmlformats.org/officeDocument/2006/relationships/hyperlink" Target="http://www.sec.gov/Archives/edgar/data/912242/000110465915042631/a15-13305_1ex3d1.htm" TargetMode="External"/><Relationship Id="rId72" Type="http://schemas.openxmlformats.org/officeDocument/2006/relationships/hyperlink" Target="http://www.sec.gov/Archives/edgar/data/912242/000119312519129272/d731295dex31.htm" TargetMode="External"/><Relationship Id="rId73"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2020-08-10T15:29:20Z</dcterms:created>
  <dcterms:modified xsi:type="dcterms:W3CDTF">2020-08-10T15:29:20Z</dcterms:modified>
</cp:coreProperties>
</file>