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390525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348615</wp:posOffset>
            </wp:positionV>
            <wp:extent cx="71189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49" w:lineRule="exact"/>
        <w:rPr>
          <w:sz w:val="24"/>
          <w:szCs w:val="24"/>
          <w:color w:val="auto"/>
        </w:rPr>
      </w:pPr>
    </w:p>
    <w:p>
      <w:pPr>
        <w:ind w:left="2700" w:hanging="143"/>
        <w:spacing w:after="0"/>
        <w:tabs>
          <w:tab w:leader="none" w:pos="270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jc w:val="center"/>
        <w:ind w:left="3860" w:right="2420" w:hanging="1431"/>
        <w:spacing w:after="0" w:line="361" w:lineRule="auto"/>
        <w:tabs>
          <w:tab w:leader="none" w:pos="2563"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 ________ TO 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No. 1-12504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48" w:lineRule="exact"/>
        <w:rPr>
          <w:sz w:val="24"/>
          <w:szCs w:val="24"/>
          <w:color w:val="auto"/>
        </w:rPr>
      </w:pPr>
    </w:p>
    <w:p>
      <w:pPr>
        <w:ind w:left="256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Maryland</w:t>
      </w:r>
      <w:r>
        <w:rPr>
          <w:sz w:val="20"/>
          <w:szCs w:val="20"/>
          <w:color w:val="auto"/>
        </w:rPr>
        <w:tab/>
      </w:r>
      <w:r>
        <w:rPr>
          <w:rFonts w:ascii="Times New Roman" w:cs="Times New Roman" w:eastAsia="Times New Roman" w:hAnsi="Times New Roman"/>
          <w:sz w:val="14"/>
          <w:szCs w:val="14"/>
          <w:b w:val="1"/>
          <w:bCs w:val="1"/>
          <w:color w:val="auto"/>
        </w:rPr>
        <w:t>95-4448705</w:t>
      </w:r>
    </w:p>
    <w:p>
      <w:pPr>
        <w:spacing w:after="0" w:line="39" w:lineRule="exact"/>
        <w:rPr>
          <w:sz w:val="24"/>
          <w:szCs w:val="24"/>
          <w:color w:val="auto"/>
        </w:rPr>
      </w:pPr>
    </w:p>
    <w:p>
      <w:pPr>
        <w:ind w:left="2040"/>
        <w:spacing w:after="0"/>
        <w:tabs>
          <w:tab w:leader="none" w:pos="728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4"/>
          <w:szCs w:val="14"/>
          <w:color w:val="auto"/>
        </w:rPr>
        <w:t>(I.R.S. Employer Identification Number)</w:t>
      </w:r>
    </w:p>
    <w:p>
      <w:pPr>
        <w:ind w:left="20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6" w:lineRule="exact"/>
        <w:rPr>
          <w:sz w:val="24"/>
          <w:szCs w:val="24"/>
          <w:color w:val="auto"/>
        </w:rPr>
      </w:pPr>
    </w:p>
    <w:p>
      <w:pPr>
        <w:ind w:left="780"/>
        <w:spacing w:after="0"/>
        <w:tabs>
          <w:tab w:leader="none" w:pos="2420" w:val="left"/>
          <w:tab w:leader="none" w:pos="3220" w:val="left"/>
          <w:tab w:leader="none" w:pos="4780" w:val="left"/>
          <w:tab w:leader="none" w:pos="8260" w:val="left"/>
        </w:tabs>
        <w:rPr>
          <w:sz w:val="20"/>
          <w:szCs w:val="20"/>
          <w:color w:val="auto"/>
        </w:rPr>
      </w:pPr>
      <w:r>
        <w:rPr>
          <w:rFonts w:ascii="Times New Roman" w:cs="Times New Roman" w:eastAsia="Times New Roman" w:hAnsi="Times New Roman"/>
          <w:sz w:val="14"/>
          <w:szCs w:val="14"/>
          <w:b w:val="1"/>
          <w:bCs w:val="1"/>
          <w:color w:val="auto"/>
        </w:rPr>
        <w:t>401 Wilshire Boulevard,</w:t>
        <w:tab/>
        <w:t>Suite 700,</w:t>
        <w:tab/>
        <w:t>Santa Monica,</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3"/>
          <w:szCs w:val="13"/>
          <w:b w:val="1"/>
          <w:bCs w:val="1"/>
          <w:color w:val="auto"/>
        </w:rPr>
        <w:t>90401</w:t>
      </w:r>
    </w:p>
    <w:p>
      <w:pPr>
        <w:spacing w:after="0" w:line="38" w:lineRule="exact"/>
        <w:rPr>
          <w:sz w:val="24"/>
          <w:szCs w:val="24"/>
          <w:color w:val="auto"/>
        </w:rPr>
      </w:pPr>
    </w:p>
    <w:p>
      <w:pPr>
        <w:ind w:left="1220"/>
        <w:spacing w:after="0"/>
        <w:tabs>
          <w:tab w:leader="none" w:pos="8120" w:val="left"/>
        </w:tabs>
        <w:rPr>
          <w:sz w:val="20"/>
          <w:szCs w:val="20"/>
          <w:color w:val="auto"/>
        </w:rPr>
      </w:pPr>
      <w:r>
        <w:rPr>
          <w:rFonts w:ascii="Times New Roman" w:cs="Times New Roman" w:eastAsia="Times New Roman" w:hAnsi="Times New Roman"/>
          <w:sz w:val="14"/>
          <w:szCs w:val="14"/>
          <w:color w:val="auto"/>
        </w:rPr>
        <w:t>(Address of principal executive office, including zip code)</w:t>
      </w:r>
      <w:r>
        <w:rPr>
          <w:sz w:val="20"/>
          <w:szCs w:val="20"/>
          <w:color w:val="auto"/>
        </w:rPr>
        <w:tab/>
      </w:r>
      <w:r>
        <w:rPr>
          <w:rFonts w:ascii="Times New Roman" w:cs="Times New Roman" w:eastAsia="Times New Roman" w:hAnsi="Times New Roman"/>
          <w:sz w:val="14"/>
          <w:szCs w:val="14"/>
          <w:color w:val="auto"/>
        </w:rPr>
        <w:t>(Zip Code)</w:t>
      </w:r>
    </w:p>
    <w:p>
      <w:pPr>
        <w:spacing w:after="0" w:line="35"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(310) 394-6000</w:t>
      </w:r>
    </w:p>
    <w:p>
      <w:pPr>
        <w:spacing w:after="0" w:line="3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5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20" w:type="dxa"/>
            <w:vAlign w:val="bottom"/>
            <w:tcBorders>
              <w:bottom w:val="single" w:sz="8" w:color="auto"/>
            </w:tcBorders>
            <w:gridSpan w:val="2"/>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Common Stock, $0.01 Par Value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MAC</w:t>
            </w:r>
          </w:p>
        </w:tc>
        <w:tc>
          <w:tcPr>
            <w:tcW w:w="80" w:type="dxa"/>
            <w:vAlign w:val="bottom"/>
          </w:tcPr>
          <w:p>
            <w:pPr>
              <w:spacing w:after="0"/>
              <w:rPr>
                <w:sz w:val="15"/>
                <w:szCs w:val="15"/>
                <w:color w:val="auto"/>
              </w:rPr>
            </w:pP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399"/>
        </w:trPr>
        <w:tc>
          <w:tcPr>
            <w:tcW w:w="40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38"/>
        </w:trPr>
        <w:tc>
          <w:tcPr>
            <w:tcW w:w="7540" w:type="dxa"/>
            <w:vAlign w:val="bottom"/>
            <w:gridSpan w:val="6"/>
          </w:tcPr>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9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329"/>
        </w:trPr>
        <w:tc>
          <w:tcPr>
            <w:tcW w:w="7540" w:type="dxa"/>
            <w:vAlign w:val="bottom"/>
            <w:gridSpan w:val="6"/>
          </w:tcPr>
          <w:p>
            <w:pPr>
              <w:ind w:left="440"/>
              <w:spacing w:after="0" w:line="161" w:lineRule="exact"/>
              <w:rPr>
                <w:sz w:val="20"/>
                <w:szCs w:val="20"/>
                <w:color w:val="auto"/>
              </w:rPr>
            </w:pPr>
            <w:r>
              <w:rPr>
                <w:rFonts w:ascii="Times New Roman" w:cs="Times New Roman" w:eastAsia="Times New Roman" w:hAnsi="Times New Roman"/>
                <w:sz w:val="14"/>
                <w:szCs w:val="14"/>
                <w:color w:val="auto"/>
                <w:w w:val="99"/>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9"/>
              </w:rPr>
              <w:t>☐</w:t>
            </w:r>
          </w:p>
        </w:tc>
        <w:tc>
          <w:tcPr>
            <w:tcW w:w="292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98" w:lineRule="exact"/>
        <w:rPr>
          <w:sz w:val="24"/>
          <w:szCs w:val="24"/>
          <w:color w:val="auto"/>
        </w:rPr>
      </w:pPr>
    </w:p>
    <w:p>
      <w:pPr>
        <w:ind w:right="40" w:firstLine="435"/>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380"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300" w:firstLine="435"/>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520"/>
        <w:spacing w:after="0" w:line="161" w:lineRule="exact"/>
        <w:tabs>
          <w:tab w:leader="none" w:pos="2340" w:val="left"/>
          <w:tab w:leader="none" w:pos="3060" w:val="left"/>
          <w:tab w:leader="none" w:pos="4560" w:val="left"/>
          <w:tab w:leader="none" w:pos="5340" w:val="left"/>
          <w:tab w:leader="none" w:pos="7260" w:val="left"/>
          <w:tab w:leader="none" w:pos="8740" w:val="left"/>
          <w:tab w:leader="none" w:pos="105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67" w:lineRule="exact"/>
        <w:rPr>
          <w:sz w:val="24"/>
          <w:szCs w:val="24"/>
          <w:color w:val="auto"/>
        </w:rPr>
      </w:pPr>
    </w:p>
    <w:p>
      <w:pPr>
        <w:ind w:left="8780"/>
        <w:spacing w:after="0" w:line="161" w:lineRule="exact"/>
        <w:tabs>
          <w:tab w:leader="none" w:pos="105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5" w:lineRule="exact"/>
        <w:rPr>
          <w:sz w:val="24"/>
          <w:szCs w:val="24"/>
          <w:color w:val="auto"/>
        </w:rPr>
      </w:pPr>
    </w:p>
    <w:p>
      <w:pPr>
        <w:ind w:right="400"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rPr>
        <w:t>☐</w:t>
      </w:r>
    </w:p>
    <w:p>
      <w:pPr>
        <w:spacing w:after="0" w:line="112" w:lineRule="exact"/>
        <w:rPr>
          <w:sz w:val="24"/>
          <w:szCs w:val="24"/>
          <w:color w:val="auto"/>
        </w:rPr>
      </w:pPr>
    </w:p>
    <w:p>
      <w:pPr>
        <w:ind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1" w:lineRule="exact"/>
        <w:rPr>
          <w:sz w:val="24"/>
          <w:szCs w:val="24"/>
          <w:color w:val="auto"/>
        </w:rPr>
      </w:pPr>
    </w:p>
    <w:p>
      <w:pPr>
        <w:ind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1" w:lineRule="exact"/>
        <w:rPr>
          <w:sz w:val="24"/>
          <w:szCs w:val="24"/>
          <w:color w:val="auto"/>
        </w:rPr>
      </w:pPr>
    </w:p>
    <w:p>
      <w:pPr>
        <w:ind w:firstLine="43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81" w:lineRule="exact"/>
        <w:rPr>
          <w:sz w:val="24"/>
          <w:szCs w:val="24"/>
          <w:color w:val="auto"/>
        </w:rPr>
      </w:pPr>
    </w:p>
    <w:p>
      <w:pPr>
        <w:ind w:left="440"/>
        <w:spacing w:after="0" w:line="161" w:lineRule="exact"/>
        <w:tabs>
          <w:tab w:leader="none" w:pos="73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86" w:lineRule="exact"/>
        <w:rPr>
          <w:sz w:val="24"/>
          <w:szCs w:val="24"/>
          <w:color w:val="auto"/>
        </w:rPr>
      </w:pPr>
    </w:p>
    <w:p>
      <w:pPr>
        <w:ind w:right="140" w:firstLine="435"/>
        <w:spacing w:after="0" w:line="268" w:lineRule="auto"/>
        <w:rPr>
          <w:sz w:val="20"/>
          <w:szCs w:val="20"/>
          <w:color w:val="auto"/>
        </w:rPr>
      </w:pPr>
      <w:r>
        <w:rPr>
          <w:rFonts w:ascii="Times New Roman" w:cs="Times New Roman" w:eastAsia="Times New Roman" w:hAnsi="Times New Roman"/>
          <w:sz w:val="14"/>
          <w:szCs w:val="14"/>
          <w:color w:val="auto"/>
        </w:rPr>
        <w:t>The aggregate market value of voting and non-voting common equity held by non-affiliates of the registrant was approximately $3.3 billion as of the last business day of the registrant's most recently completed second fiscal quarter based upon the price at which the common stock was last sold on that day.</w:t>
      </w:r>
    </w:p>
    <w:p>
      <w:pPr>
        <w:spacing w:after="0" w:line="11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Number of shares outstanding of the registrant's common stock, as of February 27, 2025: 252,496,876 shares</w:t>
      </w:r>
    </w:p>
    <w:p>
      <w:pPr>
        <w:spacing w:after="0" w:line="14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5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Portions of the proxy statement for the annual stockholders meeting to be held in 2025 are incorporated by reference into Part III of this Form 10-K.</w:t>
      </w:r>
    </w:p>
    <w:p>
      <w:pPr>
        <w:sectPr>
          <w:pgSz w:w="11900" w:h="16838" w:orient="portrait"/>
          <w:cols w:equalWidth="0" w:num="1">
            <w:col w:w="11240"/>
          </w:cols>
          <w:pgMar w:left="320" w:top="22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60" w:type="dxa"/>
            <w:vAlign w:val="bottom"/>
            <w:gridSpan w:val="11"/>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7"/>
              </w:rPr>
              <w:t>THE MACERICH COMPANY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60" w:type="dxa"/>
            <w:vAlign w:val="bottom"/>
            <w:gridSpan w:val="11"/>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60" w:type="dxa"/>
            <w:vAlign w:val="bottom"/>
            <w:gridSpan w:val="12"/>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7"/>
              </w:rPr>
              <w:t>FOR THE YEAR ENDED DECEMBER 31, 2024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920" w:type="dxa"/>
            <w:vAlign w:val="bottom"/>
            <w:gridSpan w:val="6"/>
            <w:vMerge w:val="restart"/>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tcBorders>
              <w:bottom w:val="single" w:sz="8" w:color="0000FF"/>
            </w:tcBorders>
            <w:vMerge w:val="continue"/>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860" w:type="dxa"/>
            <w:vAlign w:val="bottom"/>
            <w:gridSpan w:val="5"/>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20" w:type="dxa"/>
            <w:vAlign w:val="bottom"/>
            <w:gridSpan w:val="20"/>
          </w:tcPr>
          <w:p>
            <w:pPr>
              <w:spacing w:after="0"/>
              <w:rPr>
                <w:sz w:val="18"/>
                <w:szCs w:val="18"/>
                <w:color w:val="auto"/>
              </w:rPr>
            </w:pPr>
          </w:p>
        </w:tc>
        <w:tc>
          <w:tcPr>
            <w:tcW w:w="66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3"/>
              </w:rPr>
              <w:t>Item 1A.</w:t>
            </w:r>
          </w:p>
        </w:tc>
        <w:tc>
          <w:tcPr>
            <w:tcW w:w="720" w:type="dxa"/>
            <w:vAlign w:val="bottom"/>
            <w:gridSpan w:val="2"/>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5"/>
              </w:rPr>
              <w:t>Item 1B.</w:t>
            </w:r>
          </w:p>
        </w:tc>
        <w:tc>
          <w:tcPr>
            <w:tcW w:w="720" w:type="dxa"/>
            <w:vAlign w:val="bottom"/>
            <w:gridSpan w:val="2"/>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2"/>
              </w:rPr>
              <w:t>Item 1C.</w:t>
            </w: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6"/>
              </w:rPr>
              <w:t>Cybersecurity</w:t>
            </w:r>
          </w:p>
        </w:tc>
        <w:tc>
          <w:tcPr>
            <w:tcW w:w="1000" w:type="dxa"/>
            <w:vAlign w:val="bottom"/>
            <w:gridSpan w:val="5"/>
          </w:tcPr>
          <w:p>
            <w:pPr>
              <w:spacing w:after="0"/>
              <w:rPr>
                <w:sz w:val="17"/>
                <w:szCs w:val="17"/>
                <w:color w:val="auto"/>
              </w:rPr>
            </w:pPr>
          </w:p>
        </w:tc>
        <w:tc>
          <w:tcPr>
            <w:tcW w:w="7060" w:type="dxa"/>
            <w:vAlign w:val="bottom"/>
            <w:gridSpan w:val="1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2.</w:t>
            </w:r>
          </w:p>
        </w:tc>
        <w:tc>
          <w:tcPr>
            <w:tcW w:w="60" w:type="dxa"/>
            <w:vAlign w:val="bottom"/>
            <w:gridSpan w:val="2"/>
          </w:tcPr>
          <w:p>
            <w:pPr>
              <w:spacing w:after="0"/>
              <w:rPr>
                <w:sz w:val="17"/>
                <w:szCs w:val="17"/>
                <w:color w:val="auto"/>
              </w:rPr>
            </w:pPr>
          </w:p>
        </w:tc>
        <w:tc>
          <w:tcPr>
            <w:tcW w:w="800" w:type="dxa"/>
            <w:vAlign w:val="bottom"/>
            <w:gridSpan w:val="3"/>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4"/>
              </w:rPr>
              <w:t>Properties</w:t>
            </w:r>
          </w:p>
        </w:tc>
        <w:tc>
          <w:tcPr>
            <w:tcW w:w="340" w:type="dxa"/>
            <w:vAlign w:val="bottom"/>
            <w:gridSpan w:val="2"/>
          </w:tcPr>
          <w:p>
            <w:pPr>
              <w:spacing w:after="0"/>
              <w:rPr>
                <w:sz w:val="17"/>
                <w:szCs w:val="17"/>
                <w:color w:val="auto"/>
              </w:rPr>
            </w:pPr>
          </w:p>
        </w:tc>
        <w:tc>
          <w:tcPr>
            <w:tcW w:w="8060" w:type="dxa"/>
            <w:vAlign w:val="bottom"/>
            <w:gridSpan w:val="1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3.</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4.</w:t>
            </w:r>
          </w:p>
        </w:tc>
        <w:tc>
          <w:tcPr>
            <w:tcW w:w="860" w:type="dxa"/>
            <w:vAlign w:val="bottom"/>
            <w:gridSpan w:val="5"/>
          </w:tcPr>
          <w:p>
            <w:pPr>
              <w:spacing w:after="0"/>
              <w:rPr>
                <w:sz w:val="17"/>
                <w:szCs w:val="17"/>
                <w:color w:val="auto"/>
              </w:rPr>
            </w:pPr>
          </w:p>
        </w:tc>
        <w:tc>
          <w:tcPr>
            <w:tcW w:w="17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Mine Safety Disclosures</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Part II</w:t>
            </w:r>
          </w:p>
        </w:tc>
        <w:tc>
          <w:tcPr>
            <w:tcW w:w="8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5.</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6.</w:t>
            </w:r>
          </w:p>
        </w:tc>
        <w:tc>
          <w:tcPr>
            <w:tcW w:w="860" w:type="dxa"/>
            <w:vAlign w:val="bottom"/>
            <w:gridSpan w:val="5"/>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2"/>
              </w:rPr>
              <w:t>Reserved</w:t>
            </w:r>
          </w:p>
        </w:tc>
        <w:tc>
          <w:tcPr>
            <w:tcW w:w="7200" w:type="dxa"/>
            <w:vAlign w:val="bottom"/>
            <w:gridSpan w:val="18"/>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7.</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3"/>
              </w:rPr>
              <w:t>Item 7A.</w:t>
            </w:r>
          </w:p>
        </w:tc>
        <w:tc>
          <w:tcPr>
            <w:tcW w:w="720" w:type="dxa"/>
            <w:vAlign w:val="bottom"/>
            <w:gridSpan w:val="2"/>
          </w:tcPr>
          <w:p>
            <w:pPr>
              <w:spacing w:after="0"/>
              <w:rPr>
                <w:sz w:val="17"/>
                <w:szCs w:val="17"/>
                <w:color w:val="auto"/>
              </w:rPr>
            </w:pPr>
          </w:p>
        </w:tc>
        <w:tc>
          <w:tcPr>
            <w:tcW w:w="426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800" w:type="dxa"/>
            <w:vAlign w:val="bottom"/>
            <w:gridSpan w:val="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8.</w:t>
            </w:r>
          </w:p>
        </w:tc>
        <w:tc>
          <w:tcPr>
            <w:tcW w:w="14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326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gridSpan w:val="2"/>
          </w:tcPr>
          <w:p>
            <w:pPr>
              <w:spacing w:after="0"/>
              <w:rPr>
                <w:sz w:val="17"/>
                <w:szCs w:val="17"/>
                <w:color w:val="auto"/>
              </w:rPr>
            </w:pPr>
          </w:p>
        </w:tc>
        <w:tc>
          <w:tcPr>
            <w:tcW w:w="4800" w:type="dxa"/>
            <w:vAlign w:val="bottom"/>
            <w:gridSpan w:val="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9.</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3"/>
              </w:rPr>
              <w:t>Item 9A.</w:t>
            </w:r>
          </w:p>
        </w:tc>
        <w:tc>
          <w:tcPr>
            <w:tcW w:w="720" w:type="dxa"/>
            <w:vAlign w:val="bottom"/>
            <w:gridSpan w:val="2"/>
          </w:tcPr>
          <w:p>
            <w:pPr>
              <w:spacing w:after="0"/>
              <w:rPr>
                <w:sz w:val="17"/>
                <w:szCs w:val="17"/>
                <w:color w:val="auto"/>
              </w:rPr>
            </w:pPr>
          </w:p>
        </w:tc>
        <w:tc>
          <w:tcPr>
            <w:tcW w:w="17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5"/>
              </w:rPr>
              <w:t>Item 9B.</w:t>
            </w:r>
          </w:p>
        </w:tc>
        <w:tc>
          <w:tcPr>
            <w:tcW w:w="720" w:type="dxa"/>
            <w:vAlign w:val="bottom"/>
            <w:gridSpan w:val="2"/>
          </w:tcPr>
          <w:p>
            <w:pPr>
              <w:spacing w:after="0"/>
              <w:rPr>
                <w:sz w:val="17"/>
                <w:szCs w:val="17"/>
                <w:color w:val="auto"/>
              </w:rPr>
            </w:pPr>
          </w:p>
        </w:tc>
        <w:tc>
          <w:tcPr>
            <w:tcW w:w="17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2"/>
              </w:rPr>
              <w:t>Item 9C.</w:t>
            </w: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4"/>
        </w:trPr>
        <w:tc>
          <w:tcPr>
            <w:tcW w:w="56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87"/>
              </w:rPr>
              <w:t>Part III</w:t>
            </w:r>
          </w:p>
        </w:tc>
        <w:tc>
          <w:tcPr>
            <w:tcW w:w="800" w:type="dxa"/>
            <w:vAlign w:val="bottom"/>
            <w:gridSpan w:val="3"/>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Item 10.</w:t>
            </w: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11.</w:t>
            </w:r>
          </w:p>
        </w:tc>
        <w:tc>
          <w:tcPr>
            <w:tcW w:w="800" w:type="dxa"/>
            <w:vAlign w:val="bottom"/>
            <w:gridSpan w:val="3"/>
          </w:tcPr>
          <w:p>
            <w:pPr>
              <w:spacing w:after="0"/>
              <w:rPr>
                <w:sz w:val="17"/>
                <w:szCs w:val="17"/>
                <w:color w:val="auto"/>
              </w:rPr>
            </w:pPr>
          </w:p>
        </w:tc>
        <w:tc>
          <w:tcPr>
            <w:tcW w:w="400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5060" w:type="dxa"/>
            <w:vAlign w:val="bottom"/>
            <w:gridSpan w:val="8"/>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12.</w:t>
            </w:r>
          </w:p>
        </w:tc>
        <w:tc>
          <w:tcPr>
            <w:tcW w:w="800" w:type="dxa"/>
            <w:vAlign w:val="bottom"/>
            <w:gridSpan w:val="3"/>
          </w:tcPr>
          <w:p>
            <w:pPr>
              <w:spacing w:after="0"/>
              <w:rPr>
                <w:sz w:val="17"/>
                <w:szCs w:val="17"/>
                <w:color w:val="auto"/>
              </w:rPr>
            </w:pPr>
          </w:p>
        </w:tc>
        <w:tc>
          <w:tcPr>
            <w:tcW w:w="712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940" w:type="dxa"/>
            <w:vAlign w:val="bottom"/>
            <w:gridSpan w:val="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13.</w:t>
            </w:r>
          </w:p>
        </w:tc>
        <w:tc>
          <w:tcPr>
            <w:tcW w:w="800" w:type="dxa"/>
            <w:vAlign w:val="bottom"/>
            <w:gridSpan w:val="3"/>
          </w:tcPr>
          <w:p>
            <w:pPr>
              <w:spacing w:after="0"/>
              <w:rPr>
                <w:sz w:val="17"/>
                <w:szCs w:val="17"/>
                <w:color w:val="auto"/>
              </w:rPr>
            </w:pPr>
          </w:p>
        </w:tc>
        <w:tc>
          <w:tcPr>
            <w:tcW w:w="712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40" w:type="dxa"/>
            <w:vAlign w:val="bottom"/>
            <w:gridSpan w:val="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14.</w:t>
            </w:r>
          </w:p>
        </w:tc>
        <w:tc>
          <w:tcPr>
            <w:tcW w:w="800" w:type="dxa"/>
            <w:vAlign w:val="bottom"/>
            <w:gridSpan w:val="3"/>
          </w:tcPr>
          <w:p>
            <w:pPr>
              <w:spacing w:after="0"/>
              <w:rPr>
                <w:sz w:val="17"/>
                <w:szCs w:val="17"/>
                <w:color w:val="auto"/>
              </w:rPr>
            </w:pPr>
          </w:p>
        </w:tc>
        <w:tc>
          <w:tcPr>
            <w:tcW w:w="532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40" w:type="dxa"/>
            <w:vAlign w:val="bottom"/>
            <w:gridSpan w:val="5"/>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4"/>
        </w:trPr>
        <w:tc>
          <w:tcPr>
            <w:tcW w:w="560" w:type="dxa"/>
            <w:vAlign w:val="bottom"/>
            <w:tcBorders>
              <w:top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Part IV</w:t>
            </w:r>
          </w:p>
        </w:tc>
        <w:tc>
          <w:tcPr>
            <w:tcW w:w="800" w:type="dxa"/>
            <w:vAlign w:val="bottom"/>
            <w:gridSpan w:val="3"/>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15.</w:t>
            </w:r>
          </w:p>
        </w:tc>
        <w:tc>
          <w:tcPr>
            <w:tcW w:w="800" w:type="dxa"/>
            <w:vAlign w:val="bottom"/>
            <w:gridSpan w:val="3"/>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16.</w:t>
            </w:r>
          </w:p>
        </w:tc>
        <w:tc>
          <w:tcPr>
            <w:tcW w:w="800" w:type="dxa"/>
            <w:vAlign w:val="bottom"/>
            <w:gridSpan w:val="3"/>
          </w:tcPr>
          <w:p>
            <w:pPr>
              <w:spacing w:after="0"/>
              <w:rPr>
                <w:sz w:val="17"/>
                <w:szCs w:val="17"/>
                <w:color w:val="auto"/>
              </w:rPr>
            </w:pPr>
          </w:p>
        </w:tc>
        <w:tc>
          <w:tcPr>
            <w:tcW w:w="152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560" w:type="dxa"/>
            <w:vAlign w:val="bottom"/>
            <w:gridSpan w:val="5"/>
          </w:tcPr>
          <w:p>
            <w:pPr>
              <w:spacing w:after="0"/>
              <w:rPr>
                <w:sz w:val="17"/>
                <w:szCs w:val="17"/>
                <w:color w:val="auto"/>
              </w:rPr>
            </w:pPr>
          </w:p>
        </w:tc>
        <w:tc>
          <w:tcPr>
            <w:tcW w:w="5980" w:type="dxa"/>
            <w:vAlign w:val="bottom"/>
            <w:gridSpan w:val="10"/>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b w:val="1"/>
                <w:bCs w:val="1"/>
                <w:color w:val="0000FF"/>
                <w:w w:val="95"/>
              </w:rPr>
              <w:t>Signatures</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8"/>
                <w:szCs w:val="18"/>
                <w:color w:val="0000FF"/>
              </w:rPr>
              <w:t>117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FACTORS RELATED TO FORWARD-LOOKING STATEMENTS</w:t>
      </w:r>
    </w:p>
    <w:p>
      <w:pPr>
        <w:spacing w:after="0" w:line="151"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This Annual Report on Form 10-K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121" w:lineRule="exact"/>
        <w:rPr>
          <w:sz w:val="20"/>
          <w:szCs w:val="20"/>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135"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Path Forward Plan and its ability to meet the goals established under such plan;</w:t>
      </w:r>
    </w:p>
    <w:p>
      <w:pPr>
        <w:spacing w:after="0" w:line="148" w:lineRule="exact"/>
        <w:rPr>
          <w:rFonts w:ascii="Times New Roman" w:cs="Times New Roman" w:eastAsia="Times New Roman" w:hAnsi="Times New Roman"/>
          <w:sz w:val="18"/>
          <w:szCs w:val="18"/>
          <w:color w:val="auto"/>
        </w:rPr>
      </w:pPr>
    </w:p>
    <w:p>
      <w:pPr>
        <w:ind w:left="1280" w:right="140" w:hanging="642"/>
        <w:spacing w:after="0" w:line="269" w:lineRule="auto"/>
        <w:tabs>
          <w:tab w:leader="none" w:pos="1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02"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135"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148"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148"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135"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148" w:lineRule="exact"/>
        <w:rPr>
          <w:rFonts w:ascii="Times New Roman" w:cs="Times New Roman" w:eastAsia="Times New Roman" w:hAnsi="Times New Roman"/>
          <w:sz w:val="18"/>
          <w:szCs w:val="18"/>
          <w:color w:val="auto"/>
        </w:rPr>
      </w:pPr>
    </w:p>
    <w:p>
      <w:pPr>
        <w:ind w:left="1280" w:right="460" w:hanging="642"/>
        <w:spacing w:after="0" w:line="269" w:lineRule="auto"/>
        <w:tabs>
          <w:tab w:leader="none" w:pos="1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102" w:lineRule="exact"/>
        <w:rPr>
          <w:sz w:val="20"/>
          <w:szCs w:val="20"/>
          <w:color w:val="auto"/>
        </w:rPr>
      </w:pPr>
    </w:p>
    <w:p>
      <w:pPr>
        <w:ind w:firstLine="435"/>
        <w:spacing w:after="0" w:line="266" w:lineRule="auto"/>
        <w:rPr>
          <w:sz w:val="20"/>
          <w:szCs w:val="20"/>
          <w:color w:val="auto"/>
        </w:rPr>
      </w:pPr>
      <w:r>
        <w:rPr>
          <w:rFonts w:ascii="Times New Roman" w:cs="Times New Roman" w:eastAsia="Times New Roman" w:hAnsi="Times New Roman"/>
          <w:sz w:val="16"/>
          <w:szCs w:val="16"/>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elevated interest rates and inflation and its impact on the financial condition and results of operations of the Company, including as a result of any defaults on mortgage loans, and its tenants,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Annual Report on Form 10-K,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3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4"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 "Operating Partnership"). As of December 31, 2024, the Operating Partnership owned or had an ownership interest in 40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 w:name="page4"/>
    <w:bookmarkEnd w:id="3"/>
    <w:p>
      <w:pPr>
        <w:ind w:right="100"/>
        <w:spacing w:after="0" w:line="250" w:lineRule="auto"/>
        <w:rPr>
          <w:sz w:val="20"/>
          <w:szCs w:val="20"/>
          <w:color w:val="auto"/>
        </w:rPr>
      </w:pPr>
      <w:r>
        <w:rPr>
          <w:rFonts w:ascii="Times New Roman" w:cs="Times New Roman" w:eastAsia="Times New Roman" w:hAnsi="Times New Roman"/>
          <w:sz w:val="18"/>
          <w:szCs w:val="18"/>
          <w:color w:val="auto"/>
        </w:rPr>
        <w:t>regional retail centers (including office, hotel and residential space adjacent to these shopping centers), two community/power shopping centers and one redevelopment property. These 43 regional retail centers, community/power shopping centers and one redevelopment property consist of approximately 43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w:t>
      </w:r>
    </w:p>
    <w:p>
      <w:pPr>
        <w:spacing w:after="0" w:line="108"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23"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102"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Financial information regarding the Company for each of the last three fiscal years is contained in the Company's Consolidated Financial Statements included in "Item 15. Exhibits and Financial Statement Schedules."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1" w:lineRule="exact"/>
        <w:rPr>
          <w:sz w:val="20"/>
          <w:szCs w:val="20"/>
          <w:color w:val="auto"/>
        </w:rPr>
      </w:pPr>
    </w:p>
    <w:p>
      <w:pPr>
        <w:ind w:right="120" w:firstLine="435"/>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spacing w:after="0" w:line="67" w:lineRule="exact"/>
        <w:rPr>
          <w:sz w:val="20"/>
          <w:szCs w:val="20"/>
          <w:color w:val="auto"/>
        </w:rPr>
      </w:pPr>
    </w:p>
    <w:p>
      <w:pPr>
        <w:ind w:right="240" w:firstLine="435"/>
        <w:spacing w:after="0" w:line="269" w:lineRule="auto"/>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$5.4 million (See Note 15—Acquisitions in the Notes to the Consolidated Financial Statements).</w:t>
      </w:r>
    </w:p>
    <w:p>
      <w:pPr>
        <w:spacing w:after="0" w:line="102" w:lineRule="exact"/>
        <w:rPr>
          <w:sz w:val="20"/>
          <w:szCs w:val="20"/>
          <w:color w:val="auto"/>
        </w:rPr>
      </w:pPr>
    </w:p>
    <w:p>
      <w:pPr>
        <w:ind w:right="100" w:firstLine="435"/>
        <w:spacing w:after="0" w:line="252"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includes Los Cerritos Center, Washington Square and Lakewood Center, for a net purchase price of approximately $122.1 million, which includes the assumption of the partner's share of property level indebtedness. The Company now owns and has consolidated its 100% interests in these properties in its consolidated financial statements (See Note 15—Acquisitions in the Notes to the Consolidated Financial Statements).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38" w:lineRule="exact"/>
        <w:rPr>
          <w:sz w:val="20"/>
          <w:szCs w:val="20"/>
          <w:color w:val="auto"/>
        </w:rPr>
      </w:pPr>
    </w:p>
    <w:p>
      <w:pPr>
        <w:ind w:right="280" w:firstLine="435"/>
        <w:spacing w:after="0" w:line="252"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spacing w:after="0" w:line="119"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 (See Note 4—Investments In Unconsolidated Joint Ventures in the Notes to the Consolidated Financial Statements).</w:t>
      </w:r>
    </w:p>
    <w:p>
      <w:pPr>
        <w:spacing w:after="0" w:line="115" w:lineRule="exact"/>
        <w:rPr>
          <w:sz w:val="20"/>
          <w:szCs w:val="20"/>
          <w:color w:val="auto"/>
        </w:rPr>
      </w:pPr>
    </w:p>
    <w:p>
      <w:pPr>
        <w:ind w:right="220" w:firstLine="435"/>
        <w:spacing w:after="0" w:line="256"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 million. The Company used the net proceeds to pay down debt. The Company recognized a gain on sale of assets of $0.8 million (See "Liquidity and Capital Resources" and Note 16— Dispositions in the Notes to the Consolidated Financial Statements).</w:t>
      </w:r>
    </w:p>
    <w:p>
      <w:pPr>
        <w:spacing w:after="0" w:line="102" w:lineRule="exact"/>
        <w:rPr>
          <w:sz w:val="20"/>
          <w:szCs w:val="20"/>
          <w:color w:val="auto"/>
        </w:rPr>
      </w:pPr>
    </w:p>
    <w:p>
      <w:pPr>
        <w:ind w:right="320" w:firstLine="435"/>
        <w:spacing w:after="0" w:line="303" w:lineRule="auto"/>
        <w:rPr>
          <w:sz w:val="20"/>
          <w:szCs w:val="20"/>
          <w:color w:val="auto"/>
        </w:rPr>
      </w:pPr>
      <w:r>
        <w:rPr>
          <w:rFonts w:ascii="Times New Roman" w:cs="Times New Roman" w:eastAsia="Times New Roman" w:hAnsi="Times New Roman"/>
          <w:sz w:val="16"/>
          <w:szCs w:val="16"/>
          <w:color w:val="auto"/>
        </w:rPr>
        <w:t>On July 31, 2024, the Company sold its 50% interest in Biltmore Fashion Park, a 611,000 square foot regional retail center in Phoenix, Arizona, for $110.0 million. The Company used the net proceeds to pay down debt. As a result of this transaction, the Company recognized a gain of $42.8 million (See "Liquidity and Capital Resources" and Note 4—Investments In Unconsolidated Joint Ventures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ind w:firstLine="435"/>
        <w:spacing w:after="0" w:line="256"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 million, which resulted in a loss on sale of assets of $0.9 million. The Company used the net proceeds to pay down debt (See Note 16—Dispositions in the Notes to the Consolidated Financial Statements).</w:t>
      </w:r>
    </w:p>
    <w:p>
      <w:pPr>
        <w:spacing w:after="0" w:line="102" w:lineRule="exact"/>
        <w:rPr>
          <w:sz w:val="20"/>
          <w:szCs w:val="20"/>
          <w:color w:val="auto"/>
        </w:rPr>
      </w:pPr>
    </w:p>
    <w:p>
      <w:pPr>
        <w:ind w:right="280" w:firstLine="435"/>
        <w:spacing w:after="0" w:line="256" w:lineRule="auto"/>
        <w:rPr>
          <w:sz w:val="20"/>
          <w:szCs w:val="20"/>
          <w:color w:val="auto"/>
        </w:rPr>
      </w:pPr>
      <w:r>
        <w:rPr>
          <w:rFonts w:ascii="Times New Roman" w:cs="Times New Roman" w:eastAsia="Times New Roman" w:hAnsi="Times New Roman"/>
          <w:sz w:val="18"/>
          <w:szCs w:val="18"/>
          <w:color w:val="auto"/>
        </w:rPr>
        <w:t>On December 10, 2024, the Company sold The Oaks, a 1,206,000 square foot regional retail center in Thousand Oaks, California, for $157.0 million, which resulted in a loss on sale of assets of $6.9 million. The Company used the net proceeds to pay off the $147.8 million loan on the property (See "Financing Activities" and Note 16—Dispositions in the Notes to the Consolidated Financial Statements).</w:t>
      </w:r>
    </w:p>
    <w:p>
      <w:pPr>
        <w:spacing w:after="0" w:line="115"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2024, the Company and certain joint venture partners sold various land parcels in separate transactions, resulting in the Company's share of the gain on sale of land of $2.8 million. The Company used its share of the proceeds from these sales of $6.1 million to pay down debt and for other general corporate purposes.</w:t>
      </w:r>
    </w:p>
    <w:p>
      <w:pPr>
        <w:spacing w:after="0" w:line="115"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The Company is under contract to sell Wilton Mall for $24.8 million, which is expected to close in the first half of 2025, subject to customary closing conditions. This asset is unencumbered.</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$24.0 million loan that bears interest at a variable rate of SOFR plus 2.50%, is interest only during the entire loan term and matures on December 5, 2028.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31" w:lineRule="exact"/>
        <w:rPr>
          <w:sz w:val="20"/>
          <w:szCs w:val="20"/>
          <w:color w:val="auto"/>
        </w:rPr>
      </w:pPr>
    </w:p>
    <w:p>
      <w:pPr>
        <w:ind w:right="20" w:firstLine="435"/>
        <w:spacing w:after="0" w:line="269"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was scheduled to mature on April 21, 2024 and was paid in full prior to maturity.</w:t>
      </w:r>
    </w:p>
    <w:p>
      <w:pPr>
        <w:spacing w:after="0" w:line="89"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102" w:lineRule="exact"/>
        <w:rPr>
          <w:sz w:val="20"/>
          <w:szCs w:val="20"/>
          <w:color w:val="auto"/>
        </w:rPr>
      </w:pPr>
    </w:p>
    <w:p>
      <w:pPr>
        <w:ind w:right="380" w:firstLine="435"/>
        <w:spacing w:after="0" w:line="269"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The Company is in negotiations with the lender on the terms of this non-recourse loan.</w:t>
      </w:r>
    </w:p>
    <w:p>
      <w:pPr>
        <w:spacing w:after="0" w:line="102" w:lineRule="exact"/>
        <w:rPr>
          <w:sz w:val="20"/>
          <w:szCs w:val="20"/>
          <w:color w:val="auto"/>
        </w:rPr>
      </w:pPr>
    </w:p>
    <w:p>
      <w:pPr>
        <w:ind w:right="200" w:firstLine="435"/>
        <w:spacing w:after="0" w:line="303" w:lineRule="auto"/>
        <w:rPr>
          <w:sz w:val="20"/>
          <w:szCs w:val="20"/>
          <w:color w:val="auto"/>
        </w:rPr>
      </w:pPr>
      <w:r>
        <w:rPr>
          <w:rFonts w:ascii="Times New Roman" w:cs="Times New Roman" w:eastAsia="Times New Roman" w:hAnsi="Times New Roman"/>
          <w:sz w:val="16"/>
          <w:szCs w:val="16"/>
          <w:color w:val="auto"/>
        </w:rPr>
        <w:t>On May 24, 2024, the Company closed a two-year extension of the $149.9 million loan on The Oaks, which was scheduled to mature on June 5, 2026. The interest rate during the first year of the extended term was 7.5% and would have increased to 8.5% during the second year of the extended term. On December 10, 2024, the Company repaid in full the $147.8 million loan with the net proceeds from the sale of the property (See "Dispositions").</w:t>
      </w:r>
    </w:p>
    <w:p>
      <w:pPr>
        <w:spacing w:after="0" w:line="67"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spacing w:after="0" w:line="115" w:lineRule="exact"/>
        <w:rPr>
          <w:sz w:val="20"/>
          <w:szCs w:val="20"/>
          <w:color w:val="auto"/>
        </w:rPr>
      </w:pPr>
    </w:p>
    <w:p>
      <w:pPr>
        <w:ind w:right="100" w:firstLine="435"/>
        <w:spacing w:after="0" w:line="269" w:lineRule="auto"/>
        <w:rPr>
          <w:sz w:val="20"/>
          <w:szCs w:val="20"/>
          <w:color w:val="auto"/>
        </w:rPr>
      </w:pPr>
      <w:r>
        <w:rPr>
          <w:rFonts w:ascii="Times New Roman" w:cs="Times New Roman" w:eastAsia="Times New Roman" w:hAnsi="Times New Roman"/>
          <w:sz w:val="18"/>
          <w:szCs w:val="18"/>
          <w:color w:val="auto"/>
        </w:rPr>
        <w:t>On August 22, 2024, the Company closed an $85.0 million, ten-year refinance of the loan on The Mall of Victor Valley. The new loan bears interest at a fixed rate of 6.72%, is interest only during the entire loan term and matures on September 6, 2034.</w:t>
      </w:r>
    </w:p>
    <w:p>
      <w:pPr>
        <w:spacing w:after="0" w:line="102" w:lineRule="exact"/>
        <w:rPr>
          <w:sz w:val="20"/>
          <w:szCs w:val="20"/>
          <w:color w:val="auto"/>
        </w:rPr>
      </w:pPr>
    </w:p>
    <w:p>
      <w:pPr>
        <w:ind w:right="20" w:firstLine="435"/>
        <w:spacing w:after="0" w:line="269" w:lineRule="auto"/>
        <w:rPr>
          <w:sz w:val="20"/>
          <w:szCs w:val="20"/>
          <w:color w:val="auto"/>
        </w:rPr>
      </w:pPr>
      <w:r>
        <w:rPr>
          <w:rFonts w:ascii="Times New Roman" w:cs="Times New Roman" w:eastAsia="Times New Roman" w:hAnsi="Times New Roman"/>
          <w:sz w:val="18"/>
          <w:szCs w:val="18"/>
          <w:color w:val="auto"/>
        </w:rPr>
        <w:t>On October 28, 2024, the Company closed a $525.0 million, five-year refinance of the loan on Queens Center, which matures on November 6, 2029. The new loan replaced the existing $600.0 million loan, bears interest at a fixed rate of 5.37% and is interest only during the entire loan term.</w:t>
      </w:r>
    </w:p>
    <w:p>
      <w:pPr>
        <w:spacing w:after="0" w:line="89" w:lineRule="exact"/>
        <w:rPr>
          <w:sz w:val="20"/>
          <w:szCs w:val="20"/>
          <w:color w:val="auto"/>
        </w:rPr>
      </w:pPr>
    </w:p>
    <w:p>
      <w:pPr>
        <w:ind w:right="200" w:firstLine="435"/>
        <w:spacing w:after="0" w:line="252" w:lineRule="auto"/>
        <w:rPr>
          <w:sz w:val="20"/>
          <w:szCs w:val="20"/>
          <w:color w:val="auto"/>
        </w:rPr>
      </w:pPr>
      <w:r>
        <w:rPr>
          <w:rFonts w:ascii="Times New Roman" w:cs="Times New Roman" w:eastAsia="Times New Roman" w:hAnsi="Times New Roman"/>
          <w:sz w:val="18"/>
          <w:szCs w:val="18"/>
          <w:color w:val="auto"/>
        </w:rPr>
        <w:t>On December 2, 2024, the Company repaid in full the $478.0 million loan on Washington Square with the net proceeds received from the Company’s public stock offering, which closed on November 27, 2024, together with cash on hand (See “Other Transactions and Events”). The mortgage loan on the property was scheduled to mature on November 1, 2026. The Company recognized a gain on extinguishment of debt of $14.4 million upon the repayment of the loan.</w:t>
      </w:r>
    </w:p>
    <w:p>
      <w:pPr>
        <w:spacing w:after="0" w:line="119" w:lineRule="exact"/>
        <w:rPr>
          <w:sz w:val="20"/>
          <w:szCs w:val="20"/>
          <w:color w:val="auto"/>
        </w:rPr>
      </w:pPr>
    </w:p>
    <w:p>
      <w:pPr>
        <w:ind w:right="400" w:firstLine="435"/>
        <w:spacing w:after="0" w:line="286" w:lineRule="auto"/>
        <w:rPr>
          <w:sz w:val="20"/>
          <w:szCs w:val="20"/>
          <w:color w:val="auto"/>
        </w:rPr>
      </w:pPr>
      <w:r>
        <w:rPr>
          <w:rFonts w:ascii="Times New Roman" w:cs="Times New Roman" w:eastAsia="Times New Roman" w:hAnsi="Times New Roman"/>
          <w:sz w:val="16"/>
          <w:szCs w:val="16"/>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12.25% and the first mortgage has an interest rate of SOFR plus 2.90% for a weighted average aggregate interest rate of SOFR plus 3.70%. The interest rate on the first mortgage is SOFR plus 2.90% during the extension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38" w:lineRule="exact"/>
        <w:rPr>
          <w:sz w:val="20"/>
          <w:szCs w:val="20"/>
          <w:color w:val="auto"/>
        </w:rPr>
      </w:pPr>
    </w:p>
    <w:p>
      <w:pPr>
        <w:ind w:right="80" w:firstLine="435"/>
        <w:spacing w:after="0" w:line="250"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first quarter of 2024, the Company evaluated its investment and concluded that due to certain conditions, the Company should not continue to invest capital in this development project. As a result, the Company wrote-off its share of the investment in the three months ended March 31, 2024. At the time of the write-off, the Company had funded $39.5 million of the total $78.9 million incurred by the joint venture (See Note 4 – Investments in Unconsolidated Joint Ventures in the Notes to the Consolidated Financial Statements).</w:t>
      </w:r>
    </w:p>
    <w:p>
      <w:pPr>
        <w:spacing w:after="0" w:line="121" w:lineRule="exact"/>
        <w:rPr>
          <w:sz w:val="20"/>
          <w:szCs w:val="20"/>
          <w:color w:val="auto"/>
        </w:rPr>
      </w:pPr>
    </w:p>
    <w:p>
      <w:pPr>
        <w:jc w:val="both"/>
        <w:ind w:right="120" w:firstLine="435"/>
        <w:spacing w:after="0" w:line="252"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1,875,000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Company’s pro rata share. The Company has incurred $25.9 million of the total $51.8 million incurred by the joint venture as of December 31, 2024. The opening will be in phases which began in 2024, with anticipated completion in 2025.</w:t>
      </w:r>
    </w:p>
    <w:p>
      <w:pPr>
        <w:spacing w:after="0" w:line="119" w:lineRule="exact"/>
        <w:rPr>
          <w:sz w:val="20"/>
          <w:szCs w:val="20"/>
          <w:color w:val="auto"/>
        </w:rPr>
      </w:pPr>
    </w:p>
    <w:p>
      <w:pPr>
        <w:jc w:val="both"/>
        <w:ind w:right="180" w:firstLine="435"/>
        <w:spacing w:after="0" w:line="294" w:lineRule="auto"/>
        <w:rPr>
          <w:sz w:val="20"/>
          <w:szCs w:val="20"/>
          <w:color w:val="auto"/>
        </w:rPr>
      </w:pPr>
      <w:r>
        <w:rPr>
          <w:rFonts w:ascii="Times New Roman" w:cs="Times New Roman" w:eastAsia="Times New Roman" w:hAnsi="Times New Roman"/>
          <w:sz w:val="16"/>
          <w:szCs w:val="16"/>
          <w:color w:val="auto"/>
        </w:rPr>
        <w:t>The Company is redeveloping the northeast quadrant of Green Acres Mall, a 2,058,000 square foot regional retail center in Valley Stream, New York. The project will include new exterior shops and facade totaling approximately 385,000 square feet of leasing, including new grocery use, redevelopment of a vacant anchor building and demolition of another vacant anchor building. The total cost of the project is estimated to be between $120.0 million and $140.0 million. The Company has incurred approximately $19.7 million as of December 31, 2024. The anticipated opening is in 2026.</w:t>
      </w:r>
    </w:p>
    <w:p>
      <w:pPr>
        <w:spacing w:after="0" w:line="73" w:lineRule="exact"/>
        <w:rPr>
          <w:sz w:val="20"/>
          <w:szCs w:val="20"/>
          <w:color w:val="auto"/>
        </w:rPr>
      </w:pPr>
    </w:p>
    <w:p>
      <w:pPr>
        <w:ind w:right="220" w:firstLine="435"/>
        <w:spacing w:after="0" w:line="282" w:lineRule="auto"/>
        <w:rPr>
          <w:sz w:val="20"/>
          <w:szCs w:val="20"/>
          <w:color w:val="auto"/>
        </w:rPr>
      </w:pPr>
      <w:r>
        <w:rPr>
          <w:rFonts w:ascii="Times New Roman" w:cs="Times New Roman" w:eastAsia="Times New Roman" w:hAnsi="Times New Roman"/>
          <w:sz w:val="16"/>
          <w:szCs w:val="16"/>
          <w:color w:val="auto"/>
        </w:rPr>
        <w:t>The Company’s joint venture in FlatIron Crossing, a 1,390,000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expected to be 43.4% in the residential portion of the development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 in the remainder of the property. The total cost of the project is estimated to be between $240.0 million and $260.0 million, with $120.0 million to</w:t>
      </w:r>
    </w:p>
    <w:p>
      <w:pPr>
        <w:spacing w:after="0" w:line="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$130.0 million estimated to be the Company’s pro rata share. The Company has incurred $9.1 million of the total $17.9 million incurred by the joint venture as of December 31, 2024. The anticipated opening will be in phases beginning in 2027.</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38" w:lineRule="exact"/>
        <w:rPr>
          <w:sz w:val="20"/>
          <w:szCs w:val="20"/>
          <w:color w:val="auto"/>
        </w:rPr>
      </w:pPr>
    </w:p>
    <w:p>
      <w:pPr>
        <w:jc w:val="both"/>
        <w:ind w:right="160" w:firstLine="435"/>
        <w:spacing w:after="0" w:line="235"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in the year ended December 31, 2024. On February 14, 2025, the Company announced a first quarter cash dividend of $0.17 per share of its common stock, which will be paid on March 18, 2025 to stockholders of record on March 4, 2025. The dividend amount will be reviewed by the Board on a quarterly basis.</w:t>
      </w:r>
    </w:p>
    <w:p>
      <w:pPr>
        <w:spacing w:after="0" w:line="130"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9.4 million shares of common stock for approximately $148.6 million of net proceeds through the 2021 ATM Program at a weighted average share price of $15.81. The 2021 ATM Program was fully utilized as of September 30, 2024 and is no longer active.</w:t>
      </w:r>
    </w:p>
    <w:p>
      <w:pPr>
        <w:spacing w:after="0" w:line="121" w:lineRule="exact"/>
        <w:rPr>
          <w:sz w:val="20"/>
          <w:szCs w:val="20"/>
          <w:color w:val="auto"/>
        </w:rPr>
      </w:pPr>
    </w:p>
    <w:p>
      <w:pPr>
        <w:ind w:right="60" w:firstLine="435"/>
        <w:spacing w:after="0" w:line="289" w:lineRule="auto"/>
        <w:rPr>
          <w:sz w:val="20"/>
          <w:szCs w:val="20"/>
          <w:color w:val="auto"/>
        </w:rPr>
      </w:pPr>
      <w:r>
        <w:rPr>
          <w:rFonts w:ascii="Times New Roman" w:cs="Times New Roman" w:eastAsia="Times New Roman" w:hAnsi="Times New Roman"/>
          <w:sz w:val="16"/>
          <w:szCs w:val="16"/>
          <w:color w:val="auto"/>
        </w:rPr>
        <w:t>In connection with the commencement of a separate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3.7 million shares of common stock for approximately $69.1 million of net proceeds through the 2024 ATM Program at a weighted average price of $18.68. As of December 31, 2024, the Company had approximately $429.3 million of gross sales of its common stock available under the 2024 ATM Program.</w:t>
      </w:r>
    </w:p>
    <w:p>
      <w:pPr>
        <w:spacing w:after="0" w:line="78" w:lineRule="exact"/>
        <w:rPr>
          <w:sz w:val="20"/>
          <w:szCs w:val="20"/>
          <w:color w:val="auto"/>
        </w:rPr>
      </w:pPr>
    </w:p>
    <w:p>
      <w:pPr>
        <w:ind w:right="40" w:firstLine="435"/>
        <w:spacing w:after="0" w:line="294" w:lineRule="auto"/>
        <w:rPr>
          <w:sz w:val="20"/>
          <w:szCs w:val="20"/>
          <w:color w:val="auto"/>
        </w:rPr>
      </w:pPr>
      <w:r>
        <w:rPr>
          <w:rFonts w:ascii="Times New Roman" w:cs="Times New Roman" w:eastAsia="Times New Roman" w:hAnsi="Times New Roman"/>
          <w:sz w:val="16"/>
          <w:szCs w:val="16"/>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87"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The Shopping Center Industry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51" w:lineRule="exact"/>
        <w:rPr>
          <w:sz w:val="20"/>
          <w:szCs w:val="20"/>
          <w:color w:val="auto"/>
        </w:rPr>
      </w:pPr>
    </w:p>
    <w:p>
      <w:pPr>
        <w:ind w:firstLine="435"/>
        <w:spacing w:after="0" w:line="246" w:lineRule="auto"/>
        <w:rPr>
          <w:sz w:val="20"/>
          <w:szCs w:val="20"/>
          <w:color w:val="auto"/>
        </w:rPr>
      </w:pPr>
      <w:r>
        <w:rPr>
          <w:rFonts w:ascii="Times New Roman" w:cs="Times New Roman" w:eastAsia="Times New Roman" w:hAnsi="Times New Roman"/>
          <w:sz w:val="18"/>
          <w:szCs w:val="18"/>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Retail Centers" or "Malls." Regional Retail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 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Regional Retail Centers:</w:t>
      </w:r>
    </w:p>
    <w:p>
      <w:pPr>
        <w:spacing w:after="0" w:line="138" w:lineRule="exact"/>
        <w:rPr>
          <w:sz w:val="20"/>
          <w:szCs w:val="20"/>
          <w:color w:val="auto"/>
        </w:rPr>
      </w:pPr>
    </w:p>
    <w:p>
      <w:pPr>
        <w:ind w:right="160" w:firstLine="435"/>
        <w:spacing w:after="0" w:line="256" w:lineRule="auto"/>
        <w:rPr>
          <w:sz w:val="20"/>
          <w:szCs w:val="20"/>
          <w:color w:val="auto"/>
        </w:rPr>
      </w:pPr>
      <w:r>
        <w:rPr>
          <w:rFonts w:ascii="Times New Roman" w:cs="Times New Roman" w:eastAsia="Times New Roman" w:hAnsi="Times New Roman"/>
          <w:sz w:val="18"/>
          <w:szCs w:val="18"/>
          <w:color w:val="auto"/>
        </w:rPr>
        <w:t>A Regional Retail Center draws from its trade area by offering a variety of fashion merchandise, hard goods and services and entertainment, often in an enclosed, climate controlled environment with convenient parking. Regional Retail Centers provide an array of retail shops and entertainment facilities and often serve as the town center and a gathering place for community, charity and promotional events.</w:t>
      </w:r>
    </w:p>
    <w:p>
      <w:pPr>
        <w:spacing w:after="0" w:line="115"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Regional Retail Centers have generally provided owners with relatively stable income despite the cyclical nature of the retail business. This stability is due both to the diversity of tenants and to the typical dominance of Regional Retail Centers in their trade areas.</w:t>
      </w:r>
    </w:p>
    <w:p>
      <w:pPr>
        <w:spacing w:after="0" w:line="102"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Regional Retail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Retail Center.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51" w:lineRule="exact"/>
        <w:rPr>
          <w:sz w:val="20"/>
          <w:szCs w:val="20"/>
          <w:color w:val="auto"/>
        </w:rPr>
      </w:pPr>
    </w:p>
    <w:p>
      <w:pPr>
        <w:ind w:right="360" w:firstLine="435"/>
        <w:spacing w:after="0" w:line="256" w:lineRule="auto"/>
        <w:rPr>
          <w:sz w:val="20"/>
          <w:szCs w:val="20"/>
          <w:color w:val="auto"/>
        </w:rPr>
      </w:pPr>
      <w:r>
        <w:rPr>
          <w:rFonts w:ascii="Times New Roman" w:cs="Times New Roman" w:eastAsia="Times New Roman" w:hAnsi="Times New Roman"/>
          <w:sz w:val="18"/>
          <w:szCs w:val="18"/>
          <w:color w:val="auto"/>
        </w:rPr>
        <w:t>In the second quarter of 2024, the Company announced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pacing w:after="0" w:line="102" w:lineRule="exact"/>
        <w:rPr>
          <w:sz w:val="20"/>
          <w:szCs w:val="20"/>
          <w:color w:val="auto"/>
        </w:rPr>
      </w:pPr>
    </w:p>
    <w:p>
      <w:pPr>
        <w:ind w:left="960" w:right="40" w:hanging="322"/>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Deleverage the capital structure, with a focus on reducing the Company’s Net Debt to Adjusted EBITDA leverage ratio over the next three to four years;</w:t>
      </w:r>
    </w:p>
    <w:p>
      <w:pPr>
        <w:spacing w:after="0" w:line="102"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and fortify the Company’s key assets in the portfolio;</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consolidate selected joint venture assets over time that are core to the Company’s overall strategy;</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post-deleveraging Funds From Operations launch point goal over the next three to four years;</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outstanding operational results through rigorous internal process improvements;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the Company to take an offensive stance on acquisitions, reinvestment and selected development.</w:t>
      </w:r>
    </w:p>
    <w:p>
      <w:pPr>
        <w:spacing w:after="0" w:line="136" w:lineRule="exact"/>
        <w:rPr>
          <w:sz w:val="20"/>
          <w:szCs w:val="20"/>
          <w:color w:val="auto"/>
        </w:rPr>
      </w:pPr>
    </w:p>
    <w:p>
      <w:pPr>
        <w:ind w:right="120" w:firstLine="435"/>
        <w:spacing w:after="0" w:line="289" w:lineRule="auto"/>
        <w:rPr>
          <w:sz w:val="20"/>
          <w:szCs w:val="20"/>
          <w:color w:val="auto"/>
        </w:rPr>
      </w:pPr>
      <w:r>
        <w:rPr>
          <w:rFonts w:ascii="Times New Roman" w:cs="Times New Roman" w:eastAsia="Times New Roman" w:hAnsi="Times New Roman"/>
          <w:sz w:val="16"/>
          <w:szCs w:val="16"/>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 w:name="page8"/>
    <w:bookmarkEnd w:id="7"/>
    <w:p>
      <w:pPr>
        <w:ind w:right="480" w:firstLine="435"/>
        <w:spacing w:after="0" w:line="269" w:lineRule="auto"/>
        <w:rPr>
          <w:sz w:val="20"/>
          <w:szCs w:val="20"/>
          <w:color w:val="auto"/>
        </w:rPr>
      </w:pPr>
      <w:r>
        <w:rPr>
          <w:rFonts w:ascii="Times New Roman" w:cs="Times New Roman" w:eastAsia="Times New Roman" w:hAnsi="Times New Roman"/>
          <w:sz w:val="18"/>
          <w:szCs w:val="18"/>
          <w:color w:val="auto"/>
        </w:rPr>
        <w:t>Further, the Company has a long-term four-pronged business strategy that focuses on the acquisition, leasing and management, redevelopment and development of Regional Retail Centers.</w:t>
      </w:r>
    </w:p>
    <w:p>
      <w:pPr>
        <w:spacing w:after="0" w:line="87" w:lineRule="exact"/>
        <w:rPr>
          <w:sz w:val="20"/>
          <w:szCs w:val="20"/>
          <w:color w:val="auto"/>
        </w:rPr>
      </w:pPr>
    </w:p>
    <w:p>
      <w:pPr>
        <w:ind w:right="120" w:firstLine="43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The Company principally focuses on well-located, quality Regional Retail Centers that can be dominant in their trade area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revenue enhancement potential. In addition, the Company pursues other opportunistic acquisitions of property that include retail and will complement the Company's portfolio.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w:t>
      </w:r>
    </w:p>
    <w:p>
      <w:pPr>
        <w:spacing w:after="0" w:line="123"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Since implementation of the Path Forward Plan, the Company acquired its joint venture partner's interest in Arrowhead Towne Center, South Plains Mall, Lakewood Center, Los Cerritos Center and Washington Square (See "Acquisitions" in Recent Developments).</w:t>
      </w:r>
    </w:p>
    <w:p>
      <w:pPr>
        <w:spacing w:after="0" w:line="100" w:lineRule="exact"/>
        <w:rPr>
          <w:sz w:val="20"/>
          <w:szCs w:val="20"/>
          <w:color w:val="auto"/>
        </w:rPr>
      </w:pPr>
    </w:p>
    <w:p>
      <w:pPr>
        <w:ind w:right="160" w:firstLine="43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Leasing and Management. </w:t>
      </w:r>
      <w:r>
        <w:rPr>
          <w:rFonts w:ascii="Times New Roman" w:cs="Times New Roman" w:eastAsia="Times New Roman" w:hAnsi="Times New Roman"/>
          <w:sz w:val="18"/>
          <w:szCs w:val="18"/>
          <w:color w:val="auto"/>
        </w:rPr>
        <w:t>The Company believes that the shopping center business requires specialized skills across a broad array of disciplines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110" w:lineRule="exact"/>
        <w:rPr>
          <w:sz w:val="20"/>
          <w:szCs w:val="20"/>
          <w:color w:val="auto"/>
        </w:rPr>
      </w:pPr>
    </w:p>
    <w:p>
      <w:pPr>
        <w:ind w:right="360" w:firstLine="435"/>
        <w:spacing w:after="0" w:line="303" w:lineRule="auto"/>
        <w:rPr>
          <w:sz w:val="20"/>
          <w:szCs w:val="20"/>
          <w:color w:val="auto"/>
        </w:rPr>
      </w:pPr>
      <w:r>
        <w:rPr>
          <w:rFonts w:ascii="Times New Roman" w:cs="Times New Roman" w:eastAsia="Times New Roman" w:hAnsi="Times New Roman"/>
          <w:sz w:val="16"/>
          <w:szCs w:val="16"/>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80" w:lineRule="exact"/>
        <w:rPr>
          <w:sz w:val="20"/>
          <w:szCs w:val="20"/>
          <w:color w:val="auto"/>
        </w:rPr>
      </w:pPr>
    </w:p>
    <w:p>
      <w:pPr>
        <w:jc w:val="both"/>
        <w:ind w:right="100" w:firstLine="435"/>
        <w:spacing w:after="0" w:line="256" w:lineRule="auto"/>
        <w:rPr>
          <w:sz w:val="20"/>
          <w:szCs w:val="20"/>
          <w:color w:val="auto"/>
        </w:rPr>
      </w:pPr>
      <w:r>
        <w:rPr>
          <w:rFonts w:ascii="Times New Roman" w:cs="Times New Roman" w:eastAsia="Times New Roman" w:hAnsi="Times New Roman"/>
          <w:sz w:val="18"/>
          <w:szCs w:val="18"/>
          <w:color w:val="auto"/>
        </w:rPr>
        <w:t>The Company generally utilizes regionally located leasing managers to better understand the market and the community in which a Center is located. In addition, the Company may utilize third party leasing brokers on a selective basis. The Company continually assesses and fine tunes each Center's tenant mix, identifies and replaces underperforming tenants and seeks to optimize existing tenant sizes and configurations.</w:t>
      </w:r>
    </w:p>
    <w:p>
      <w:pPr>
        <w:spacing w:after="0" w:line="115" w:lineRule="exact"/>
        <w:rPr>
          <w:sz w:val="20"/>
          <w:szCs w:val="20"/>
          <w:color w:val="auto"/>
        </w:rPr>
      </w:pPr>
    </w:p>
    <w:p>
      <w:pPr>
        <w:ind w:right="820" w:firstLine="435"/>
        <w:spacing w:after="0" w:line="269" w:lineRule="auto"/>
        <w:rPr>
          <w:sz w:val="20"/>
          <w:szCs w:val="20"/>
          <w:color w:val="auto"/>
        </w:rPr>
      </w:pPr>
      <w:r>
        <w:rPr>
          <w:rFonts w:ascii="Times New Roman" w:cs="Times New Roman" w:eastAsia="Times New Roman" w:hAnsi="Times New Roman"/>
          <w:sz w:val="18"/>
          <w:szCs w:val="18"/>
          <w:color w:val="auto"/>
        </w:rPr>
        <w:t>On a selective basis, the Company provides property management and leasing services for third parties. The Company currently manages two community centers for third-party owners on a fee basis.</w:t>
      </w:r>
    </w:p>
    <w:p>
      <w:pPr>
        <w:spacing w:after="0" w:line="87"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Redevelopment. </w:t>
      </w:r>
      <w:r>
        <w:rPr>
          <w:rFonts w:ascii="Times New Roman" w:cs="Times New Roman" w:eastAsia="Times New Roman" w:hAnsi="Times New Roman"/>
          <w:sz w:val="18"/>
          <w:szCs w:val="18"/>
          <w:color w:val="auto"/>
        </w:rPr>
        <w:t>One component of the Company's growth strategy is its ability to redevelop acquired properties. On a selective basis,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strategy may include mixed-use densification to maximize space at the Company’s Regional Retail Centers, including by developing available land at the Regional Retail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Activities" in Recent Developments).</w:t>
      </w:r>
    </w:p>
    <w:p>
      <w:pPr>
        <w:spacing w:after="0" w:line="121" w:lineRule="exact"/>
        <w:rPr>
          <w:sz w:val="20"/>
          <w:szCs w:val="20"/>
          <w:color w:val="auto"/>
        </w:rPr>
      </w:pPr>
    </w:p>
    <w:p>
      <w:pPr>
        <w:ind w:right="400" w:firstLine="43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Development. </w:t>
      </w:r>
      <w:r>
        <w:rPr>
          <w:rFonts w:ascii="Times New Roman" w:cs="Times New Roman" w:eastAsia="Times New Roman" w:hAnsi="Times New Roman"/>
          <w:sz w:val="18"/>
          <w:szCs w:val="18"/>
          <w:color w:val="auto"/>
        </w:rPr>
        <w:t>The Company pursues ground-up development projects on a selective basis. The Company has supplemented its strong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redevelopment skills with its ground-up development expertise to further increase growth opportunities.</w:t>
      </w:r>
    </w:p>
    <w:p>
      <w:pPr>
        <w:spacing w:after="0" w:line="101" w:lineRule="exact"/>
        <w:rPr>
          <w:sz w:val="20"/>
          <w:szCs w:val="20"/>
          <w:color w:val="auto"/>
        </w:rPr>
      </w:pPr>
    </w:p>
    <w:p>
      <w:pPr>
        <w:ind w:right="180" w:firstLine="435"/>
        <w:spacing w:after="0" w:line="269" w:lineRule="auto"/>
        <w:rPr>
          <w:sz w:val="20"/>
          <w:szCs w:val="20"/>
          <w:color w:val="auto"/>
        </w:rPr>
      </w:pPr>
      <w:r>
        <w:rPr>
          <w:rFonts w:ascii="Times New Roman" w:cs="Times New Roman" w:eastAsia="Times New Roman" w:hAnsi="Times New Roman"/>
          <w:sz w:val="18"/>
          <w:szCs w:val="18"/>
          <w:color w:val="auto"/>
        </w:rPr>
        <w:t>The Company will be very selective in undertaking any future redevelopment or development projects and may choose to pause existing projects if the Company believes they are no longer economically viable.</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Centers:</w:t>
      </w:r>
    </w:p>
    <w:p>
      <w:pPr>
        <w:spacing w:after="0" w:line="151" w:lineRule="exact"/>
        <w:rPr>
          <w:sz w:val="20"/>
          <w:szCs w:val="20"/>
          <w:color w:val="auto"/>
        </w:rPr>
      </w:pPr>
    </w:p>
    <w:p>
      <w:pPr>
        <w:ind w:right="80" w:firstLine="435"/>
        <w:spacing w:after="0" w:line="250" w:lineRule="auto"/>
        <w:rPr>
          <w:sz w:val="20"/>
          <w:szCs w:val="20"/>
          <w:color w:val="auto"/>
        </w:rPr>
      </w:pPr>
      <w:r>
        <w:rPr>
          <w:rFonts w:ascii="Times New Roman" w:cs="Times New Roman" w:eastAsia="Times New Roman" w:hAnsi="Times New Roman"/>
          <w:sz w:val="18"/>
          <w:szCs w:val="18"/>
          <w:color w:val="auto"/>
        </w:rPr>
        <w:t>As of December 31, 2024, the Centers primarily included 40 Regional Retail Centers (including office, hotel and residential space adjacent to these shopping centers), two Community/Power Shopping Centers and one redevelopment property totaling approximately 43 million square feet of GLA. These 43 Centers average approximately 990,000 square feet of GLA and range in size from 3.3 million square feet of GLA at Tysons Corner Center to 205,000 square feet of GLA at Boulevard Shops. As of December 31, 2024, the Centers primarily included 146 Anchors totaling approximately 20.0 million square feet of GLA and approximately 5,000 Mall Stores and Freestanding Stores totaling approximately 21.1 million square feet of GLA.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38"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Numerous owners, developers and managers of malls, shopping centers and other retail-oriented real estate compete with the Company for the acquisition of properties and in attracting tenants or Anchors to occupy space. There are other publicly traded mall companies and several large private mall companies in the United States, any of which under certain 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and online retail shopping that could adversely affect the Company's revenues.</w:t>
      </w:r>
    </w:p>
    <w:p>
      <w:pPr>
        <w:spacing w:after="0" w:line="125"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Major Tenants:</w:t>
      </w:r>
    </w:p>
    <w:p>
      <w:pPr>
        <w:spacing w:after="0" w:line="138" w:lineRule="exact"/>
        <w:rPr>
          <w:sz w:val="20"/>
          <w:szCs w:val="20"/>
          <w:color w:val="auto"/>
        </w:rPr>
      </w:pPr>
    </w:p>
    <w:p>
      <w:pPr>
        <w:jc w:val="both"/>
        <w:ind w:right="300" w:firstLine="43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Centers derived approximately 73% of their total rents from Mall Stores and Freestanding Stores under 10,000 square feet and 27% of their total rents from Big Box and Anchor tenants. Total rents as set forth in "Item 1. Business" include minimum rents and percentage rents.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retailers (including their subsidiaries) represent the 10 largest tenants in the Centers based upon total rents in place as of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9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530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Primary DBAs</w:t>
            </w:r>
          </w:p>
        </w:tc>
        <w:tc>
          <w:tcPr>
            <w:tcW w:w="11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in the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Rents</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&amp; Co.</w:t>
            </w:r>
          </w:p>
        </w:tc>
        <w:tc>
          <w:tcPr>
            <w:tcW w:w="12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Pink, Victoria's Secret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9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Foot Locker, Inc.</w:t>
            </w:r>
          </w:p>
        </w:tc>
        <w:tc>
          <w:tcPr>
            <w:tcW w:w="53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Champs Sports, Foot Locker, House of Hoops by Foot Locker, Kids Foot</w:t>
            </w: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4"/>
                <w:szCs w:val="14"/>
                <w:color w:val="auto"/>
              </w:rPr>
            </w:pPr>
          </w:p>
        </w:tc>
        <w:tc>
          <w:tcPr>
            <w:tcW w:w="9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Locker, and others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Dick's Sporting Goods, Inc.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Dick's Sporting Goods, Moosejaw</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Signet Jewelers Limited</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Banter by Piercing Pagoda, Blue Nile, Jared, Kay Jewelers, Zales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Gap, Inc.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Athleta, Banana Republic, Gap, Gap Kids, Old Navy, and others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LVMH,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 Vuitton, Sephora, and others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&amp; M Hennes &amp; Mauritz L.P.</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H&amp;M</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Eagle Outfitters,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Aerie, American Eagle Outfitters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JD Sports Fashion Plc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 Line, JD Sports, Shoe Palace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9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SPARC Group LLC</w:t>
            </w:r>
          </w:p>
        </w:tc>
        <w:tc>
          <w:tcPr>
            <w:tcW w:w="53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Aeropostale, Brooks Brothers, Eddie Bauer, Forever 21, Lucky Brand,</w:t>
            </w: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4"/>
                <w:szCs w:val="14"/>
                <w:color w:val="auto"/>
              </w:rPr>
            </w:pPr>
          </w:p>
        </w:tc>
        <w:tc>
          <w:tcPr>
            <w:tcW w:w="9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3200" w:type="dxa"/>
            <w:vAlign w:val="bottom"/>
            <w:gridSpan w:val="2"/>
            <w:vMerge w:val="restart"/>
          </w:tcPr>
          <w:p>
            <w:pPr>
              <w:jc w:val="right"/>
              <w:ind w:right="2714"/>
              <w:spacing w:after="0"/>
              <w:rPr>
                <w:sz w:val="20"/>
                <w:szCs w:val="20"/>
                <w:color w:val="auto"/>
              </w:rPr>
            </w:pPr>
            <w:r>
              <w:rPr>
                <w:rFonts w:ascii="Times New Roman" w:cs="Times New Roman" w:eastAsia="Times New Roman" w:hAnsi="Times New Roman"/>
                <w:sz w:val="18"/>
                <w:szCs w:val="18"/>
                <w:color w:val="auto"/>
                <w:w w:val="92"/>
              </w:rPr>
              <w:t>2024:</w:t>
            </w:r>
          </w:p>
        </w:tc>
        <w:tc>
          <w:tcPr>
            <w:tcW w:w="1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others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Mall Stores and Freestanding Stores:</w:t>
      </w:r>
    </w:p>
    <w:p>
      <w:pPr>
        <w:spacing w:after="0" w:line="151" w:lineRule="exact"/>
        <w:rPr>
          <w:sz w:val="20"/>
          <w:szCs w:val="20"/>
          <w:color w:val="auto"/>
        </w:rPr>
      </w:pPr>
    </w:p>
    <w:p>
      <w:pPr>
        <w:ind w:right="40" w:firstLine="435"/>
        <w:spacing w:after="0" w:line="249" w:lineRule="auto"/>
        <w:rPr>
          <w:sz w:val="20"/>
          <w:szCs w:val="20"/>
          <w:color w:val="auto"/>
        </w:rPr>
      </w:pPr>
      <w:r>
        <w:rPr>
          <w:rFonts w:ascii="Times New Roman" w:cs="Times New Roman" w:eastAsia="Times New Roman" w:hAnsi="Times New Roman"/>
          <w:sz w:val="18"/>
          <w:szCs w:val="18"/>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their pro rata share of property taxes and to pay a stated amount for operating expenses, excluding property taxes, regardless of the expenses the Company actually incurs at any Center. However, certain leases for Mall Stores and Freestanding Stores contain provisions that require tenants to pay their pro rata share of maintenance of the common areas, property taxes, insurance, advertising and other expenditures related to the operations of the Center.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975" w:right="439" w:bottom="1440" w:gutter="0" w:footer="0" w:header="0"/>
        </w:sectPr>
      </w:pPr>
    </w:p>
    <w:bookmarkStart w:id="9" w:name="page10"/>
    <w:bookmarkEnd w:id="9"/>
    <w:p>
      <w:pPr>
        <w:ind w:firstLine="435"/>
        <w:spacing w:after="0" w:line="248" w:lineRule="auto"/>
        <w:rPr>
          <w:sz w:val="20"/>
          <w:szCs w:val="20"/>
          <w:color w:val="auto"/>
        </w:rPr>
      </w:pPr>
      <w:r>
        <w:rPr>
          <w:rFonts w:ascii="Times New Roman" w:cs="Times New Roman" w:eastAsia="Times New Roman" w:hAnsi="Times New Roman"/>
          <w:sz w:val="18"/>
          <w:szCs w:val="18"/>
          <w:color w:val="auto"/>
        </w:rPr>
        <w:t>Tenant space of 10,000 square feet and under in the Company's portfolio at December 31, 2024 comprises approximately 60%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Cost of Occupancy:</w:t>
      </w:r>
    </w:p>
    <w:p>
      <w:pPr>
        <w:spacing w:after="0" w:line="151" w:lineRule="exact"/>
        <w:rPr>
          <w:sz w:val="20"/>
          <w:szCs w:val="20"/>
          <w:color w:val="auto"/>
        </w:rPr>
      </w:pPr>
    </w:p>
    <w:p>
      <w:pPr>
        <w:ind w:right="20" w:firstLine="435"/>
        <w:spacing w:after="0" w:line="249" w:lineRule="auto"/>
        <w:rPr>
          <w:sz w:val="20"/>
          <w:szCs w:val="20"/>
          <w:color w:val="auto"/>
        </w:rPr>
      </w:pPr>
      <w:r>
        <w:rPr>
          <w:rFonts w:ascii="Times New Roman" w:cs="Times New Roman" w:eastAsia="Times New Roman" w:hAnsi="Times New Roman"/>
          <w:sz w:val="18"/>
          <w:szCs w:val="18"/>
          <w:color w:val="auto"/>
        </w:rPr>
        <w:t>A major factor contributing to tenant profitability is cost of occupancy, which consists of tenant occupancy costs charged by the Company. Tenant occupancy costs include tenant expenses such as minimum rents, percentage rents and recoverable expenditures, which consist primarily of property operating expenses and real estate taxes. These costs are then compared to tenant sales to present tenant occupancy costs as a percentage of tenant sales. A low cost of occupancy percentage shows more potential capacity for the Company to increase rents at the time of lease renewal than a high cost of occupancy percentage. The following table summarizes occupancy costs for Mall Store and Freestanding Store tenants in the Centers as a percentage of total sales for the years ended December 31, 2024, 2023 and 2022:</w:t>
      </w:r>
    </w:p>
    <w:p>
      <w:pPr>
        <w:spacing w:after="0" w:line="200" w:lineRule="exact"/>
        <w:rPr>
          <w:sz w:val="20"/>
          <w:szCs w:val="20"/>
          <w:color w:val="auto"/>
        </w:rPr>
      </w:pPr>
    </w:p>
    <w:p>
      <w:pPr>
        <w:spacing w:after="0" w:line="328" w:lineRule="exact"/>
        <w:rPr>
          <w:sz w:val="20"/>
          <w:szCs w:val="20"/>
          <w:color w:val="auto"/>
        </w:rPr>
      </w:pPr>
    </w:p>
    <w:tbl>
      <w:tblPr>
        <w:tblLayout w:type="fixed"/>
        <w:tblInd w:w="2060" w:type="dxa"/>
        <w:tblCellMar>
          <w:top w:w="0" w:type="dxa"/>
          <w:left w:w="0" w:type="dxa"/>
          <w:bottom w:w="0" w:type="dxa"/>
          <w:right w:w="0" w:type="dxa"/>
        </w:tblCellMar>
      </w:tblPr>
      <w:tr>
        <w:trPr>
          <w:trHeight w:val="231"/>
        </w:trPr>
        <w:tc>
          <w:tcPr>
            <w:tcW w:w="2100" w:type="dxa"/>
            <w:vAlign w:val="bottom"/>
          </w:tcPr>
          <w:p>
            <w:pPr>
              <w:spacing w:after="0"/>
              <w:rPr>
                <w:sz w:val="20"/>
                <w:szCs w:val="20"/>
                <w:color w:val="auto"/>
              </w:rPr>
            </w:pPr>
          </w:p>
        </w:tc>
        <w:tc>
          <w:tcPr>
            <w:tcW w:w="396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4"/>
        </w:trPr>
        <w:tc>
          <w:tcPr>
            <w:tcW w:w="21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Consolidated Centers: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rents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rents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recoveries(1)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2"/>
        </w:trPr>
        <w:tc>
          <w:tcPr>
            <w:tcW w:w="2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Unconsolidated Joint</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Venture Centers: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rents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recoveries(1)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2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200" w:hanging="562"/>
        <w:spacing w:after="0"/>
        <w:tabs>
          <w:tab w:leader="none" w:pos="1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real estate tax and common area maintenance charges.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77" w:right="39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t>The following tables set forth the average base rent per square foot for the Centers, as of December 31 for each of the past three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Mall Stores and Freestanding Stores under 10,000 square feet: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Avg. Base</w:t>
            </w:r>
          </w:p>
        </w:tc>
        <w:tc>
          <w:tcPr>
            <w:tcW w:w="200" w:type="dxa"/>
            <w:vAlign w:val="bottom"/>
          </w:tcPr>
          <w:p>
            <w:pPr>
              <w:spacing w:after="0"/>
              <w:rPr>
                <w:sz w:val="13"/>
                <w:szCs w:val="13"/>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200" w:type="dxa"/>
            <w:vAlign w:val="bottom"/>
          </w:tcPr>
          <w:p>
            <w:pPr>
              <w:spacing w:after="0"/>
              <w:rPr>
                <w:sz w:val="13"/>
                <w:szCs w:val="13"/>
                <w:color w:val="auto"/>
              </w:rPr>
            </w:pPr>
          </w:p>
        </w:tc>
        <w:tc>
          <w:tcPr>
            <w:tcW w:w="16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 Sq. Ft. on</w:t>
            </w:r>
          </w:p>
        </w:tc>
        <w:tc>
          <w:tcPr>
            <w:tcW w:w="200" w:type="dxa"/>
            <w:vAlign w:val="bottom"/>
          </w:tcPr>
          <w:p>
            <w:pPr>
              <w:spacing w:after="0"/>
              <w:rPr>
                <w:sz w:val="12"/>
                <w:szCs w:val="12"/>
                <w:color w:val="auto"/>
              </w:rPr>
            </w:pPr>
          </w:p>
        </w:tc>
        <w:tc>
          <w:tcPr>
            <w:tcW w:w="1680" w:type="dxa"/>
            <w:vAlign w:val="bottom"/>
          </w:tcPr>
          <w:p>
            <w:pPr>
              <w:jc w:val="center"/>
              <w:ind w:right="119"/>
              <w:spacing w:after="0" w:line="14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0" w:type="dxa"/>
            <w:vAlign w:val="bottom"/>
          </w:tcPr>
          <w:p>
            <w:pPr>
              <w:spacing w:after="0"/>
              <w:rPr>
                <w:sz w:val="1"/>
                <w:szCs w:val="1"/>
                <w:color w:val="auto"/>
              </w:rPr>
            </w:pPr>
          </w:p>
        </w:tc>
      </w:tr>
      <w:tr>
        <w:trPr>
          <w:trHeight w:val="143"/>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Rent Per</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Leases Executed</w:t>
            </w:r>
          </w:p>
        </w:tc>
        <w:tc>
          <w:tcPr>
            <w:tcW w:w="200" w:type="dxa"/>
            <w:vAlign w:val="bottom"/>
          </w:tcPr>
          <w:p>
            <w:pPr>
              <w:spacing w:after="0"/>
              <w:rPr>
                <w:sz w:val="12"/>
                <w:szCs w:val="12"/>
                <w:color w:val="auto"/>
              </w:rPr>
            </w:pPr>
          </w:p>
        </w:tc>
        <w:tc>
          <w:tcPr>
            <w:tcW w:w="1680" w:type="dxa"/>
            <w:vAlign w:val="bottom"/>
          </w:tcPr>
          <w:p>
            <w:pPr>
              <w:jc w:val="center"/>
              <w:ind w:right="119"/>
              <w:spacing w:after="0" w:line="143" w:lineRule="exact"/>
              <w:rPr>
                <w:sz w:val="20"/>
                <w:szCs w:val="20"/>
                <w:color w:val="auto"/>
              </w:rPr>
            </w:pPr>
            <w:r>
              <w:rPr>
                <w:rFonts w:ascii="Times New Roman" w:cs="Times New Roman" w:eastAsia="Times New Roman" w:hAnsi="Times New Roman"/>
                <w:sz w:val="14"/>
                <w:szCs w:val="14"/>
                <w:b w:val="1"/>
                <w:bCs w:val="1"/>
                <w:color w:val="auto"/>
              </w:rPr>
              <w:t>on Leases Expiring</w:t>
            </w:r>
          </w:p>
        </w:tc>
        <w:tc>
          <w:tcPr>
            <w:tcW w:w="0" w:type="dxa"/>
            <w:vAlign w:val="bottom"/>
          </w:tcPr>
          <w:p>
            <w:pPr>
              <w:spacing w:after="0"/>
              <w:rPr>
                <w:sz w:val="1"/>
                <w:szCs w:val="1"/>
                <w:color w:val="auto"/>
              </w:rPr>
            </w:pPr>
          </w:p>
        </w:tc>
      </w:tr>
      <w:tr>
        <w:trPr>
          <w:trHeight w:val="145"/>
        </w:trPr>
        <w:tc>
          <w:tcPr>
            <w:tcW w:w="5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Sq. Ft.(1)(2)</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During the Year(2)(3)</w:t>
            </w:r>
          </w:p>
        </w:tc>
        <w:tc>
          <w:tcPr>
            <w:tcW w:w="200" w:type="dxa"/>
            <w:vAlign w:val="bottom"/>
          </w:tcPr>
          <w:p>
            <w:pPr>
              <w:spacing w:after="0"/>
              <w:rPr>
                <w:sz w:val="12"/>
                <w:szCs w:val="12"/>
                <w:color w:val="auto"/>
              </w:rPr>
            </w:pPr>
          </w:p>
        </w:tc>
        <w:tc>
          <w:tcPr>
            <w:tcW w:w="1680" w:type="dxa"/>
            <w:vAlign w:val="bottom"/>
          </w:tcPr>
          <w:p>
            <w:pPr>
              <w:jc w:val="center"/>
              <w:ind w:right="119"/>
              <w:spacing w:after="0" w:line="125" w:lineRule="exact"/>
              <w:rPr>
                <w:sz w:val="20"/>
                <w:szCs w:val="20"/>
                <w:color w:val="auto"/>
              </w:rPr>
            </w:pPr>
            <w:r>
              <w:rPr>
                <w:rFonts w:ascii="Times New Roman" w:cs="Times New Roman" w:eastAsia="Times New Roman" w:hAnsi="Times New Roman"/>
                <w:sz w:val="14"/>
                <w:szCs w:val="14"/>
                <w:b w:val="1"/>
                <w:bCs w:val="1"/>
                <w:color w:val="auto"/>
                <w:w w:val="97"/>
              </w:rPr>
              <w:t>During the Year(2)(4)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Centers (at the Company's pro rata share):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 Centers (at the Company's pro rata share):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0" w:type="dxa"/>
            <w:vAlign w:val="bottom"/>
          </w:tcPr>
          <w:p>
            <w:pPr>
              <w:spacing w:after="0"/>
              <w:rPr>
                <w:sz w:val="1"/>
                <w:szCs w:val="1"/>
                <w:color w:val="auto"/>
              </w:rPr>
            </w:pPr>
          </w:p>
        </w:tc>
      </w:tr>
      <w:tr>
        <w:trPr>
          <w:trHeight w:val="22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Big Box and Anchors: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3"/>
                <w:szCs w:val="13"/>
                <w:color w:val="auto"/>
              </w:rPr>
            </w:pPr>
          </w:p>
        </w:tc>
        <w:tc>
          <w:tcPr>
            <w:tcW w:w="17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Avg. Base</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 Sq. Ft. on</w:t>
            </w:r>
          </w:p>
        </w:tc>
        <w:tc>
          <w:tcPr>
            <w:tcW w:w="12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Executed</w:t>
            </w:r>
          </w:p>
        </w:tc>
        <w:tc>
          <w:tcPr>
            <w:tcW w:w="200" w:type="dxa"/>
            <w:vAlign w:val="bottom"/>
          </w:tcPr>
          <w:p>
            <w:pPr>
              <w:spacing w:after="0"/>
              <w:rPr>
                <w:sz w:val="12"/>
                <w:szCs w:val="12"/>
                <w:color w:val="auto"/>
              </w:rPr>
            </w:pPr>
          </w:p>
        </w:tc>
        <w:tc>
          <w:tcPr>
            <w:tcW w:w="17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Expiring</w:t>
            </w:r>
          </w:p>
        </w:tc>
        <w:tc>
          <w:tcPr>
            <w:tcW w:w="0" w:type="dxa"/>
            <w:vAlign w:val="bottom"/>
          </w:tcPr>
          <w:p>
            <w:pPr>
              <w:spacing w:after="0"/>
              <w:rPr>
                <w:sz w:val="1"/>
                <w:szCs w:val="1"/>
                <w:color w:val="auto"/>
              </w:rPr>
            </w:pPr>
          </w:p>
        </w:tc>
      </w:tr>
      <w:tr>
        <w:trPr>
          <w:trHeight w:val="132"/>
        </w:trPr>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Leases Executed</w:t>
            </w:r>
          </w:p>
        </w:tc>
        <w:tc>
          <w:tcPr>
            <w:tcW w:w="12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on Leases Expiring</w:t>
            </w:r>
          </w:p>
        </w:tc>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5"/>
        </w:trPr>
        <w:tc>
          <w:tcPr>
            <w:tcW w:w="3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Sq. Ft.(1)(2)</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During the Year(2)(3)</w:t>
            </w:r>
          </w:p>
        </w:tc>
        <w:tc>
          <w:tcPr>
            <w:tcW w:w="12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During the Year(2)(4)</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64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9"/>
        </w:trPr>
        <w:tc>
          <w:tcPr>
            <w:tcW w:w="3640" w:type="dxa"/>
            <w:vAlign w:val="bottom"/>
            <w:gridSpan w:val="3"/>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88" w:lineRule="exact"/>
        <w:rPr>
          <w:sz w:val="20"/>
          <w:szCs w:val="20"/>
          <w:color w:val="auto"/>
        </w:rPr>
      </w:pPr>
    </w:p>
    <w:p>
      <w:pPr>
        <w:ind w:left="1200" w:right="100" w:hanging="562"/>
        <w:spacing w:after="0" w:line="270" w:lineRule="auto"/>
        <w:tabs>
          <w:tab w:leader="none" w:pos="1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99" w:lineRule="exact"/>
        <w:rPr>
          <w:rFonts w:ascii="Times New Roman" w:cs="Times New Roman" w:eastAsia="Times New Roman" w:hAnsi="Times New Roman"/>
          <w:sz w:val="16"/>
          <w:szCs w:val="16"/>
          <w:color w:val="auto"/>
        </w:rPr>
      </w:pPr>
    </w:p>
    <w:p>
      <w:pPr>
        <w:ind w:left="1200" w:hanging="562"/>
        <w:spacing w:after="0"/>
        <w:tabs>
          <w:tab w:leader="none" w:pos="1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Centers under development and redevelopment are excluded from average base rents.</w:t>
      </w:r>
    </w:p>
    <w:p>
      <w:pPr>
        <w:spacing w:after="0" w:line="158" w:lineRule="exact"/>
        <w:rPr>
          <w:rFonts w:ascii="Times New Roman" w:cs="Times New Roman" w:eastAsia="Times New Roman" w:hAnsi="Times New Roman"/>
          <w:sz w:val="16"/>
          <w:szCs w:val="16"/>
          <w:color w:val="auto"/>
        </w:rPr>
      </w:pPr>
    </w:p>
    <w:p>
      <w:pPr>
        <w:ind w:left="1200" w:right="400" w:hanging="562"/>
        <w:spacing w:after="0" w:line="270" w:lineRule="auto"/>
        <w:tabs>
          <w:tab w:leader="none" w:pos="1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executed during the year represents the actual rent paid on a per square foot basis during the first twelve months of the lease.</w:t>
      </w:r>
    </w:p>
    <w:p>
      <w:pPr>
        <w:spacing w:after="0" w:line="99" w:lineRule="exact"/>
        <w:rPr>
          <w:rFonts w:ascii="Times New Roman" w:cs="Times New Roman" w:eastAsia="Times New Roman" w:hAnsi="Times New Roman"/>
          <w:sz w:val="16"/>
          <w:szCs w:val="16"/>
          <w:color w:val="auto"/>
        </w:rPr>
      </w:pPr>
    </w:p>
    <w:p>
      <w:pPr>
        <w:ind w:left="1200" w:right="60" w:hanging="562"/>
        <w:spacing w:after="0" w:line="270" w:lineRule="auto"/>
        <w:tabs>
          <w:tab w:leader="none" w:pos="1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expiring during the year represents the actual rent to be paid on a per square foot basis during the final twelve months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i w:val="1"/>
          <w:iCs w:val="1"/>
          <w:color w:val="auto"/>
        </w:rPr>
        <w:t>Lease Expirations:</w:t>
      </w:r>
    </w:p>
    <w:p>
      <w:pPr>
        <w:spacing w:after="0" w:line="138"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The following tables show scheduled lease expirations for Centers owned as of December 31, 2024 for the next ten years, assuming that none of the tenants exercise renewal options: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Mall Stores and Freestanding Stores under 10,000 square feet: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Base Rent</w:t>
            </w:r>
          </w:p>
        </w:tc>
        <w:tc>
          <w:tcPr>
            <w:tcW w:w="0" w:type="dxa"/>
            <w:vAlign w:val="bottom"/>
          </w:tcPr>
          <w:p>
            <w:pPr>
              <w:spacing w:after="0"/>
              <w:rPr>
                <w:sz w:val="1"/>
                <w:szCs w:val="1"/>
                <w:color w:val="auto"/>
              </w:rPr>
            </w:pPr>
          </w:p>
        </w:tc>
      </w:tr>
      <w:tr>
        <w:trPr>
          <w:trHeight w:val="143"/>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0" w:type="dxa"/>
            <w:vAlign w:val="bottom"/>
          </w:tcPr>
          <w:p>
            <w:pPr>
              <w:spacing w:after="0"/>
              <w:rPr>
                <w:sz w:val="1"/>
                <w:szCs w:val="1"/>
                <w:color w:val="auto"/>
              </w:rPr>
            </w:pPr>
          </w:p>
        </w:tc>
      </w:tr>
      <w:tr>
        <w:trPr>
          <w:trHeight w:val="145"/>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GLA of Leases</w:t>
            </w:r>
          </w:p>
        </w:tc>
        <w:tc>
          <w:tcPr>
            <w:tcW w:w="1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by Expiring</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per Square Foot of</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91"/>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0" w:type="dxa"/>
            <w:vAlign w:val="bottom"/>
          </w:tcPr>
          <w:p>
            <w:pPr>
              <w:spacing w:after="0"/>
              <w:rPr>
                <w:sz w:val="1"/>
                <w:szCs w:val="1"/>
                <w:color w:val="auto"/>
              </w:rPr>
            </w:pPr>
          </w:p>
        </w:tc>
      </w:tr>
      <w:tr>
        <w:trPr>
          <w:trHeight w:val="171"/>
        </w:trPr>
        <w:tc>
          <w:tcPr>
            <w:tcW w:w="370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1,201,265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867,595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690,977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504,465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500,783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299,679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184,046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195,281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189,609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Big Boxes and Anchors: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Base Rent</w:t>
            </w: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0" w:type="dxa"/>
            <w:vAlign w:val="bottom"/>
          </w:tcPr>
          <w:p>
            <w:pPr>
              <w:spacing w:after="0"/>
              <w:rPr>
                <w:sz w:val="1"/>
                <w:szCs w:val="1"/>
                <w:color w:val="auto"/>
              </w:rPr>
            </w:pPr>
          </w:p>
        </w:tc>
      </w:tr>
      <w:tr>
        <w:trPr>
          <w:trHeight w:val="134"/>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GLA of Leases</w:t>
            </w:r>
          </w:p>
        </w:tc>
        <w:tc>
          <w:tcPr>
            <w:tcW w:w="1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8"/>
              </w:rPr>
              <w:t>by Expiring</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per Square Foot of</w:t>
            </w:r>
          </w:p>
        </w:tc>
        <w:tc>
          <w:tcPr>
            <w:tcW w:w="14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85"/>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0" w:type="dxa"/>
            <w:vAlign w:val="bottom"/>
          </w:tcPr>
          <w:p>
            <w:pPr>
              <w:spacing w:after="0"/>
              <w:rPr>
                <w:sz w:val="1"/>
                <w:szCs w:val="1"/>
                <w:color w:val="auto"/>
              </w:rPr>
            </w:pPr>
          </w:p>
        </w:tc>
      </w:tr>
      <w:tr>
        <w:trPr>
          <w:trHeight w:val="24"/>
        </w:trPr>
        <w:tc>
          <w:tcPr>
            <w:tcW w:w="3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1,585,933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1,453,864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1,310,568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941,158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749,327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937,880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600,117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385,674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569,519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219,420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88" w:lineRule="exact"/>
        <w:rPr>
          <w:sz w:val="20"/>
          <w:szCs w:val="20"/>
          <w:color w:val="auto"/>
        </w:rPr>
      </w:pPr>
    </w:p>
    <w:p>
      <w:pPr>
        <w:ind w:left="1200" w:right="220" w:hanging="562"/>
        <w:spacing w:after="0" w:line="287" w:lineRule="auto"/>
        <w:tabs>
          <w:tab w:leader="none" w:pos="1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ending base rent per square foot on leases expiring during the period represents the final year minimum rent, on a cash basis, for tenant leases expiring during the year.</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Anchors:</w:t>
      </w:r>
    </w:p>
    <w:p>
      <w:pPr>
        <w:spacing w:after="0" w:line="15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Anchors have traditionally been a major factor in the public's identification with Regional Retail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106"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Anchors accounted for approximately 7.2% of the Company's total rents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5" w:right="359" w:bottom="1440" w:gutter="0" w:footer="0" w:header="0"/>
        </w:sectPr>
      </w:pPr>
    </w:p>
    <w:bookmarkStart w:id="13" w:name="page14"/>
    <w:bookmarkEnd w:id="13"/>
    <w:p>
      <w:pPr>
        <w:ind w:right="420" w:firstLine="435"/>
        <w:spacing w:after="0" w:line="269" w:lineRule="auto"/>
        <w:rPr>
          <w:sz w:val="20"/>
          <w:szCs w:val="20"/>
          <w:color w:val="auto"/>
        </w:rPr>
      </w:pPr>
      <w:r>
        <w:rPr>
          <w:rFonts w:ascii="Times New Roman" w:cs="Times New Roman" w:eastAsia="Times New Roman" w:hAnsi="Times New Roman"/>
          <w:sz w:val="18"/>
          <w:szCs w:val="18"/>
          <w:color w:val="auto"/>
        </w:rPr>
        <w:t>The following table identifies each Anchor, each parent company that owns multiple Anchors and the number of square feet owned or leased by each such Anchor or parent company in the Company's portfolio at December 31, 2024.</w:t>
      </w:r>
    </w:p>
    <w:p>
      <w:pPr>
        <w:spacing w:after="0" w:line="10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GLA Owned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GLA Leased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Anchor GLA</w:t>
            </w:r>
          </w:p>
        </w:tc>
        <w:tc>
          <w:tcPr>
            <w:tcW w:w="0" w:type="dxa"/>
            <w:vAlign w:val="bottom"/>
          </w:tcPr>
          <w:p>
            <w:pPr>
              <w:spacing w:after="0"/>
              <w:rPr>
                <w:sz w:val="1"/>
                <w:szCs w:val="1"/>
                <w:color w:val="auto"/>
              </w:rPr>
            </w:pPr>
          </w:p>
        </w:tc>
      </w:tr>
      <w:tr>
        <w:trPr>
          <w:trHeight w:val="145"/>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Anchor</w:t>
            </w: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8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Macy's Inc.</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Macy's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0" w:type="dxa"/>
            <w:vAlign w:val="bottom"/>
          </w:tcPr>
          <w:p>
            <w:pPr>
              <w:spacing w:after="0"/>
              <w:rPr>
                <w:sz w:val="1"/>
                <w:szCs w:val="1"/>
                <w:color w:val="auto"/>
              </w:rPr>
            </w:pPr>
          </w:p>
        </w:tc>
      </w:tr>
      <w:tr>
        <w:trPr>
          <w:trHeight w:val="198"/>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Bloomingdale's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4,132,000</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1,971,000</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JCPenney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Dillard's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2,133,000</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Nordstrom</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Dick's Sporting Goods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Forever 21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Depot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Primark</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Costco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Scheels All Sports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Burlington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BJ's Wholesale Club</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Von Maur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187,000</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Walmart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 Curacao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Manor House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Boscov's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Neiman Marcus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Mercado de los Cielos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Vacant Anchors(1)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0" w:type="dxa"/>
            <w:vAlign w:val="bottom"/>
          </w:tcPr>
          <w:p>
            <w:pPr>
              <w:spacing w:after="0"/>
              <w:rPr>
                <w:sz w:val="1"/>
                <w:szCs w:val="1"/>
                <w:color w:val="auto"/>
              </w:rPr>
            </w:pPr>
          </w:p>
        </w:tc>
      </w:tr>
      <w:tr>
        <w:trPr>
          <w:trHeight w:val="19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9,093,000</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10,853,000</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Anchors at Centers not owned by the Company(2):</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9,093,000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388" w:lineRule="exact"/>
        <w:rPr>
          <w:sz w:val="20"/>
          <w:szCs w:val="20"/>
          <w:color w:val="auto"/>
        </w:rPr>
      </w:pPr>
    </w:p>
    <w:p>
      <w:pPr>
        <w:ind w:left="1200" w:right="160" w:hanging="562"/>
        <w:spacing w:after="0" w:line="264" w:lineRule="auto"/>
        <w:tabs>
          <w:tab w:leader="none" w:pos="1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actively seeking replacement tenants or has entered into replacement leases for many of these vacant sites and/or is currently executing on or considering redevelopment opportunities for these locations. The Company continues to collect rent under the terms of an agreement regarding two of these vacant Anchors.</w:t>
      </w:r>
    </w:p>
    <w:p>
      <w:pPr>
        <w:spacing w:after="0" w:line="104" w:lineRule="exact"/>
        <w:rPr>
          <w:rFonts w:ascii="Times New Roman" w:cs="Times New Roman" w:eastAsia="Times New Roman" w:hAnsi="Times New Roman"/>
          <w:sz w:val="16"/>
          <w:szCs w:val="16"/>
          <w:color w:val="auto"/>
        </w:rPr>
      </w:pPr>
    </w:p>
    <w:p>
      <w:pPr>
        <w:ind w:left="1200" w:right="140" w:hanging="562"/>
        <w:spacing w:after="0" w:line="270" w:lineRule="auto"/>
        <w:tabs>
          <w:tab w:leader="none" w:pos="12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an office building and two stores located at shopping centers not owned by the Company. Of these two stores, one is leased to Kohl's, and one has been leased for non-Anchor usage.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51" w:lineRule="exact"/>
        <w:rPr>
          <w:sz w:val="20"/>
          <w:szCs w:val="20"/>
          <w:color w:val="auto"/>
        </w:rPr>
      </w:pPr>
    </w:p>
    <w:p>
      <w:pPr>
        <w:ind w:right="360" w:firstLine="435"/>
        <w:spacing w:after="0" w:line="250" w:lineRule="auto"/>
        <w:rPr>
          <w:sz w:val="20"/>
          <w:szCs w:val="20"/>
          <w:color w:val="auto"/>
        </w:rPr>
      </w:pPr>
      <w:r>
        <w:rPr>
          <w:rFonts w:ascii="Times New Roman" w:cs="Times New Roman" w:eastAsia="Times New Roman" w:hAnsi="Times New Roman"/>
          <w:sz w:val="18"/>
          <w:szCs w:val="18"/>
          <w:color w:val="auto"/>
        </w:rPr>
        <w:t>Compliance with various governmental regulations has an impact on the Company’s business, including its capital expenditures, earnings and competitive position, which can be material. The Company incurs costs to monitor, and takes actions to comply with, governmental regulations that are applicable to its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the Americans with Disabilities Act of 1990 (the "ADA") and related laws and regulations.</w:t>
      </w:r>
    </w:p>
    <w:p>
      <w:pPr>
        <w:spacing w:after="0" w:line="121" w:lineRule="exact"/>
        <w:rPr>
          <w:sz w:val="20"/>
          <w:szCs w:val="20"/>
          <w:color w:val="auto"/>
        </w:rPr>
      </w:pPr>
    </w:p>
    <w:p>
      <w:pPr>
        <w:ind w:right="360" w:firstLine="435"/>
        <w:spacing w:after="0" w:line="256" w:lineRule="auto"/>
        <w:rPr>
          <w:sz w:val="20"/>
          <w:szCs w:val="20"/>
          <w:color w:val="auto"/>
        </w:rPr>
      </w:pPr>
      <w:r>
        <w:rPr>
          <w:rFonts w:ascii="Times New Roman" w:cs="Times New Roman" w:eastAsia="Times New Roman" w:hAnsi="Times New Roman"/>
          <w:sz w:val="18"/>
          <w:szCs w:val="18"/>
          <w:color w:val="auto"/>
        </w:rPr>
        <w:t>See “Item 1A. Risk Factors” for a discussion of material risks to the Company, including, to the extent material, to its competitive position, relating to governmental regulations, and see “Item 7. Management’s Discussion and Analysis of Financial Condition and Results of Operations” together with the Company’s Consolidated Financial Statements, including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77" w:right="239" w:bottom="1440" w:gutter="0" w:footer="0" w:header="0"/>
        </w:sectPr>
      </w:pPr>
    </w:p>
    <w:bookmarkStart w:id="14" w:name="page15"/>
    <w:bookmarkEnd w:id="14"/>
    <w:p>
      <w:pPr>
        <w:spacing w:after="0" w:line="332" w:lineRule="auto"/>
        <w:rPr>
          <w:sz w:val="20"/>
          <w:szCs w:val="20"/>
          <w:color w:val="auto"/>
        </w:rPr>
      </w:pPr>
      <w:r>
        <w:rPr>
          <w:rFonts w:ascii="Times New Roman" w:cs="Times New Roman" w:eastAsia="Times New Roman" w:hAnsi="Times New Roman"/>
          <w:sz w:val="16"/>
          <w:szCs w:val="16"/>
          <w:color w:val="auto"/>
        </w:rPr>
        <w:t>related notes included therein, for a discussion of material information relevant to an assessment of the Company’s financial condition and results of operations, including, to the extent material, the effects that compliance with governmental regulations may have upon its capital expenditures and earnings.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51" w:lineRule="exact"/>
        <w:rPr>
          <w:sz w:val="20"/>
          <w:szCs w:val="20"/>
          <w:color w:val="auto"/>
        </w:rPr>
      </w:pPr>
    </w:p>
    <w:p>
      <w:pPr>
        <w:ind w:firstLine="632"/>
        <w:spacing w:after="0" w:line="246" w:lineRule="auto"/>
        <w:rPr>
          <w:sz w:val="20"/>
          <w:szCs w:val="20"/>
          <w:color w:val="auto"/>
        </w:rPr>
      </w:pPr>
      <w:r>
        <w:rPr>
          <w:rFonts w:ascii="Times New Roman" w:cs="Times New Roman" w:eastAsia="Times New Roman" w:hAnsi="Times New Roman"/>
          <w:sz w:val="18"/>
          <w:szCs w:val="18"/>
          <w:color w:val="auto"/>
        </w:rPr>
        <w:t>Each of the Centers has comprehensive liability, fire, extended coverage and rental loss insurance with insured limits customarily carried for similar properties. The Company does not insure certain types of losses (such as losses from wars), because they are either uninsurable or not economically insurable. In addition, while the Company or the relevant joint venture, as applicable, carry specific earthquake insurance on the Centers located in California, the policies are subject to a deductible equal to 5% of the total insured value of each Center, a $150,000 per occurrence minimum and a combined annual aggregate loss limit of $100 million on these Centers. The Company or the relevant joint venture, as applicable, carry specific earthquake insurance on the Centers located in the Pacific Northwest and in the New Madrid Seismic Zone. However, the policies are subject to a deductible equal to 2% of the total insured value of each Center, a $150,000 per occurrence minimum and a combined annual aggregate loss limit of $100 million on these Centers. While the Company or the relevant joint venture also carry standalone terrorism insurance on the Centers, the policies are subject to a $25,000 deductible and a combined annual aggregate loss limit of $1.325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Some environmental losses are not covered by this insurance because they are uninsurable or not economically insurable. Furthermore, the Company carries title insurance on substantially all of the Centers for generally less than their full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as a Real Estate Investment Trust</w:t>
      </w:r>
    </w:p>
    <w:p>
      <w:pPr>
        <w:spacing w:after="0" w:line="151" w:lineRule="exact"/>
        <w:rPr>
          <w:sz w:val="20"/>
          <w:szCs w:val="20"/>
          <w:color w:val="auto"/>
        </w:rPr>
      </w:pPr>
    </w:p>
    <w:p>
      <w:pPr>
        <w:ind w:right="60" w:firstLine="435"/>
        <w:spacing w:after="0" w:line="250" w:lineRule="auto"/>
        <w:rPr>
          <w:sz w:val="20"/>
          <w:szCs w:val="20"/>
          <w:color w:val="auto"/>
        </w:rPr>
      </w:pPr>
      <w:r>
        <w:rPr>
          <w:rFonts w:ascii="Times New Roman" w:cs="Times New Roman" w:eastAsia="Times New Roman" w:hAnsi="Times New Roman"/>
          <w:sz w:val="18"/>
          <w:szCs w:val="18"/>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51"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approximately 616 employees, of which 615 were full-time and one was part-time. Based on its semi-annual survey of employees, the Company believes that relations with its employees are good, noting an employee Net Promoter Score ("NPS") of 77, a score measured "excellent" by Bain &amp; Company's NPS scoring framework.</w:t>
      </w:r>
    </w:p>
    <w:p>
      <w:pPr>
        <w:spacing w:after="0" w:line="115"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As of December 31, 2024, the average tenure of the Company's employees was approximately 10.6 years and that of the Company's senior management was 16.6 years. In 2024, the Company's workforce turnover rate was 13.7%, which includes all employees.</w:t>
      </w:r>
    </w:p>
    <w:p>
      <w:pPr>
        <w:spacing w:after="0" w:line="89" w:lineRule="exact"/>
        <w:rPr>
          <w:sz w:val="20"/>
          <w:szCs w:val="20"/>
          <w:color w:val="auto"/>
        </w:rPr>
      </w:pPr>
    </w:p>
    <w:p>
      <w:pPr>
        <w:ind w:right="220" w:firstLine="435"/>
        <w:spacing w:after="0" w:line="250" w:lineRule="auto"/>
        <w:rPr>
          <w:sz w:val="20"/>
          <w:szCs w:val="20"/>
          <w:color w:val="auto"/>
        </w:rPr>
      </w:pPr>
      <w:r>
        <w:rPr>
          <w:rFonts w:ascii="Times New Roman" w:cs="Times New Roman" w:eastAsia="Times New Roman" w:hAnsi="Times New Roman"/>
          <w:sz w:val="18"/>
          <w:szCs w:val="18"/>
          <w:color w:val="auto"/>
        </w:rPr>
        <w:t>The Company, with oversight from senior management and its Board of Directors, puts great effort into cultivating an inclusive company culture that attracts top talent and creates an environment that fosters collaboration and innovation, while providing professional development opportunities and training. The Company’s human capital objectives include, as applicable, identifying, recruiting, retaining, developing, incentivizing and integrating the Company’s existing and prospective employees. To further these objectives, the Company has established a number of policies and programs and undertaken various initiatives, including:</w:t>
      </w:r>
    </w:p>
    <w:p>
      <w:pPr>
        <w:spacing w:after="0" w:line="119" w:lineRule="exact"/>
        <w:rPr>
          <w:sz w:val="20"/>
          <w:szCs w:val="20"/>
          <w:color w:val="auto"/>
        </w:rPr>
      </w:pPr>
    </w:p>
    <w:p>
      <w:pPr>
        <w:ind w:right="160" w:firstLine="43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The Company maintains cash- and equity-based compensation programs designed to attract, retain and motivate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employees. The Company offers full-time employees a strong benefits package, including:</w:t>
      </w:r>
    </w:p>
    <w:p>
      <w:pPr>
        <w:spacing w:after="0" w:line="101" w:lineRule="exact"/>
        <w:rPr>
          <w:sz w:val="20"/>
          <w:szCs w:val="20"/>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Company-matched retirement savings through tax-advantaged 401(k) plans;</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stock purchase program;</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tax-advantaged 529 educational savings program;</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Company-matched donor advised fund to support philanthropic efforts of employees;</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vacation, sick time and company observed holidays;</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for employees to bond with a new child;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5" w:name="page16"/>
    <w:bookmarkEnd w:id="15"/>
    <w:p>
      <w:pPr>
        <w:ind w:left="940" w:hanging="302"/>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for volunteer efforts;</w:t>
      </w:r>
    </w:p>
    <w:p>
      <w:pPr>
        <w:spacing w:after="0" w:line="148" w:lineRule="exact"/>
        <w:rPr>
          <w:rFonts w:ascii="Times New Roman" w:cs="Times New Roman" w:eastAsia="Times New Roman" w:hAnsi="Times New Roman"/>
          <w:sz w:val="18"/>
          <w:szCs w:val="18"/>
          <w:color w:val="auto"/>
        </w:rPr>
      </w:pPr>
    </w:p>
    <w:p>
      <w:pPr>
        <w:ind w:left="960" w:right="40" w:hanging="322"/>
        <w:spacing w:after="0" w:line="26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benefits, including medical, dental and vision insurance; basic life and long-term disability insurance; and critical illness coverage and supplemental accident insurance;</w:t>
      </w:r>
    </w:p>
    <w:p>
      <w:pPr>
        <w:spacing w:after="0" w:line="89"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dependent care flexible spending accounts;</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employee referral bonus awards;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legal, family or personal assistance through the employee assistance program.</w:t>
      </w:r>
    </w:p>
    <w:p>
      <w:pPr>
        <w:spacing w:after="0" w:line="134" w:lineRule="exact"/>
        <w:rPr>
          <w:sz w:val="20"/>
          <w:szCs w:val="20"/>
          <w:color w:val="auto"/>
        </w:rPr>
      </w:pPr>
    </w:p>
    <w:p>
      <w:pPr>
        <w:ind w:right="120" w:firstLine="43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Employee Training and Professional Development: </w:t>
      </w:r>
      <w:r>
        <w:rPr>
          <w:rFonts w:ascii="Times New Roman" w:cs="Times New Roman" w:eastAsia="Times New Roman" w:hAnsi="Times New Roman"/>
          <w:sz w:val="18"/>
          <w:szCs w:val="18"/>
          <w:color w:val="auto"/>
        </w:rPr>
        <w:t>The Company values the professional development of its employees and seeks to foster their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growth by providing training and education at all levels. In addition to training programs geared towards specific job functions, the Company offers training related to company policies, skill development, privacy and cybersecurity. In alignment with its commitment to invest in talent development, in 2024, the Company launched a performance management platform that supports objective and key result tracking, performance reviews, 1-on-1 meetings between employees and managers, and peer-to-peer recognition.</w:t>
      </w:r>
    </w:p>
    <w:p>
      <w:pPr>
        <w:spacing w:after="0" w:line="116" w:lineRule="exact"/>
        <w:rPr>
          <w:sz w:val="20"/>
          <w:szCs w:val="20"/>
          <w:color w:val="auto"/>
        </w:rPr>
      </w:pPr>
    </w:p>
    <w:p>
      <w:pPr>
        <w:ind w:right="60" w:firstLine="43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Workforce: </w:t>
      </w:r>
      <w:r>
        <w:rPr>
          <w:rFonts w:ascii="Times New Roman" w:cs="Times New Roman" w:eastAsia="Times New Roman" w:hAnsi="Times New Roman"/>
          <w:sz w:val="18"/>
          <w:szCs w:val="18"/>
          <w:color w:val="auto"/>
        </w:rPr>
        <w:t>The Company recognizes the value in strengthening its workforce with diverse thought, ideas and people and maintains employment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comply with federal, state and local labor laws. As an equal opportunity employer, it is committed to recognition and inclusion and rewards its employees based on merit and their contributions in accordance with the principles and requirements of the Equal Employment Opportunities Commission and the principles and requirements of the ADA. The Company’s policies set forth its commitment to provide equal employment opportunity and to recruit, hire and promote at all levels without regard to race, national origin, religion, age, color, sex, sexual orientation, gender identity, disability, protected veteran status or any other characteristic protected by local, state or federal laws. As of December 31, 2024, approximately 58% of the Company’s employees identified as female. Of the total employee population, approximately 30% identified as belonging to an underrepresented group.</w:t>
      </w:r>
    </w:p>
    <w:p>
      <w:pPr>
        <w:spacing w:after="0" w:line="123" w:lineRule="exact"/>
        <w:rPr>
          <w:sz w:val="20"/>
          <w:szCs w:val="20"/>
          <w:color w:val="auto"/>
        </w:rPr>
      </w:pPr>
    </w:p>
    <w:p>
      <w:pPr>
        <w:ind w:right="20" w:firstLine="43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The Company is also committed to ensuring that the operations at all its Centers and corporate offices are conducted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that safeguards the health and safety of employees, tenants, contractors, customers and members of the public who are either present at, or affected by, its operations. The Company has implemented operational protocols at each of its Centers and its offices that are designed to ensure the safety of its employees, tenants, service providers and shoppers.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51" w:lineRule="exact"/>
        <w:rPr>
          <w:sz w:val="20"/>
          <w:szCs w:val="20"/>
          <w:color w:val="auto"/>
        </w:rPr>
      </w:pPr>
    </w:p>
    <w:p>
      <w:pPr>
        <w:ind w:right="240" w:firstLine="435"/>
        <w:spacing w:after="0" w:line="303" w:lineRule="auto"/>
        <w:rPr>
          <w:sz w:val="20"/>
          <w:szCs w:val="20"/>
          <w:color w:val="auto"/>
        </w:rPr>
      </w:pPr>
      <w:r>
        <w:rPr>
          <w:rFonts w:ascii="Times New Roman" w:cs="Times New Roman" w:eastAsia="Times New Roman" w:hAnsi="Times New Roman"/>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38"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 xml:space="preserve">A recognized leader in sustainability, the Company has achieved the #1 GRESB ranking in the North American Retail Sector for ten consecutive years. A copy of the Company's Corporate Responsibility Report can be obtained from the Company's website at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under "Investors—Corporate Responsibility". Copies of the Company's sustainability policies are also available on the Company's website at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under "Investors— Corporate Governance". Information provided on the Company's website is not incorporated by reference into this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Website Disclosure; Corporate Governance Documents</w:t>
      </w:r>
    </w:p>
    <w:p>
      <w:pPr>
        <w:spacing w:after="0" w:line="149" w:lineRule="exact"/>
        <w:rPr>
          <w:sz w:val="20"/>
          <w:szCs w:val="20"/>
          <w:color w:val="auto"/>
        </w:rPr>
      </w:pPr>
    </w:p>
    <w:p>
      <w:pPr>
        <w:ind w:right="120" w:firstLine="435"/>
        <w:spacing w:after="0" w:line="251" w:lineRule="auto"/>
        <w:rPr>
          <w:sz w:val="20"/>
          <w:szCs w:val="20"/>
          <w:color w:val="auto"/>
        </w:rPr>
      </w:pPr>
      <w:r>
        <w:rPr>
          <w:rFonts w:ascii="Times New Roman" w:cs="Times New Roman" w:eastAsia="Times New Roman" w:hAnsi="Times New Roman"/>
          <w:sz w:val="18"/>
          <w:szCs w:val="18"/>
          <w:color w:val="auto"/>
        </w:rPr>
        <w:t xml:space="preserve">The Company's corporate website address is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 Information provided on the Company's website is not incorporated by reference into this Form 10-K. The following documents relating to Corporate Governance are available on the Company's website at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under "Investors—Corporate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6" w:name="page17"/>
    <w:bookmarkEnd w:id="16"/>
    <w:p>
      <w:pPr>
        <w:ind w:left="1280"/>
        <w:spacing w:after="0"/>
        <w:rPr>
          <w:sz w:val="20"/>
          <w:szCs w:val="20"/>
          <w:color w:val="auto"/>
        </w:rPr>
      </w:pPr>
      <w:r>
        <w:rPr>
          <w:rFonts w:ascii="Times New Roman" w:cs="Times New Roman" w:eastAsia="Times New Roman" w:hAnsi="Times New Roman"/>
          <w:sz w:val="18"/>
          <w:szCs w:val="18"/>
          <w:color w:val="auto"/>
        </w:rPr>
        <w:t>Guidelines on Corporate Governance</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Code of Business Conduct and Ethics</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Code of Ethics for CEO and Senior Financial Officers</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Audit Committee Charter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Compensation Committee Charter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Executive Committee Charter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Nominating and Corporate Governance Committee Charter</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also request copies of any of these documents by writing to:</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Attention: Corporate Secretary</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The Macerich Company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401 Wilshire Blvd., Suite 700</w:t>
      </w:r>
    </w:p>
    <w:p>
      <w:pPr>
        <w:ind w:left="1280"/>
        <w:spacing w:after="0"/>
        <w:rPr>
          <w:sz w:val="20"/>
          <w:szCs w:val="20"/>
          <w:color w:val="auto"/>
        </w:rPr>
      </w:pPr>
      <w:r>
        <w:rPr>
          <w:rFonts w:ascii="Times New Roman" w:cs="Times New Roman" w:eastAsia="Times New Roman" w:hAnsi="Times New Roman"/>
          <w:sz w:val="16"/>
          <w:szCs w:val="16"/>
          <w:color w:val="auto"/>
        </w:rPr>
        <w:t>Santa Monica, CA 90401</w:t>
      </w:r>
    </w:p>
    <w:p>
      <w:pPr>
        <w:spacing w:after="0" w:line="1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22" w:lineRule="exact"/>
        <w:rPr>
          <w:sz w:val="20"/>
          <w:szCs w:val="20"/>
          <w:color w:val="auto"/>
        </w:rPr>
      </w:pPr>
    </w:p>
    <w:p>
      <w:pPr>
        <w:ind w:firstLine="632"/>
        <w:spacing w:after="0" w:line="236"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These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in “Important Factors Related To Forward-Looking Statements.” For purposes of this “Risk Factors” section, Centers wholly owned by us are referred to as “Wholly Owned Centers” and Centers that are partly but not wholly owned by us are referred to as “Joint Venture Centers.”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PROPERTIES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invest primarily in shopping centers, which are subject to a number of significant risks that are beyond our control</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60" w:firstLine="632"/>
        <w:spacing w:after="0" w:line="256" w:lineRule="auto"/>
        <w:rPr>
          <w:sz w:val="20"/>
          <w:szCs w:val="20"/>
          <w:color w:val="auto"/>
        </w:rPr>
      </w:pPr>
      <w:r>
        <w:rPr>
          <w:rFonts w:ascii="Times New Roman" w:cs="Times New Roman" w:eastAsia="Times New Roman" w:hAnsi="Times New Roman"/>
          <w:sz w:val="18"/>
          <w:szCs w:val="18"/>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may decrease the income generated by the Centers, including:</w:t>
      </w:r>
    </w:p>
    <w:p>
      <w:pPr>
        <w:spacing w:after="0" w:line="102" w:lineRule="exact"/>
        <w:rPr>
          <w:sz w:val="20"/>
          <w:szCs w:val="20"/>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national economic climate, including the impact of geopolitical tensions and military conflict;</w:t>
      </w:r>
    </w:p>
    <w:p>
      <w:pPr>
        <w:spacing w:after="0" w:line="148" w:lineRule="exact"/>
        <w:rPr>
          <w:rFonts w:ascii="Times New Roman" w:cs="Times New Roman" w:eastAsia="Times New Roman" w:hAnsi="Times New Roman"/>
          <w:sz w:val="18"/>
          <w:szCs w:val="18"/>
          <w:color w:val="auto"/>
        </w:rPr>
      </w:pPr>
    </w:p>
    <w:p>
      <w:pPr>
        <w:ind w:left="960" w:right="100" w:hanging="322"/>
        <w:spacing w:after="0" w:line="332" w:lineRule="auto"/>
        <w:tabs>
          <w:tab w:leader="none" w:pos="95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regional and local economy (which may be negatively impacted by rising unemployment, declining real estate values, increased foreclosures, higher taxes, tariffs, plant closings, industry slowdowns, union activity, adverse weather conditions, natural disasters and other factors);</w:t>
      </w:r>
    </w:p>
    <w:p>
      <w:pPr>
        <w:spacing w:after="0" w:line="57" w:lineRule="exact"/>
        <w:rPr>
          <w:rFonts w:ascii="Times New Roman" w:cs="Times New Roman" w:eastAsia="Times New Roman" w:hAnsi="Times New Roman"/>
          <w:sz w:val="16"/>
          <w:szCs w:val="16"/>
          <w:color w:val="auto"/>
        </w:rPr>
      </w:pPr>
    </w:p>
    <w:p>
      <w:pPr>
        <w:ind w:left="960" w:right="60" w:hanging="322"/>
        <w:spacing w:after="0" w:line="26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89" w:lineRule="exact"/>
        <w:rPr>
          <w:rFonts w:ascii="Times New Roman" w:cs="Times New Roman" w:eastAsia="Times New Roman" w:hAnsi="Times New Roman"/>
          <w:sz w:val="18"/>
          <w:szCs w:val="18"/>
          <w:color w:val="auto"/>
        </w:rPr>
      </w:pPr>
    </w:p>
    <w:p>
      <w:pPr>
        <w:ind w:left="960" w:right="180" w:hanging="322"/>
        <w:spacing w:after="0" w:line="332" w:lineRule="auto"/>
        <w:tabs>
          <w:tab w:leader="none" w:pos="95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behaviors, preferences or demographics, which may lead to decreased levels of consumer spending, consumer confidence, and seasonal spending (especially during the holiday season when many retailers generate a disproportionate amount of their annual sales);</w:t>
      </w:r>
    </w:p>
    <w:p>
      <w:pPr>
        <w:spacing w:after="0" w:line="57" w:lineRule="exact"/>
        <w:rPr>
          <w:rFonts w:ascii="Times New Roman" w:cs="Times New Roman" w:eastAsia="Times New Roman" w:hAnsi="Times New Roman"/>
          <w:sz w:val="16"/>
          <w:szCs w:val="16"/>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by customers of e-commerce and online store sites and the impact of internet sales on the demand for retail space;</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by retailers or shoppers of the safety, convenience and attractiveness of a Center;</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violence, including terrorist activities;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maintenance, insurance and operations (including real estate taxes).</w:t>
      </w:r>
    </w:p>
    <w:p>
      <w:pPr>
        <w:spacing w:after="0" w:line="136" w:lineRule="exact"/>
        <w:rPr>
          <w:sz w:val="20"/>
          <w:szCs w:val="20"/>
          <w:color w:val="auto"/>
        </w:rPr>
      </w:pPr>
    </w:p>
    <w:p>
      <w:pPr>
        <w:ind w:right="20" w:firstLine="632"/>
        <w:spacing w:after="0" w:line="239" w:lineRule="auto"/>
        <w:rPr>
          <w:sz w:val="20"/>
          <w:szCs w:val="20"/>
          <w:color w:val="auto"/>
        </w:rPr>
      </w:pPr>
      <w:r>
        <w:rPr>
          <w:rFonts w:ascii="Times New Roman" w:cs="Times New Roman" w:eastAsia="Times New Roman" w:hAnsi="Times New Roman"/>
          <w:sz w:val="18"/>
          <w:szCs w:val="18"/>
          <w:color w:val="auto"/>
        </w:rPr>
        <w:t>Income from shopping center properties and shopping center values are also affected by applicable laws and regulations, including tax, environmental, safety and zoning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Centers are geographically concentrated and, as a result, are sensitive to local economic and real estate conditions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0" w:firstLine="632"/>
        <w:spacing w:after="0" w:line="269" w:lineRule="auto"/>
        <w:rPr>
          <w:sz w:val="20"/>
          <w:szCs w:val="20"/>
          <w:color w:val="auto"/>
        </w:rPr>
      </w:pPr>
      <w:r>
        <w:rPr>
          <w:rFonts w:ascii="Times New Roman" w:cs="Times New Roman" w:eastAsia="Times New Roman" w:hAnsi="Times New Roman"/>
          <w:sz w:val="18"/>
          <w:szCs w:val="18"/>
          <w:color w:val="auto"/>
        </w:rPr>
        <w:t>A significant percentage of our Centers are located in California, New York and Arizona. To the extent that weak economic or real estate conditions or other factors affect California, New York or Arizona or any region in which we have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high concentration of properties more severely than other areas of the country, our financial performance could be negatively impacted.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a competitive business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50" w:lineRule="auto"/>
        <w:rPr>
          <w:sz w:val="20"/>
          <w:szCs w:val="20"/>
          <w:color w:val="auto"/>
        </w:rPr>
      </w:pPr>
      <w:r>
        <w:rPr>
          <w:rFonts w:ascii="Times New Roman" w:cs="Times New Roman" w:eastAsia="Times New Roman" w:hAnsi="Times New Roman"/>
          <w:sz w:val="18"/>
          <w:szCs w:val="18"/>
          <w:color w:val="auto"/>
        </w:rPr>
        <w:t>Our properties compete with other owners, developers and managers of malls, shopping centers and other retail-oriented real estate, including other publicly traded mall companies and large private mall companies, for the acquisition of properties and in attracting tenants or Anchors to occupy space. Competition for property acquisitions may result in increased purchase prices and may adversely affect our ability to make suitable property acquisitions on favorable terms or at all. The existence of competing shopping centers could have a material adverse impact on our ability to lease space and on the rental rates that can be achieved.</w:t>
      </w:r>
    </w:p>
    <w:p>
      <w:pPr>
        <w:spacing w:after="0" w:line="108" w:lineRule="exact"/>
        <w:rPr>
          <w:sz w:val="20"/>
          <w:szCs w:val="20"/>
          <w:color w:val="auto"/>
        </w:rPr>
      </w:pPr>
    </w:p>
    <w:p>
      <w:pPr>
        <w:ind w:right="80" w:firstLine="632"/>
        <w:spacing w:after="0" w:line="249" w:lineRule="auto"/>
        <w:rPr>
          <w:sz w:val="20"/>
          <w:szCs w:val="20"/>
          <w:color w:val="auto"/>
        </w:rPr>
      </w:pPr>
      <w:r>
        <w:rPr>
          <w:rFonts w:ascii="Times New Roman" w:cs="Times New Roman" w:eastAsia="Times New Roman" w:hAnsi="Times New Roman"/>
          <w:sz w:val="18"/>
          <w:szCs w:val="18"/>
          <w:color w:val="auto"/>
        </w:rPr>
        <w:t>There is also increasing competition for tenants and shoppers from other retail formats and technologies, such as lifestyle centers, power centers, outlet centers and online retail shopping that could adversely affect our revenues. The increased popularity of digital and mobile technologies has accelerated the transition of a percentage of market share from shopping at physical stores to web-based shopping. If we are unsuccessful in adapting our business to evolving consumer purchasing habits it may have a material adverse impact on our financial condition and results of operations. Further, the increase in online retail shopping has resulted in, and will continue to result in, the closure of underperforming stores by retailers, which, if sustained, could impact our occupancy levels and the rates that tenants are willing to pay to lease our space.</w:t>
      </w:r>
    </w:p>
    <w:p>
      <w:pPr>
        <w:spacing w:after="0" w:line="10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lease vacant space or re-let space as leases expire on favorable terms or at all, or to the appropriate mix of tenants for the Centers, which could adversely affect our financial condition and results of operations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right="20" w:firstLine="632"/>
        <w:spacing w:after="0" w:line="250" w:lineRule="auto"/>
        <w:rPr>
          <w:sz w:val="20"/>
          <w:szCs w:val="20"/>
          <w:color w:val="auto"/>
        </w:rPr>
      </w:pPr>
      <w:r>
        <w:rPr>
          <w:rFonts w:ascii="Times New Roman" w:cs="Times New Roman" w:eastAsia="Times New Roman" w:hAnsi="Times New Roman"/>
          <w:sz w:val="18"/>
          <w:szCs w:val="18"/>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are expiring, our financial condition and results of operations could be adversely affected.</w:t>
      </w:r>
    </w:p>
    <w:p>
      <w:pPr>
        <w:spacing w:after="0" w:line="108" w:lineRule="exact"/>
        <w:rPr>
          <w:sz w:val="20"/>
          <w:szCs w:val="20"/>
          <w:color w:val="auto"/>
        </w:rPr>
      </w:pPr>
    </w:p>
    <w:p>
      <w:pPr>
        <w:ind w:right="600" w:firstLine="632"/>
        <w:spacing w:after="0" w:line="256" w:lineRule="auto"/>
        <w:rPr>
          <w:sz w:val="20"/>
          <w:szCs w:val="20"/>
          <w:color w:val="auto"/>
        </w:rPr>
      </w:pPr>
      <w:r>
        <w:rPr>
          <w:rFonts w:ascii="Times New Roman" w:cs="Times New Roman" w:eastAsia="Times New Roman" w:hAnsi="Times New Roman"/>
          <w:sz w:val="18"/>
          <w:szCs w:val="18"/>
          <w:color w:val="auto"/>
        </w:rPr>
        <w:t>Additionally, if we fail to identify and secure the right blend of tenants at our retail and mixed-use properties, including our properties under development or redevelopment, our Centers may not appeal to the communities they are intended to serve, which could reduce customer traffic and the operations of our tenants and adversely affect our financial condition and results of operations.</w:t>
      </w:r>
    </w:p>
    <w:p>
      <w:pPr>
        <w:spacing w:after="0" w:line="9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Anchors or other significant tenants experience a downturn in their business, close or sell stores or declare bankruptcy, our financial condition and results of operations could be adversely affected</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40" w:firstLine="632"/>
        <w:spacing w:after="0" w:line="246" w:lineRule="auto"/>
        <w:rPr>
          <w:sz w:val="20"/>
          <w:szCs w:val="20"/>
          <w:color w:val="auto"/>
        </w:rPr>
      </w:pPr>
      <w:r>
        <w:rPr>
          <w:rFonts w:ascii="Times New Roman" w:cs="Times New Roman" w:eastAsia="Times New Roman" w:hAnsi="Times New Roman"/>
          <w:sz w:val="18"/>
          <w:szCs w:val="18"/>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including as a result of the general conditions caused by economic uncertainty in the U.S., a number of companies in the retail industry, including some of our tenants, have declared bankruptcy, have gone out of business, have significantly reduced their brick-and-mortar presence or have failed to comply with their contractual obligations to us and others. If one of our tenants files for bankruptcy, we may not be able to collect amounts owed by that party prior to filing for bankruptcy. We may make lease modifications either pre- or post-bankruptcy for certain tenants undergoing significant financial distress in order for them to continue as a going concern. In addition, after filing for bankruptcy, a tenant may terminate any or all of its leases with us, in which event we would have a general unsecured claim against such tenant that would likely be worth less than the full amount owed to us for the remainder of the lease term. Furthermore, we may be required to incur significant expense in re-letting the space vacated by a bankrupt tenant and may not be able to release the space on similar terms or at all. The bankruptcy of a tenant, particularly an Anchor, may require a substantial redevelopment of their space, the success of which cannot be assured, and may make the re-letting of their space difficult and costly, and it may also be difficult to lease the remainder of the space at the affected property.</w:t>
      </w:r>
    </w:p>
    <w:p>
      <w:pPr>
        <w:spacing w:after="0" w:line="128"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in-store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108" w:lineRule="exact"/>
        <w:rPr>
          <w:sz w:val="20"/>
          <w:szCs w:val="20"/>
          <w:color w:val="auto"/>
        </w:rPr>
      </w:pPr>
    </w:p>
    <w:p>
      <w:pPr>
        <w:ind w:right="160" w:firstLine="632"/>
        <w:spacing w:after="0" w:line="269" w:lineRule="auto"/>
        <w:rPr>
          <w:sz w:val="20"/>
          <w:szCs w:val="20"/>
          <w:color w:val="auto"/>
        </w:rPr>
      </w:pPr>
      <w:r>
        <w:rPr>
          <w:rFonts w:ascii="Times New Roman" w:cs="Times New Roman" w:eastAsia="Times New Roman" w:hAnsi="Times New Roman"/>
          <w:sz w:val="18"/>
          <w:szCs w:val="18"/>
          <w:color w:val="auto"/>
        </w:rPr>
        <w:t>Anchors and/or tenants at one or more Centers might also terminate their leases as a result of mergers, acquisitions, consolidations or dispositions in the retail industry. The sale of an Anchor or store to a less desirable retailer may reduce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18" w:name="page19"/>
    <w:bookmarkEnd w:id="18"/>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102"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real estate acquisition, development and redevelopment strategies, including those implemented as part of the Path Forward Plan, may not be successful</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20" w:firstLine="632"/>
        <w:spacing w:after="0" w:line="247" w:lineRule="auto"/>
        <w:rPr>
          <w:sz w:val="20"/>
          <w:szCs w:val="20"/>
          <w:color w:val="auto"/>
        </w:rPr>
      </w:pPr>
      <w:r>
        <w:rPr>
          <w:rFonts w:ascii="Times New Roman" w:cs="Times New Roman" w:eastAsia="Times New Roman" w:hAnsi="Times New Roman"/>
          <w:sz w:val="18"/>
          <w:szCs w:val="18"/>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including any acquisition, development and redevelopment projects pursued in connection with the Path Forward Plan.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 increased purchase prices and may adversely impact our ability to acquire additional properties on favorable terms, or at all. We cannot guarantee that we will be able to implement our growth strategy successfully or manage our expanded operations effectively and profitably.</w:t>
      </w:r>
    </w:p>
    <w:p>
      <w:pPr>
        <w:spacing w:after="0" w:line="109" w:lineRule="exact"/>
        <w:rPr>
          <w:sz w:val="20"/>
          <w:szCs w:val="20"/>
          <w:color w:val="auto"/>
        </w:rPr>
      </w:pPr>
    </w:p>
    <w:p>
      <w:pPr>
        <w:ind w:right="560" w:firstLine="632"/>
        <w:spacing w:after="0" w:line="269" w:lineRule="auto"/>
        <w:rPr>
          <w:sz w:val="20"/>
          <w:szCs w:val="20"/>
          <w:color w:val="auto"/>
        </w:rPr>
      </w:pPr>
      <w:r>
        <w:rPr>
          <w:rFonts w:ascii="Times New Roman" w:cs="Times New Roman" w:eastAsia="Times New Roman" w:hAnsi="Times New Roman"/>
          <w:sz w:val="18"/>
          <w:szCs w:val="18"/>
          <w:color w:val="auto"/>
        </w:rPr>
        <w:t>We may not be able to achieve the anticipated financial and operating results from newly acquired assets. Some of the factors that could affect anticipated results are:</w:t>
      </w:r>
    </w:p>
    <w:p>
      <w:pPr>
        <w:spacing w:after="0" w:line="102" w:lineRule="exact"/>
        <w:rPr>
          <w:sz w:val="20"/>
          <w:szCs w:val="20"/>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manage new properties, including increasing occupancy rates and rents at such properties;</w:t>
      </w:r>
    </w:p>
    <w:p>
      <w:pPr>
        <w:spacing w:after="0" w:line="135" w:lineRule="exact"/>
        <w:rPr>
          <w:rFonts w:ascii="Times New Roman" w:cs="Times New Roman" w:eastAsia="Times New Roman" w:hAnsi="Times New Roman"/>
          <w:sz w:val="18"/>
          <w:szCs w:val="18"/>
          <w:color w:val="auto"/>
        </w:rPr>
      </w:pPr>
    </w:p>
    <w:p>
      <w:pPr>
        <w:ind w:left="960" w:right="500" w:hanging="322"/>
        <w:spacing w:after="0" w:line="26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non-core assets within an expected time frame, including the potential disposition of properties in connection with our Path Forward Plan; and</w:t>
      </w:r>
    </w:p>
    <w:p>
      <w:pPr>
        <w:spacing w:after="0" w:line="102"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long-term financing to implement a capital structure at a cost of capital consistent with our business strategy.</w:t>
      </w:r>
    </w:p>
    <w:p>
      <w:pPr>
        <w:spacing w:after="0" w:line="149" w:lineRule="exact"/>
        <w:rPr>
          <w:sz w:val="20"/>
          <w:szCs w:val="20"/>
          <w:color w:val="auto"/>
        </w:rPr>
      </w:pPr>
    </w:p>
    <w:p>
      <w:pPr>
        <w:ind w:right="20" w:firstLine="632"/>
        <w:spacing w:after="0" w:line="247" w:lineRule="auto"/>
        <w:rPr>
          <w:sz w:val="20"/>
          <w:szCs w:val="20"/>
          <w:color w:val="auto"/>
        </w:rPr>
      </w:pPr>
      <w:r>
        <w:rPr>
          <w:rFonts w:ascii="Times New Roman" w:cs="Times New Roman" w:eastAsia="Times New Roman" w:hAnsi="Times New Roman"/>
          <w:sz w:val="18"/>
          <w:szCs w:val="18"/>
          <w:color w:val="auto"/>
        </w:rPr>
        <w:t>Our business strategy also includes the selective development and construction of retail properties. On a selective basis, our business strategy may include mixed-use densification to maximize space at our Regional Retail Centers, including by developing available land at our Regional Retail Centers or by demolishing underperforming department store boxes and redeveloping the land. Any development, redevelopment and construction activities that we may undertake will be subject to the risks of real estate development, including lack of financing, construction delays, environmental requirements, rising construction costs, budget overruns, sunk costs and lease-up. Furthermore, occupancy rates and rents at a newly completed 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If any of the above events occur, our ability to pay dividends to our stockholders and service our indebtedness could be adversely affected.</w:t>
      </w:r>
    </w:p>
    <w:p>
      <w:pPr>
        <w:spacing w:after="0" w:line="114" w:lineRule="exact"/>
        <w:rPr>
          <w:sz w:val="20"/>
          <w:szCs w:val="20"/>
          <w:color w:val="auto"/>
        </w:rPr>
      </w:pPr>
    </w:p>
    <w:p>
      <w:pPr>
        <w:ind w:firstLine="632"/>
        <w:spacing w:after="0" w:line="246" w:lineRule="auto"/>
        <w:rPr>
          <w:sz w:val="20"/>
          <w:szCs w:val="20"/>
          <w:color w:val="auto"/>
        </w:rPr>
      </w:pPr>
      <w:r>
        <w:rPr>
          <w:rFonts w:ascii="Times New Roman" w:cs="Times New Roman" w:eastAsia="Times New Roman" w:hAnsi="Times New Roman"/>
          <w:sz w:val="18"/>
          <w:szCs w:val="18"/>
          <w:color w:val="auto"/>
        </w:rPr>
        <w:t>Additionally, if we elect to pursue a “mixed-use” redevelopment, we expose ourselves to risks associated with each non-retail use (e.g., office, residential, hotel and entertainment), and the performance of our retail tenants in such properties may be negatively impacted by delays in opening and/or the performance of such non-retail uses. We have less experience in developing and managing non-retail real estate than we do with retail real estate and, as a result, we may seek to contract with a third-party developer or third-party manager with more experience in non-retail uses. In addition to the risks typically associated with the development of commercial real estate generally, we would also be exposed to the risks associated with the ownership and management of non-retail real estate, including limited experience in managing certain types of non-retail properties and the adverse impacts of competition and trends in the non-retail industry. For example, in the case of office properties, some businesses are rapidly evolving to make employee telecommuting, flexible work schedules, open workplaces and teleconferencing increasingly common, which may enable businesses to reduce their space requirements and erode the overall demand for office space over time, which, in turn, may place downward pressure on occupancy, rental rates and property valuations, each of which could have an adverse effect on our financial position, results of operations, cash flows and ability to make expected distributions to our stockholders to the extent we own office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33"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Excess space at our properties could materially and adversely affect us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0" w:firstLine="632"/>
        <w:spacing w:after="0" w:line="248" w:lineRule="auto"/>
        <w:rPr>
          <w:sz w:val="20"/>
          <w:szCs w:val="20"/>
          <w:color w:val="auto"/>
        </w:rPr>
      </w:pPr>
      <w:r>
        <w:rPr>
          <w:rFonts w:ascii="Times New Roman" w:cs="Times New Roman" w:eastAsia="Times New Roman" w:hAnsi="Times New Roman"/>
          <w:sz w:val="18"/>
          <w:szCs w:val="18"/>
          <w:color w:val="auto"/>
        </w:rPr>
        <w:t>Certain of our properties have had or may continue to have excess space available for prospective tenants, and those properties may continue to experience, and other properties may commence experiencing, such oversupply in the future. While the pace of bankruptcies slowed in 2023 and 2022 compared to prior years, it remained steady in 2024 and we continue to experience bankruptcies of Anchors and other national and local retailers, including the bankruptcy of Express announced in April 2024, as well as store closures, among our tenants. In the past, an increase in bargaining power of creditworthy retail tenants resulted in a downward pressure on our rental rates and occupancy levels, and any increase in bargaining power in the future may also result in us having to increase our spend on tenant improvements and potentially make other lease modifications in order to attract or retain tenants, any of which, in the aggregate, could materially and adversely affect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investments are relatively illiquid and we may be unable to sell properties at the time we desire and on favorable terms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47" w:lineRule="auto"/>
        <w:rPr>
          <w:sz w:val="20"/>
          <w:szCs w:val="20"/>
          <w:color w:val="auto"/>
        </w:rPr>
      </w:pPr>
      <w:r>
        <w:rPr>
          <w:rFonts w:ascii="Times New Roman" w:cs="Times New Roman" w:eastAsia="Times New Roman" w:hAnsi="Times New Roman"/>
          <w:sz w:val="18"/>
          <w:szCs w:val="18"/>
          <w:color w:val="auto"/>
        </w:rPr>
        <w:t>As part of the Path Forward Plan, we sold certain properties in 2024 and we may continue to pursue dispositions of our properties, including non-core assets, in the future. Investments in real estate are relatively illiquid, which limits our ability to adjust our portfolio in response to changes in economic, market or other conditions or realize our objectives through dispositions.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assets may be subject to impairment charges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47" w:lineRule="auto"/>
        <w:rPr>
          <w:sz w:val="20"/>
          <w:szCs w:val="20"/>
          <w:color w:val="auto"/>
        </w:rPr>
      </w:pPr>
      <w:r>
        <w:rPr>
          <w:rFonts w:ascii="Times New Roman" w:cs="Times New Roman" w:eastAsia="Times New Roman" w:hAnsi="Times New Roman"/>
          <w:sz w:val="18"/>
          <w:szCs w:val="18"/>
          <w:color w:val="auto"/>
        </w:rPr>
        <w:t>We periodically assess whether there are any indicators, including property operating performance, changes in anticipated holding period and general market conditions, that the value of our real estate assets and other investments may be impaired. A property’s value is considered to be impaired only if the estimated aggregate future undiscounted and unleveraged property cash flows, taking into account the anticipated probability weighted average holding period, are less than the carrying value of the property. In our estimate of cash flows, we consider trends and prospects for a property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We have taken impairment charges on certain of our assets in the past and there can be no assurance that we will not take additional charges in the future. Any future impairment could have a material adverse effect on our operating results in the period in which the charge is recognized.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environmental liabilities could adversely affect us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47" w:lineRule="auto"/>
        <w:rPr>
          <w:sz w:val="20"/>
          <w:szCs w:val="20"/>
          <w:color w:val="auto"/>
        </w:rPr>
      </w:pPr>
      <w:r>
        <w:rPr>
          <w:rFonts w:ascii="Times New Roman" w:cs="Times New Roman" w:eastAsia="Times New Roman" w:hAnsi="Times New Roman"/>
          <w:sz w:val="18"/>
          <w:szCs w:val="18"/>
          <w:color w:val="auto"/>
        </w:rPr>
        <w:t>Each of the Centers has undergone Environmental Site Assessment-Phase I studies conducted by an environmental consultant. As a result of these assessments and other information, we are aware of certain environmental issues present at certain Centers or at properties neighboring certain Centers, such as asbestos containing materials (“ACMs”) (some of which may ultimately require removal under certain conditions, though the company has developed an operations and maintenance plan to manage ACMs), underground storage tanks (which are often present at or near Centers in connection with gasoline stations or automotive tire, battery and accessory services centers, and some of which may have leaked or are suspected to have leaked) and chlorinated hydrocarbons (such as perchloroethylene and its degradation byproducts, which have been detected at certain Centers and are often present in connection with tenant dry cleaning operations). These issues may result in potential environmental liability and cause us to incur costs in responding to these liabilities or in other costs associated with future investigation or remediation.</w:t>
      </w:r>
    </w:p>
    <w:p>
      <w:pPr>
        <w:spacing w:after="0" w:line="114" w:lineRule="exact"/>
        <w:rPr>
          <w:sz w:val="20"/>
          <w:szCs w:val="20"/>
          <w:color w:val="auto"/>
        </w:rPr>
      </w:pPr>
    </w:p>
    <w:p>
      <w:pPr>
        <w:ind w:right="40" w:firstLine="632"/>
        <w:spacing w:after="0" w:line="249" w:lineRule="auto"/>
        <w:rPr>
          <w:sz w:val="20"/>
          <w:szCs w:val="20"/>
          <w:color w:val="auto"/>
        </w:rPr>
      </w:pPr>
      <w:r>
        <w:rPr>
          <w:rFonts w:ascii="Times New Roman" w:cs="Times New Roman" w:eastAsia="Times New Roman" w:hAnsi="Times New Roman"/>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0" w:name="page21"/>
    <w:bookmarkEnd w:id="20"/>
    <w:p>
      <w:pPr>
        <w:ind w:right="20" w:firstLine="632"/>
        <w:spacing w:after="0" w:line="249" w:lineRule="auto"/>
        <w:rPr>
          <w:sz w:val="20"/>
          <w:szCs w:val="20"/>
          <w:color w:val="auto"/>
        </w:rPr>
      </w:pPr>
      <w:r>
        <w:rPr>
          <w:rFonts w:ascii="Times New Roman" w:cs="Times New Roman" w:eastAsia="Times New Roman" w:hAnsi="Times New Roman"/>
          <w:sz w:val="18"/>
          <w:szCs w:val="18"/>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For example, laws exist that impose liability for release of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climate change</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80" w:lineRule="auto"/>
        <w:rPr>
          <w:sz w:val="20"/>
          <w:szCs w:val="20"/>
          <w:color w:val="auto"/>
        </w:rPr>
      </w:pPr>
      <w:r>
        <w:rPr>
          <w:rFonts w:ascii="Times New Roman" w:cs="Times New Roman" w:eastAsia="Times New Roman" w:hAnsi="Times New Roman"/>
          <w:sz w:val="16"/>
          <w:szCs w:val="16"/>
          <w:color w:val="auto"/>
        </w:rPr>
        <w:t>Due to changes in weather patterns caused by climate change, our properties in certain markets could experience increases in storm intensity and other weather related events and rising sea levels. Over time, climate change could result in volatile or decreased demand for retail space at some of our Centers or, in extreme cases, our inability to operate the properties at all. Climate change may also have indirect effects on our business by increasing the cost of (or making unavailable) insurance on favorable terms, or at all, increasing the cost of energy at our properties or requiring us to spend funds to repair and protect our properties against such risks. Additionally, we seek to promote energy efficiency and other sustainability strategies at our properties. Implementing such strategies and compliance with new laws or regulations related to climate change, including compliance with “green” building codes, may result in significant capital expenditures to improve our existing properties or properties we may acquire. In addition, laws and regulations at the federal, state and local level aimed at increasing climate-related disclosures, including the rules proposed by the Securities and Exchange Commission and the legislation enacted in the state of California, may increase compliance and data collection costs if, and when, such laws and regulations become effective. If we are unable to comply with the laws and regulations on climate change or implement effective sustainability strategies, our reputation among our tenants and investors may be damaged and we may incur fines and/or penalties. Moreover, there can be no assurance that any of our sustainability strategies will result in reduced operating costs, higher occupancy or higher rental rates or deter our existing tenants from relocating to properties owned by our competitors.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properties are subject to potential natural or other disasters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80" w:firstLine="632"/>
        <w:spacing w:after="0" w:line="248" w:lineRule="auto"/>
        <w:rPr>
          <w:sz w:val="20"/>
          <w:szCs w:val="20"/>
          <w:color w:val="auto"/>
        </w:rPr>
      </w:pPr>
      <w:r>
        <w:rPr>
          <w:rFonts w:ascii="Times New Roman" w:cs="Times New Roman" w:eastAsia="Times New Roman" w:hAnsi="Times New Roman"/>
          <w:sz w:val="18"/>
          <w:szCs w:val="18"/>
          <w:color w:val="auto"/>
        </w:rPr>
        <w:t>Some of our Centers are located in areas that are subject to natural disasters, including our Centers in California or in other areas with higher risk of earthquakes, wildfires or other catastrophic weather events, our Centers in flood plains or in areas that may be adversely affected by tornadoes, 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Uninsured or underinsured losses could adversely affect our financial condition</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0" w:firstLine="632"/>
        <w:spacing w:after="0" w:line="246" w:lineRule="auto"/>
        <w:rPr>
          <w:sz w:val="20"/>
          <w:szCs w:val="20"/>
          <w:color w:val="auto"/>
        </w:rPr>
      </w:pPr>
      <w:r>
        <w:rPr>
          <w:rFonts w:ascii="Times New Roman" w:cs="Times New Roman" w:eastAsia="Times New Roman" w:hAnsi="Times New Roman"/>
          <w:sz w:val="18"/>
          <w:szCs w:val="18"/>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and our insurance coverage may have certain exclusions (such as pandemics) that prevent us from collecting on certain claims under our policies. In addition, while we or the relevant joint venture, as applicable, carry specific earthquake insurance on the Centers located in California, the policies are subject to a deductible equal to 5% of the total insured value of each Center, a $150,000 per occurrence minimum and a combined annual aggregate loss limit of $100 million on these Centers. We or the relevant joint venture, as applicable, carry specific earthquake insurance on the Centers located in the Pacific Northwest and in the New Madrid Seismic Zone. However, the policies are subject to a deductible equal to 2% of the total insured value of each Center, a $150,000 per occurrence minimum and a combined annual aggregate loss limit of $100 million on these Centers. While we or the relevant joint venture also carry standalone terrorism insurance on the Centers, the policies are subject to a $25,000 deductible and a combined annual aggregate loss limit of $1.325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Some environmental losses are not covered by this insurance because they are uninsurable or not economically insurable. Furthermore, we carry title insurance on substantially all of the Centers for generally less than their full value.</w:t>
      </w:r>
    </w:p>
    <w:p>
      <w:pPr>
        <w:spacing w:after="0" w:line="114" w:lineRule="exact"/>
        <w:rPr>
          <w:sz w:val="20"/>
          <w:szCs w:val="20"/>
          <w:color w:val="auto"/>
        </w:rPr>
      </w:pPr>
    </w:p>
    <w:p>
      <w:pPr>
        <w:ind w:right="160" w:firstLine="632"/>
        <w:spacing w:after="0" w:line="332" w:lineRule="auto"/>
        <w:rPr>
          <w:sz w:val="20"/>
          <w:szCs w:val="20"/>
          <w:color w:val="auto"/>
        </w:rPr>
      </w:pPr>
      <w:r>
        <w:rPr>
          <w:rFonts w:ascii="Times New Roman" w:cs="Times New Roman" w:eastAsia="Times New Roman" w:hAnsi="Times New Roman"/>
          <w:sz w:val="16"/>
          <w:szCs w:val="16"/>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property taxes may increase without notice.</w:t>
      </w:r>
    </w:p>
    <w:p>
      <w:pPr>
        <w:spacing w:after="0" w:line="232"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The real property taxes on our properties and any other properties that we develop or acquire in the future may increase as property tax rates change and as those properties are assessed or reassessed by tax authorities. While most of our leases require the tenant to pay their pro rata share of property taxes, some or all of such property taxes may not be collectible from our tenants. An increase in our property tax rates or the assessed value of our properties could have an adverse effect on our financial position, results of operations, cash flows and ability to make expected distributions to our stockholders.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and fire, safety and other regulations may require us to make expenditures that could adversely affect our cash flows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100" w:firstLine="632"/>
        <w:spacing w:after="0" w:line="281" w:lineRule="auto"/>
        <w:rPr>
          <w:sz w:val="20"/>
          <w:szCs w:val="20"/>
          <w:color w:val="auto"/>
        </w:rPr>
      </w:pPr>
      <w:r>
        <w:rPr>
          <w:rFonts w:ascii="Times New Roman" w:cs="Times New Roman" w:eastAsia="Times New Roman" w:hAnsi="Times New Roman"/>
          <w:sz w:val="16"/>
          <w:szCs w:val="16"/>
          <w:color w:val="auto"/>
        </w:rPr>
        <w:t>All of the properties in our portfolio are required to comply with the Americans with Disabilities Act (the “ADA”). Compliance with the ADA requirements could require removal of access barriers, and non-compliance could result in the imposition of fines by the United States government, awards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the properties in our portfolio and we may not be able to pass on to our tenants any costs necessary to remediate any common area ADA issues.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and to comply with the provisions of the ADA. The resulting expenditures and restrictions could have a material adverse effect on our financial condition and operating results.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firstLine="632"/>
        <w:spacing w:after="0" w:line="247" w:lineRule="auto"/>
        <w:rPr>
          <w:sz w:val="20"/>
          <w:szCs w:val="20"/>
          <w:color w:val="auto"/>
        </w:rPr>
      </w:pPr>
      <w:r>
        <w:rPr>
          <w:rFonts w:ascii="Times New Roman" w:cs="Times New Roman" w:eastAsia="Times New Roman" w:hAnsi="Times New Roman"/>
          <w:sz w:val="18"/>
          <w:szCs w:val="18"/>
          <w:color w:val="auto"/>
        </w:rPr>
        <w:t>We face risks associated with cyber threats and have been the target of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Cyber incidents have been increasing in sophistication and frequency and can include third parties gaining access to data using stolen or inferred credentials, computer malware, viruses, spamming, phishing attacks, ransomware, and other deliberate attacks and attempts to gain unauthorized access. The techniques used to sabotage or to obtain systems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These threats, in turn, may lead to increased costs to protect our information systems, detect and respond to threats, and recover from cyber incidents. While we carry cyber liability insurance, it may not be adequate to cover all losses relating to such events.</w:t>
      </w:r>
    </w:p>
    <w:p>
      <w:pPr>
        <w:spacing w:after="0" w:line="123" w:lineRule="exact"/>
        <w:rPr>
          <w:sz w:val="20"/>
          <w:szCs w:val="20"/>
          <w:color w:val="auto"/>
        </w:rPr>
      </w:pPr>
    </w:p>
    <w:p>
      <w:pPr>
        <w:ind w:right="20" w:firstLine="632"/>
        <w:spacing w:after="0" w:line="246" w:lineRule="auto"/>
        <w:rPr>
          <w:sz w:val="20"/>
          <w:szCs w:val="20"/>
          <w:color w:val="auto"/>
        </w:rPr>
      </w:pPr>
      <w:r>
        <w:rPr>
          <w:rFonts w:ascii="Times New Roman" w:cs="Times New Roman" w:eastAsia="Times New Roman" w:hAnsi="Times New Roman"/>
          <w:sz w:val="18"/>
          <w:szCs w:val="18"/>
          <w:color w:val="auto"/>
        </w:rPr>
        <w:t>Our IT networks and related systems are essential to the operation of our business and our ability to perform day-to-day operations and, in some cases, may be critical to the operations of certain of our tenants. Although we make efforts to maintain the security and integrity of these types of IT networks and related systems, and we have implemented various measures to manage the risk of a security incident, there can be no guarantee that our security efforts and measures will be effective or that attempted cyber attacks would not be successful, disruptive, or damaging. A security incident involving our information systems could disrupt the proper functioning of our networks and systems. This could, in turn, result in misstated financial reports, violations of loan covenants and/or missed reporting deadlines, the inability to properly monitor our compliance with the rules and regulations regarding our qualification as a REIT, the unauthorized access to, and the destruction, loss, theft, misappropriation or release of proprietary, confidential, sensitive or otherwise valuable information of ours or others, which could be used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Anchors and tenants, including unauthorized access to customers’ credit card data and other confidential information, could diminish consumer confidence and consumer spending and negatively impact our business. Any breach, loss, or compromise of personal data may also subject us to civil fines and penalties, or claims for damages under relevant state and federal privacy laws in the United States. Data breaches and other data security compromises may lead to public disclosures which, in turn, may lead to widespread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2" w:name="page23"/>
    <w:bookmarkEnd w:id="22"/>
    <w:p>
      <w:pPr>
        <w:ind w:right="7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Acts of violence and vandalism, civil unrest and actual or threatened terrorist attacks could adversely affect our financial condition and results of operations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60" w:firstLine="632"/>
        <w:spacing w:after="0" w:line="247" w:lineRule="auto"/>
        <w:rPr>
          <w:sz w:val="20"/>
          <w:szCs w:val="20"/>
          <w:color w:val="auto"/>
        </w:rPr>
      </w:pPr>
      <w:r>
        <w:rPr>
          <w:rFonts w:ascii="Times New Roman" w:cs="Times New Roman" w:eastAsia="Times New Roman" w:hAnsi="Times New Roman"/>
          <w:sz w:val="18"/>
          <w:szCs w:val="18"/>
          <w:color w:val="auto"/>
        </w:rPr>
        <w:t>Because our properties are open to the public, they are exposed to risks related to acts of violence and vandalism, civil unrest, criminal activity, including organized retail crime, and actual or threatened terrorist attacks that may be beyond our control or ability to prevent. If any of these incidents were to occur, the relevant property could face material damage physically and reputationally, and the revenue generated by such property and its tenants could be negatively impacted. Consumers may also perceive a heightened threat of these risks due to increased crime in markets where the Centers are located and negative media attention. Concern around safety risk may impact the willingness of consumers, tenants and tenants’ employees to shop and/or work at our properties, which could result in decreased consumer traffic and decreased sales at our properties, or increase the need for additional expenditures on security resources. Such a resulting decrease in retail demand could adversely impact our revenue and the value of our properties, as well as make it difficult for us to renew or re-lease our properties.</w:t>
      </w:r>
    </w:p>
    <w:p>
      <w:pPr>
        <w:spacing w:after="0" w:line="127" w:lineRule="exact"/>
        <w:rPr>
          <w:sz w:val="20"/>
          <w:szCs w:val="20"/>
          <w:color w:val="auto"/>
        </w:rPr>
      </w:pPr>
    </w:p>
    <w:p>
      <w:pPr>
        <w:jc w:val="both"/>
        <w:ind w:right="280" w:firstLine="632"/>
        <w:spacing w:after="0" w:line="256" w:lineRule="auto"/>
        <w:rPr>
          <w:sz w:val="20"/>
          <w:szCs w:val="20"/>
          <w:color w:val="auto"/>
        </w:rPr>
      </w:pPr>
      <w:r>
        <w:rPr>
          <w:rFonts w:ascii="Times New Roman" w:cs="Times New Roman" w:eastAsia="Times New Roman" w:hAnsi="Times New Roman"/>
          <w:sz w:val="18"/>
          <w:szCs w:val="18"/>
          <w:color w:val="auto"/>
        </w:rPr>
        <w:t>Terrorist activities or violence and vandalism could also directly affect the value of our properties through damage, destruction or loss. Further, the availability of insurance for such acts, or of insurance generally, might be reduced or cost more, which could increase our operating expenses and adversely affect our financial condition and results of operations.</w:t>
      </w:r>
    </w:p>
    <w:p>
      <w:pPr>
        <w:spacing w:after="0" w:line="85"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epidemic or outbreak of any highly infectious disease could cause disruptions in the U.S., regional and global economies and could materially and adversely impact our business, financial condition and results of operations and the business, financial condition and results of operations of our tenants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632"/>
        <w:spacing w:after="0" w:line="247" w:lineRule="auto"/>
        <w:rPr>
          <w:sz w:val="20"/>
          <w:szCs w:val="20"/>
          <w:color w:val="auto"/>
        </w:rPr>
      </w:pPr>
      <w:r>
        <w:rPr>
          <w:rFonts w:ascii="Times New Roman" w:cs="Times New Roman" w:eastAsia="Times New Roman" w:hAnsi="Times New Roman"/>
          <w:sz w:val="18"/>
          <w:szCs w:val="18"/>
          <w:color w:val="auto"/>
        </w:rPr>
        <w:t>Any future pandemic, epidemic or outbreak of any highly infectious disease could cause widespread disruptions to the United States and global economies and could contribute to significant volatility and negative pressure in financial markets. The extent to which any future pandemic, epidemic or outbreak of any highly infectious disease impacts our operations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vaccines, and the direct and indirect economic effects of the pandemic and containment measures, among others. We previously experienced adverse impacts to our business from COVID-19 and any future pandemic, epidemic or outbreak of any highly infectious disease may adversely affect, our business, financial condition and results of operations, and it may also have the effect of heightening many of the risks described in this “Risk Factors” section, including:</w:t>
      </w:r>
    </w:p>
    <w:p>
      <w:pPr>
        <w:spacing w:after="0" w:line="127" w:lineRule="exact"/>
        <w:rPr>
          <w:sz w:val="20"/>
          <w:szCs w:val="20"/>
          <w:color w:val="auto"/>
        </w:rPr>
      </w:pPr>
    </w:p>
    <w:p>
      <w:pPr>
        <w:ind w:left="960" w:right="420" w:hanging="322"/>
        <w:spacing w:after="0" w:line="269"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or partial closure of, or other operational issues at, one or more of our Centers resulting from government or tenant action, which could adversely affect our operations and those of our tenants;</w:t>
      </w:r>
    </w:p>
    <w:p>
      <w:pPr>
        <w:spacing w:after="0" w:line="89" w:lineRule="exact"/>
        <w:rPr>
          <w:rFonts w:ascii="Times New Roman" w:cs="Times New Roman" w:eastAsia="Times New Roman" w:hAnsi="Times New Roman"/>
          <w:sz w:val="18"/>
          <w:szCs w:val="18"/>
          <w:color w:val="auto"/>
        </w:rPr>
      </w:pPr>
    </w:p>
    <w:p>
      <w:pPr>
        <w:ind w:left="960" w:right="340" w:hanging="322"/>
        <w:spacing w:after="0" w:line="256"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impacting the businesses, financial condition and liquidity of our tenants, which could cause one or more of our tenants, including one or more of our Anchors, to be unable to meet their obligations to us in full, or at all, to otherwise seek modifications of such obligations, including, deferrals or reductions of rental payments, or to declare bankruptcy;</w:t>
      </w:r>
    </w:p>
    <w:p>
      <w:pPr>
        <w:spacing w:after="0" w:line="114" w:lineRule="exact"/>
        <w:rPr>
          <w:rFonts w:ascii="Times New Roman" w:cs="Times New Roman" w:eastAsia="Times New Roman" w:hAnsi="Times New Roman"/>
          <w:sz w:val="18"/>
          <w:szCs w:val="18"/>
          <w:color w:val="auto"/>
        </w:rPr>
      </w:pPr>
    </w:p>
    <w:p>
      <w:pPr>
        <w:ind w:left="960" w:right="60" w:hanging="322"/>
        <w:spacing w:after="0" w:line="252"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levels of consumer spending and consumer confidence, as well as a decrease in traffic at our Centers, which could affect the ability of the Centers to generate sufficient revenues to meet operating and other expenses in the short-term and could also accelerate a shift to online retail shopping, which, if sustained could result in prolonged decreases in revenue at the Centers even after the immediate impact of such pandemic, epidemic or outbreak of any other highly infectious disease is resolved;</w:t>
      </w:r>
    </w:p>
    <w:p>
      <w:pPr>
        <w:spacing w:after="0" w:line="118" w:lineRule="exact"/>
        <w:rPr>
          <w:rFonts w:ascii="Times New Roman" w:cs="Times New Roman" w:eastAsia="Times New Roman" w:hAnsi="Times New Roman"/>
          <w:sz w:val="18"/>
          <w:szCs w:val="18"/>
          <w:color w:val="auto"/>
        </w:rPr>
      </w:pPr>
    </w:p>
    <w:p>
      <w:pPr>
        <w:ind w:left="960" w:right="180" w:hanging="322"/>
        <w:spacing w:after="0" w:line="256"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101" w:lineRule="exact"/>
        <w:rPr>
          <w:rFonts w:ascii="Times New Roman" w:cs="Times New Roman" w:eastAsia="Times New Roman" w:hAnsi="Times New Roman"/>
          <w:sz w:val="18"/>
          <w:szCs w:val="18"/>
          <w:color w:val="auto"/>
        </w:rPr>
      </w:pPr>
    </w:p>
    <w:p>
      <w:pPr>
        <w:ind w:left="960" w:right="320" w:hanging="322"/>
        <w:spacing w:after="0" w:line="269"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Anchors at one or more of our properties, which could trigger co-tenancy lease clauses within one or more of our leases at such properties and could potentially lead to a decline in revenue and occupancy;</w:t>
      </w:r>
    </w:p>
    <w:p>
      <w:pPr>
        <w:spacing w:after="0" w:line="102" w:lineRule="exact"/>
        <w:rPr>
          <w:rFonts w:ascii="Times New Roman" w:cs="Times New Roman" w:eastAsia="Times New Roman" w:hAnsi="Times New Roman"/>
          <w:sz w:val="18"/>
          <w:szCs w:val="18"/>
          <w:color w:val="auto"/>
        </w:rPr>
      </w:pPr>
    </w:p>
    <w:p>
      <w:pPr>
        <w:ind w:left="960" w:right="140" w:hanging="322"/>
        <w:spacing w:after="0" w:line="256"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114" w:lineRule="exact"/>
        <w:rPr>
          <w:rFonts w:ascii="Times New Roman" w:cs="Times New Roman" w:eastAsia="Times New Roman" w:hAnsi="Times New Roman"/>
          <w:sz w:val="18"/>
          <w:szCs w:val="18"/>
          <w:color w:val="auto"/>
        </w:rPr>
      </w:pPr>
    </w:p>
    <w:p>
      <w:pPr>
        <w:ind w:left="960" w:hanging="322"/>
        <w:spacing w:after="0" w:line="256"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decline in asset values at one or more of our properties encumbered by mortgage debt, which could inhibit our ability to successfully refinance one or more such properties, result in the default under the applicable mortgage debt agreement and potentially cause the acceleration of such indebtedness;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23" w:name="page24"/>
    <w:bookmarkEnd w:id="23"/>
    <w:p>
      <w:pPr>
        <w:ind w:left="960" w:hanging="322"/>
        <w:spacing w:after="0" w:line="256"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instability in the global financial markets or deteriorations in credit and financing conditions could make it difficult for us to access debt and equity capital on attractive terms, or at all, and could also impact our ability to fund business activities, repay debt on a timely basis and renew, extend or replace our credit facility prior to its maturity date at all or on terms that are favorable to us.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financial condition and results of operations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100" w:firstLine="632"/>
        <w:spacing w:after="0" w:line="256" w:lineRule="auto"/>
        <w:rPr>
          <w:sz w:val="20"/>
          <w:szCs w:val="20"/>
          <w:color w:val="auto"/>
        </w:rPr>
      </w:pPr>
      <w:r>
        <w:rPr>
          <w:rFonts w:ascii="Times New Roman" w:cs="Times New Roman" w:eastAsia="Times New Roman" w:hAnsi="Times New Roman"/>
          <w:sz w:val="18"/>
          <w:szCs w:val="18"/>
          <w:color w:val="auto"/>
        </w:rPr>
        <w:t>Inflation in the United States has increased significantly in recent years and may increase again in the future. While inflation levels began to decrease in 2024, they remain elevated relative to the years preceding 2021. As a result of these elevated inflation levels, we have experienced, and may continue to experience, some or all of the following:</w:t>
      </w:r>
    </w:p>
    <w:p>
      <w:pPr>
        <w:spacing w:after="0" w:line="102" w:lineRule="exact"/>
        <w:rPr>
          <w:sz w:val="20"/>
          <w:szCs w:val="20"/>
          <w:color w:val="auto"/>
        </w:rPr>
      </w:pPr>
    </w:p>
    <w:p>
      <w:pPr>
        <w:ind w:left="940" w:hanging="302"/>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on our outstanding floating-rate debt as well as higher interest rates on any new and refinanced fixed-rate debt;</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replacing or renewing expiring leases with new leases at higher rents; and</w:t>
      </w:r>
    </w:p>
    <w:p>
      <w:pPr>
        <w:spacing w:after="0" w:line="148" w:lineRule="exact"/>
        <w:rPr>
          <w:rFonts w:ascii="Times New Roman" w:cs="Times New Roman" w:eastAsia="Times New Roman" w:hAnsi="Times New Roman"/>
          <w:sz w:val="18"/>
          <w:szCs w:val="18"/>
          <w:color w:val="auto"/>
        </w:rPr>
      </w:pPr>
    </w:p>
    <w:p>
      <w:pPr>
        <w:ind w:left="960" w:right="480" w:hanging="322"/>
        <w:spacing w:after="0" w:line="269"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tenant sales as a result of decreased consumer spending which could adversely affect the ability of our tenants to meet their rent obligations and/or result in lower percentage rents.</w:t>
      </w:r>
    </w:p>
    <w:p>
      <w:pPr>
        <w:spacing w:after="0" w:line="89" w:lineRule="exact"/>
        <w:rPr>
          <w:sz w:val="20"/>
          <w:szCs w:val="20"/>
          <w:color w:val="auto"/>
        </w:rPr>
      </w:pPr>
    </w:p>
    <w:p>
      <w:pPr>
        <w:ind w:right="40" w:firstLine="632"/>
        <w:spacing w:after="0" w:line="252" w:lineRule="auto"/>
        <w:rPr>
          <w:sz w:val="20"/>
          <w:szCs w:val="20"/>
          <w:color w:val="auto"/>
        </w:rPr>
      </w:pPr>
      <w:r>
        <w:rPr>
          <w:rFonts w:ascii="Times New Roman" w:cs="Times New Roman" w:eastAsia="Times New Roman" w:hAnsi="Times New Roman"/>
          <w:sz w:val="18"/>
          <w:szCs w:val="18"/>
          <w:color w:val="auto"/>
        </w:rPr>
        <w:t>Additionally, even though most of our leases require tenants to pay their pro rata share of utilities and real estate taxes, as well as a stated amount for operating expenses regardless of the expenses actually incurred at any Center, substantial inflationary pressures and increased operating costs may increase our exposure to rising property expenses, which would reduce our cash flows and profits, and make it more difficult to maintain our historical cost controls at the Centers.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Elevated interest rates may adversely affect our financial condition and results of operations.</w:t>
      </w:r>
    </w:p>
    <w:p>
      <w:pPr>
        <w:spacing w:after="0" w:line="245" w:lineRule="exact"/>
        <w:rPr>
          <w:sz w:val="20"/>
          <w:szCs w:val="20"/>
          <w:color w:val="auto"/>
        </w:rPr>
      </w:pPr>
    </w:p>
    <w:p>
      <w:pPr>
        <w:ind w:right="400" w:firstLine="632"/>
        <w:spacing w:after="0" w:line="256" w:lineRule="auto"/>
        <w:rPr>
          <w:sz w:val="20"/>
          <w:szCs w:val="20"/>
          <w:color w:val="auto"/>
        </w:rPr>
      </w:pPr>
      <w:r>
        <w:rPr>
          <w:rFonts w:ascii="Times New Roman" w:cs="Times New Roman" w:eastAsia="Times New Roman" w:hAnsi="Times New Roman"/>
          <w:sz w:val="18"/>
          <w:szCs w:val="18"/>
          <w:color w:val="auto"/>
        </w:rPr>
        <w:t>Interest rates have increased in recent years and may continue to increase or remain elevated in the near-term as the Federal Reserve continues to address inflation. Such elevated interest rates may negatively impact consumer spending, our tenants’ businesses, and/or future demand for space in our Centers.</w:t>
      </w:r>
    </w:p>
    <w:p>
      <w:pPr>
        <w:spacing w:after="0" w:line="102" w:lineRule="exact"/>
        <w:rPr>
          <w:sz w:val="20"/>
          <w:szCs w:val="20"/>
          <w:color w:val="auto"/>
        </w:rPr>
      </w:pPr>
    </w:p>
    <w:p>
      <w:pPr>
        <w:ind w:right="100" w:firstLine="632"/>
        <w:spacing w:after="0" w:line="252" w:lineRule="auto"/>
        <w:rPr>
          <w:sz w:val="20"/>
          <w:szCs w:val="20"/>
          <w:color w:val="auto"/>
        </w:rPr>
      </w:pPr>
      <w:r>
        <w:rPr>
          <w:rFonts w:ascii="Times New Roman" w:cs="Times New Roman" w:eastAsia="Times New Roman" w:hAnsi="Times New Roman"/>
          <w:sz w:val="18"/>
          <w:szCs w:val="18"/>
          <w:color w:val="auto"/>
        </w:rPr>
        <w:t>Additionally, as a result of elevated interest rates, borrowing costs on our outstanding floating-rate debt as well as on new and refinanced fixed-rate debt have increased and may continue to rise. We are subject to the risks normally associated with debt financing and increased borrowing costs, including the risk that our cash flow from operations will be insufficient to meet required debt service and that elevated interest rates could adversely affect our debt service costs.</w:t>
      </w:r>
    </w:p>
    <w:p>
      <w:pPr>
        <w:spacing w:after="0" w:line="119" w:lineRule="exact"/>
        <w:rPr>
          <w:sz w:val="20"/>
          <w:szCs w:val="20"/>
          <w:color w:val="auto"/>
        </w:rPr>
      </w:pPr>
    </w:p>
    <w:p>
      <w:pPr>
        <w:ind w:right="100" w:firstLine="632"/>
        <w:spacing w:after="0" w:line="248" w:lineRule="auto"/>
        <w:rPr>
          <w:sz w:val="20"/>
          <w:szCs w:val="20"/>
          <w:color w:val="auto"/>
        </w:rPr>
      </w:pPr>
      <w:r>
        <w:rPr>
          <w:rFonts w:ascii="Times New Roman" w:cs="Times New Roman" w:eastAsia="Times New Roman" w:hAnsi="Times New Roman"/>
          <w:sz w:val="18"/>
          <w:szCs w:val="18"/>
          <w:color w:val="auto"/>
        </w:rPr>
        <w:t>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elevated interest rate environment, the fixed rates we can obtain with such replacement fixed-rate cap and swap agreements or the fixed-rate on new and refinanced debt will also remain elevated. Our use of interest rate hedging arrangements may also expose us to additional risks, including that the counterparty to the arrangement may fail to honor its obligations and that termination of these arrangements typically involves costs such as transaction fees or breakage costs. There can be no assurance that our hedging activities will have the desired impact on our results of operations, liquidity or financial condition.</w:t>
      </w:r>
    </w:p>
    <w:p>
      <w:pPr>
        <w:spacing w:after="0" w:line="123" w:lineRule="exact"/>
        <w:rPr>
          <w:sz w:val="20"/>
          <w:szCs w:val="20"/>
          <w:color w:val="auto"/>
        </w:rPr>
      </w:pPr>
    </w:p>
    <w:p>
      <w:pPr>
        <w:ind w:right="200" w:firstLine="632"/>
        <w:spacing w:after="0" w:line="269" w:lineRule="auto"/>
        <w:rPr>
          <w:sz w:val="20"/>
          <w:szCs w:val="20"/>
          <w:color w:val="auto"/>
        </w:rPr>
      </w:pPr>
      <w:r>
        <w:rPr>
          <w:rFonts w:ascii="Times New Roman" w:cs="Times New Roman" w:eastAsia="Times New Roman" w:hAnsi="Times New Roman"/>
          <w:sz w:val="18"/>
          <w:szCs w:val="18"/>
          <w:color w:val="auto"/>
        </w:rPr>
        <w:t>Although the extent of any prolonged periods of high interest rates remains unknown at this time, negative impacts to our borrowing costs may also adversely affect our future business plans and growth, at least in the near term.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disputes, including U.S. trade tariffs and retaliatory tariffs, could adversely impact our business.</w:t>
      </w:r>
    </w:p>
    <w:p>
      <w:pPr>
        <w:spacing w:after="0" w:line="245" w:lineRule="exact"/>
        <w:rPr>
          <w:sz w:val="20"/>
          <w:szCs w:val="20"/>
          <w:color w:val="auto"/>
        </w:rPr>
      </w:pPr>
    </w:p>
    <w:p>
      <w:pPr>
        <w:ind w:right="40" w:firstLine="632"/>
        <w:spacing w:after="0" w:line="249" w:lineRule="auto"/>
        <w:rPr>
          <w:sz w:val="20"/>
          <w:szCs w:val="20"/>
          <w:color w:val="auto"/>
        </w:rPr>
      </w:pPr>
      <w:r>
        <w:rPr>
          <w:rFonts w:ascii="Times New Roman" w:cs="Times New Roman" w:eastAsia="Times New Roman" w:hAnsi="Times New Roman"/>
          <w:sz w:val="18"/>
          <w:szCs w:val="18"/>
          <w:color w:val="auto"/>
        </w:rPr>
        <w:t>International trade disputes, including threatened or implemented tariffs by the United States and threatened or implemented tariffs by foreign countries in retaliation, could adversely impact our business. Many of our tenants sell imported goods and tariffs or other trade restrictions could increase costs for these tenants. To the extent our tenants are unable to pass these costs on to their customers, our tenants could be adversely impacted. In addition, international trade disputes, including those related to tariffs, could result in inflationary pressures that directly impact our costs, such as costs for steel, lumber and other materials applicable to our redevelopment projects. Trade disputes could also adversely impact global supply chains which could further increase costs for us and our tenants or delay delivery of key inventories and supplies.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debt that could affect our future operations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0" w:firstLine="632"/>
        <w:spacing w:after="0" w:line="252" w:lineRule="auto"/>
        <w:rPr>
          <w:sz w:val="20"/>
          <w:szCs w:val="20"/>
          <w:color w:val="auto"/>
        </w:rPr>
      </w:pPr>
      <w:r>
        <w:rPr>
          <w:rFonts w:ascii="Times New Roman" w:cs="Times New Roman" w:eastAsia="Times New Roman" w:hAnsi="Times New Roman"/>
          <w:sz w:val="18"/>
          <w:szCs w:val="18"/>
          <w:color w:val="auto"/>
        </w:rPr>
        <w:t>Our total outstanding loan indebtedness at December 31, 2024 was $6.65 billion (consisting of $4.99 billion of consolidated debt, less $0.03 billion attributable to noncontrolling interests, plus $1.69 billion of our pro rata share of mortgages and other notes payable on unconsolidated joint ventures). Due to this substantial indebtedness, we are required to use a material portion of our cash flow to service principal and interest on our debt, which limits the amount of cash available for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24" w:name="page25"/>
    <w:bookmarkEnd w:id="24"/>
    <w:p>
      <w:pPr>
        <w:ind w:right="260"/>
        <w:spacing w:after="0" w:line="256" w:lineRule="auto"/>
        <w:rPr>
          <w:sz w:val="20"/>
          <w:szCs w:val="20"/>
          <w:color w:val="auto"/>
        </w:rPr>
      </w:pPr>
      <w:r>
        <w:rPr>
          <w:rFonts w:ascii="Times New Roman" w:cs="Times New Roman" w:eastAsia="Times New Roman" w:hAnsi="Times New Roman"/>
          <w:sz w:val="18"/>
          <w:szCs w:val="18"/>
          <w:color w:val="auto"/>
        </w:rPr>
        <w:t>other business opportunities. As a part of the Path Forward Plan, among other goals, we aim to deleverage our capital structure over the next three to four years. However, the methods we may pursue and the timing, extent and impact of any transactions in furtherance of this goal may vary and evolve and there can be no assurance that we will be successful in our efforts to deleverage.</w:t>
      </w:r>
    </w:p>
    <w:p>
      <w:pPr>
        <w:spacing w:after="0" w:line="115" w:lineRule="exact"/>
        <w:rPr>
          <w:sz w:val="20"/>
          <w:szCs w:val="20"/>
          <w:color w:val="auto"/>
        </w:rPr>
      </w:pPr>
    </w:p>
    <w:p>
      <w:pPr>
        <w:ind w:right="120" w:firstLine="632"/>
        <w:spacing w:after="0" w:line="252" w:lineRule="auto"/>
        <w:rPr>
          <w:sz w:val="20"/>
          <w:szCs w:val="20"/>
          <w:color w:val="auto"/>
        </w:rPr>
      </w:pPr>
      <w:r>
        <w:rPr>
          <w:rFonts w:ascii="Times New Roman" w:cs="Times New Roman" w:eastAsia="Times New Roman" w:hAnsi="Times New Roman"/>
          <w:sz w:val="18"/>
          <w:szCs w:val="18"/>
          <w:color w:val="auto"/>
        </w:rPr>
        <w:t>Furthermore, most of our Centers are mortgaged to secure payment of indebtedness, and if income from the Center is insufficient to pay that indebtedness, the Center could be foreclosed upon by the mortgagee resulting in a loss of income and a decline in our total asset value. During the year ended December 31, 2024, we did not repay the outstanding mortgage loan on our Santa Monica Place property on its maturity and, as a result, the loan is in default. We are in negotiations with the lender on the terms of this non-recourse loan.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obligated to comply with financial and other covenants that could affect our operating activities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52" w:lineRule="auto"/>
        <w:rPr>
          <w:sz w:val="20"/>
          <w:szCs w:val="20"/>
          <w:color w:val="auto"/>
        </w:rPr>
      </w:pPr>
      <w:r>
        <w:rPr>
          <w:rFonts w:ascii="Times New Roman" w:cs="Times New Roman" w:eastAsia="Times New Roman" w:hAnsi="Times New Roman"/>
          <w:sz w:val="18"/>
          <w:szCs w:val="18"/>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which, if not cured or waived, could accelerate some or all of such indebtedness which could have a material adverse effect on 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external financings for our growth and ongoing debt service requirements and are subject to refinancing risk</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120" w:firstLine="632"/>
        <w:spacing w:after="0" w:line="294" w:lineRule="auto"/>
        <w:rPr>
          <w:sz w:val="20"/>
          <w:szCs w:val="20"/>
          <w:color w:val="auto"/>
        </w:rPr>
      </w:pPr>
      <w:r>
        <w:rPr>
          <w:rFonts w:ascii="Times New Roman" w:cs="Times New Roman" w:eastAsia="Times New Roman" w:hAnsi="Times New Roman"/>
          <w:sz w:val="16"/>
          <w:szCs w:val="16"/>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73" w:lineRule="exact"/>
        <w:rPr>
          <w:sz w:val="20"/>
          <w:szCs w:val="20"/>
          <w:color w:val="auto"/>
        </w:rPr>
      </w:pPr>
    </w:p>
    <w:p>
      <w:pPr>
        <w:ind w:right="120" w:firstLine="632"/>
        <w:spacing w:after="0" w:line="250" w:lineRule="auto"/>
        <w:rPr>
          <w:sz w:val="20"/>
          <w:szCs w:val="20"/>
          <w:color w:val="auto"/>
        </w:rPr>
      </w:pPr>
      <w:r>
        <w:rPr>
          <w:rFonts w:ascii="Times New Roman" w:cs="Times New Roman" w:eastAsia="Times New Roman" w:hAnsi="Times New Roman"/>
          <w:sz w:val="18"/>
          <w:szCs w:val="18"/>
          <w:color w:val="auto"/>
        </w:rPr>
        <w:t>We are also subject to the risks normally associated with debt financings, including the risk that our cash flow from operations will be insufficient to meet required debt service or that we will be unable to refinance such indebtedness on acceptable terms, or at all. If principal payments due at maturity cannot be refinanced, extended or repaid with proceeds from other sources, such as new equity capital, our cash flow may not be sufficient to repay all maturing debt in years when significant “balloon” payments come due. In addition, there are no assurances that we will continue to be able to obtain the financing we need for future growth on acceptable terms, or at all, and any new or refinanced debt could also impose more restrictive terms.</w:t>
      </w:r>
    </w:p>
    <w:p>
      <w:pPr>
        <w:spacing w:after="0" w:line="10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attract and retain talented employees, and the loss of any one of our key personnel could adversely impact our business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firstLine="632"/>
        <w:spacing w:after="0" w:line="250" w:lineRule="auto"/>
        <w:rPr>
          <w:sz w:val="20"/>
          <w:szCs w:val="20"/>
          <w:color w:val="auto"/>
        </w:rPr>
      </w:pPr>
      <w:r>
        <w:rPr>
          <w:rFonts w:ascii="Times New Roman" w:cs="Times New Roman" w:eastAsia="Times New Roman" w:hAnsi="Times New Roman"/>
          <w:sz w:val="18"/>
          <w:szCs w:val="18"/>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may make it difficult for our stockholders to resell their shares when they want or at prices they find attractive</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firstLine="632"/>
        <w:spacing w:after="0" w:line="246" w:lineRule="auto"/>
        <w:rPr>
          <w:sz w:val="20"/>
          <w:szCs w:val="20"/>
          <w:color w:val="auto"/>
        </w:rPr>
      </w:pPr>
      <w:r>
        <w:rPr>
          <w:rFonts w:ascii="Times New Roman" w:cs="Times New Roman" w:eastAsia="Times New Roman" w:hAnsi="Times New Roman"/>
          <w:sz w:val="18"/>
          <w:szCs w:val="18"/>
          <w:color w:val="auto"/>
        </w:rPr>
        <w:t>The price of our common stock on the NYSE constantly changes and has been subject to significant price fluctuations. Our stock price can fluctuate as a result of a variety of factors, many of which are beyond our control. These factors may include, but are not limited to, actual or anticipated variations in our operating results or dividends; our ability to meet the goals established under the Path Forward Plan; 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ongoing military conflicts and terrorist attacks; 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changes in our funds from operations or earnings estimates; changes in the ability of our Centers to generate sufficient revenues to meet operating and other expenses; Anchor or tenant bankruptcies, closures, mergers or consolidations; local economic and real estate conditions in geographic locations where we have a high concentration of Centers; competition by public or private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5" w:name="page26"/>
    <w:bookmarkEnd w:id="25"/>
    <w:p>
      <w:pPr>
        <w:ind w:right="20"/>
        <w:spacing w:after="0" w:line="247" w:lineRule="auto"/>
        <w:rPr>
          <w:sz w:val="20"/>
          <w:szCs w:val="20"/>
          <w:color w:val="auto"/>
        </w:rPr>
      </w:pPr>
      <w:r>
        <w:rPr>
          <w:rFonts w:ascii="Times New Roman" w:cs="Times New Roman" w:eastAsia="Times New Roman" w:hAnsi="Times New Roman"/>
          <w:sz w:val="18"/>
          <w:szCs w:val="18"/>
          <w:color w:val="auto"/>
        </w:rPr>
        <w:t>mall companies or others, including competition for both acquisition of Centers and for tenants to occupy space; 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 our access to financing; inflation and elevated interest rates; the potential impact of tariffs; the risk of our failure to qualify or maintain our status as a REIT; our ability to comply with our joint venture agreements and other risks associated with our joint venture investments; possible uninsured losses, including losses from casualty events or natural disasters, and possible environmental liabilities; adverse impacts from any future pandemic, epidemic or outbreak of any highly infectious disease on the U.S., regional and global economies and on our financial condition and results of operations and the financial condition and results of operations of our tenants; a decision by any of our significant stockholders to sell substantial amounts of our common stock; any future issuances of equity securities; and the realization of any of the other risk factors included in this Annual Report on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individuals have substantial influence over the management of both us and the Operating Partnership, which may create conflicts of interest</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20" w:firstLine="632"/>
        <w:spacing w:after="0" w:line="248" w:lineRule="auto"/>
        <w:rPr>
          <w:sz w:val="20"/>
          <w:szCs w:val="20"/>
          <w:color w:val="auto"/>
        </w:rPr>
      </w:pPr>
      <w:r>
        <w:rPr>
          <w:rFonts w:ascii="Times New Roman" w:cs="Times New Roman" w:eastAsia="Times New Roman" w:hAnsi="Times New Roman"/>
          <w:sz w:val="18"/>
          <w:szCs w:val="18"/>
          <w:color w:val="auto"/>
        </w:rPr>
        <w:t>Under the limited partnership agreement of the Operating Partnership, we, as the sole general partner, are responsible for the management of the Operating Partnership’s business and affairs. 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Our duties and obligations as the general partner of our Operating Partnership may come into conflict with the duties of our directors and officers to our Company and our stockholders.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Outside partners in Joint Venture Centers result in additional risks to our stockholders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100" w:firstLine="632"/>
        <w:spacing w:after="0" w:line="256" w:lineRule="auto"/>
        <w:rPr>
          <w:sz w:val="20"/>
          <w:szCs w:val="20"/>
          <w:color w:val="auto"/>
        </w:rPr>
      </w:pPr>
      <w:r>
        <w:rPr>
          <w:rFonts w:ascii="Times New Roman" w:cs="Times New Roman" w:eastAsia="Times New Roman" w:hAnsi="Times New Roman"/>
          <w:sz w:val="18"/>
          <w:szCs w:val="18"/>
          <w:color w:val="auto"/>
        </w:rPr>
        <w:t>We own partial interests in property partnerships that own 13 Joint Venture Centers and one development property,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115" w:lineRule="exact"/>
        <w:rPr>
          <w:sz w:val="20"/>
          <w:szCs w:val="20"/>
          <w:color w:val="auto"/>
        </w:rPr>
      </w:pPr>
    </w:p>
    <w:p>
      <w:pPr>
        <w:jc w:val="both"/>
        <w:ind w:firstLine="632"/>
        <w:spacing w:after="0" w:line="303" w:lineRule="auto"/>
        <w:rPr>
          <w:sz w:val="20"/>
          <w:szCs w:val="20"/>
          <w:color w:val="auto"/>
        </w:rPr>
      </w:pPr>
      <w:r>
        <w:rPr>
          <w:rFonts w:ascii="Times New Roman" w:cs="Times New Roman" w:eastAsia="Times New Roman" w:hAnsi="Times New Roman"/>
          <w:sz w:val="16"/>
          <w:szCs w:val="16"/>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we may lose our management and other rights relating to the Joint Venture Centers if:</w:t>
      </w:r>
    </w:p>
    <w:p>
      <w:pPr>
        <w:spacing w:after="0" w:line="149" w:lineRule="exact"/>
        <w:rPr>
          <w:sz w:val="20"/>
          <w:szCs w:val="20"/>
          <w:color w:val="auto"/>
        </w:rPr>
      </w:pPr>
    </w:p>
    <w:p>
      <w:pPr>
        <w:ind w:left="940" w:hanging="302"/>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contribute our share of additional capital needed by the property partnerships; or</w:t>
      </w:r>
    </w:p>
    <w:p>
      <w:pPr>
        <w:spacing w:after="0" w:line="148" w:lineRule="exact"/>
        <w:rPr>
          <w:rFonts w:ascii="Times New Roman" w:cs="Times New Roman" w:eastAsia="Times New Roman" w:hAnsi="Times New Roman"/>
          <w:sz w:val="18"/>
          <w:szCs w:val="18"/>
          <w:color w:val="auto"/>
        </w:rPr>
      </w:pPr>
    </w:p>
    <w:p>
      <w:pPr>
        <w:ind w:left="960" w:right="100" w:hanging="322"/>
        <w:spacing w:after="0" w:line="26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under a partnership agreement for a property partnership or other agreements relating to the property partnerships or the Joint Venture Centers.</w:t>
      </w:r>
    </w:p>
    <w:p>
      <w:pPr>
        <w:spacing w:after="0" w:line="89" w:lineRule="exact"/>
        <w:rPr>
          <w:sz w:val="20"/>
          <w:szCs w:val="20"/>
          <w:color w:val="auto"/>
        </w:rPr>
      </w:pPr>
    </w:p>
    <w:p>
      <w:pPr>
        <w:ind w:firstLine="632"/>
        <w:spacing w:after="0" w:line="249" w:lineRule="auto"/>
        <w:rPr>
          <w:sz w:val="20"/>
          <w:szCs w:val="20"/>
          <w:color w:val="auto"/>
        </w:rPr>
      </w:pPr>
      <w:r>
        <w:rPr>
          <w:rFonts w:ascii="Times New Roman" w:cs="Times New Roman" w:eastAsia="Times New Roman" w:hAnsi="Times New Roman"/>
          <w:sz w:val="18"/>
          <w:szCs w:val="18"/>
          <w:color w:val="auto"/>
        </w:rPr>
        <w:t>Furthermore, if one of our joint venture partners filed for bankruptcy, it could materially and adversely affect the respective property or properties. Pursuant to the bankruptcy code, we could be precluded from taking some actions affecting the estate of our joint venture partner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joint venture partners might result in our ultimate liability for a greater portion of those obligations than would otherwise be required.</w:t>
      </w:r>
    </w:p>
    <w:p>
      <w:pPr>
        <w:spacing w:after="0" w:line="121" w:lineRule="exact"/>
        <w:rPr>
          <w:sz w:val="20"/>
          <w:szCs w:val="20"/>
          <w:color w:val="auto"/>
        </w:rPr>
      </w:pPr>
    </w:p>
    <w:p>
      <w:pPr>
        <w:ind w:right="80" w:firstLine="632"/>
        <w:spacing w:after="0" w:line="249" w:lineRule="auto"/>
        <w:rPr>
          <w:sz w:val="20"/>
          <w:szCs w:val="20"/>
          <w:color w:val="auto"/>
        </w:rPr>
      </w:pPr>
      <w:r>
        <w:rPr>
          <w:rFonts w:ascii="Times New Roman" w:cs="Times New Roman" w:eastAsia="Times New Roman" w:hAnsi="Times New Roman"/>
          <w:sz w:val="18"/>
          <w:szCs w:val="18"/>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Our holding company structure makes us dependent on distributions from the Operating Partnership</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140" w:firstLine="632"/>
        <w:spacing w:after="0" w:line="249" w:lineRule="auto"/>
        <w:rPr>
          <w:sz w:val="20"/>
          <w:szCs w:val="20"/>
          <w:color w:val="auto"/>
        </w:rPr>
      </w:pPr>
      <w:r>
        <w:rPr>
          <w:rFonts w:ascii="Times New Roman" w:cs="Times New Roman" w:eastAsia="Times New Roman" w:hAnsi="Times New Roman"/>
          <w:sz w:val="18"/>
          <w:szCs w:val="18"/>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ownership limit and certain of our Charter and bylaw provisions could inhibit a change of control or reduce the value of our common stock</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firstLine="63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The Ownership Limit. </w:t>
      </w:r>
      <w:r>
        <w:rPr>
          <w:rFonts w:ascii="Times New Roman" w:cs="Times New Roman" w:eastAsia="Times New Roman" w:hAnsi="Times New Roman"/>
          <w:sz w:val="18"/>
          <w:szCs w:val="18"/>
          <w:color w:val="auto"/>
        </w:rPr>
        <w:t>In order for us to maintain our qualification as a REIT, not more than 50% in value of our outstanding stock (after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certain options to acquire stock) may be owned, directly or indirectly or through the application of certain attribution rules, by five or fewer individuals (as defined in the Internal Revenue Code of 1986, as amended (the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110" w:lineRule="exact"/>
        <w:rPr>
          <w:sz w:val="20"/>
          <w:szCs w:val="20"/>
          <w:color w:val="auto"/>
        </w:rPr>
      </w:pPr>
    </w:p>
    <w:p>
      <w:pPr>
        <w:ind w:left="960" w:right="200" w:hanging="322"/>
        <w:spacing w:after="0" w:line="269"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102" w:lineRule="exact"/>
        <w:rPr>
          <w:rFonts w:ascii="Times New Roman" w:cs="Times New Roman" w:eastAsia="Times New Roman" w:hAnsi="Times New Roman"/>
          <w:sz w:val="18"/>
          <w:szCs w:val="18"/>
          <w:color w:val="auto"/>
        </w:rPr>
      </w:pPr>
    </w:p>
    <w:p>
      <w:pPr>
        <w:ind w:left="960" w:right="100" w:hanging="322"/>
        <w:spacing w:after="0" w:line="269"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89" w:lineRule="exact"/>
        <w:rPr>
          <w:sz w:val="20"/>
          <w:szCs w:val="20"/>
          <w:color w:val="auto"/>
        </w:rPr>
      </w:pPr>
    </w:p>
    <w:p>
      <w:pPr>
        <w:ind w:right="340" w:firstLine="632"/>
        <w:spacing w:after="0" w:line="332" w:lineRule="auto"/>
        <w:rPr>
          <w:sz w:val="20"/>
          <w:szCs w:val="20"/>
          <w:color w:val="auto"/>
        </w:rPr>
      </w:pPr>
      <w:r>
        <w:rPr>
          <w:rFonts w:ascii="Times New Roman" w:cs="Times New Roman" w:eastAsia="Times New Roman" w:hAnsi="Times New Roman"/>
          <w:sz w:val="16"/>
          <w:szCs w:val="16"/>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55" w:lineRule="exact"/>
        <w:rPr>
          <w:sz w:val="20"/>
          <w:szCs w:val="20"/>
          <w:color w:val="auto"/>
        </w:rPr>
      </w:pPr>
    </w:p>
    <w:p>
      <w:pPr>
        <w:ind w:right="40" w:firstLine="6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Selected Provisions of our Charter and bylaws. </w:t>
      </w:r>
      <w:r>
        <w:rPr>
          <w:rFonts w:ascii="Times New Roman" w:cs="Times New Roman" w:eastAsia="Times New Roman" w:hAnsi="Times New Roman"/>
          <w:sz w:val="18"/>
          <w:szCs w:val="18"/>
          <w:color w:val="auto"/>
        </w:rPr>
        <w:t>Some of the provisions of our Charter and bylaws may have the effect of delaying, deferring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117" w:lineRule="exact"/>
        <w:rPr>
          <w:sz w:val="20"/>
          <w:szCs w:val="20"/>
          <w:color w:val="auto"/>
        </w:rPr>
      </w:pPr>
    </w:p>
    <w:p>
      <w:pPr>
        <w:ind w:left="940" w:hanging="302"/>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directors and stockholder proposals to be considered at stockholder meetings;</w:t>
      </w:r>
    </w:p>
    <w:p>
      <w:pPr>
        <w:spacing w:after="0" w:line="135" w:lineRule="exact"/>
        <w:rPr>
          <w:rFonts w:ascii="Times New Roman" w:cs="Times New Roman" w:eastAsia="Times New Roman" w:hAnsi="Times New Roman"/>
          <w:sz w:val="18"/>
          <w:szCs w:val="18"/>
          <w:color w:val="auto"/>
        </w:rPr>
      </w:pPr>
    </w:p>
    <w:p>
      <w:pPr>
        <w:ind w:left="960" w:right="680" w:hanging="322"/>
        <w:spacing w:after="0" w:line="269"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directors to consider a variety of factors with respect to a proposed business combination or other change of control transaction;</w:t>
      </w:r>
    </w:p>
    <w:p>
      <w:pPr>
        <w:spacing w:after="0" w:line="102" w:lineRule="exact"/>
        <w:rPr>
          <w:rFonts w:ascii="Times New Roman" w:cs="Times New Roman" w:eastAsia="Times New Roman" w:hAnsi="Times New Roman"/>
          <w:sz w:val="18"/>
          <w:szCs w:val="18"/>
          <w:color w:val="auto"/>
        </w:rPr>
      </w:pPr>
    </w:p>
    <w:p>
      <w:pPr>
        <w:ind w:left="960" w:right="240" w:hanging="322"/>
        <w:spacing w:after="0" w:line="269"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directors to classify or reclassify unissued shares and cause the Company to issue shares of one or more classes or series of common stock or preferred stock;</w:t>
      </w:r>
    </w:p>
    <w:p>
      <w:pPr>
        <w:spacing w:after="0" w:line="102" w:lineRule="exact"/>
        <w:rPr>
          <w:rFonts w:ascii="Times New Roman" w:cs="Times New Roman" w:eastAsia="Times New Roman" w:hAnsi="Times New Roman"/>
          <w:sz w:val="18"/>
          <w:szCs w:val="18"/>
          <w:color w:val="auto"/>
        </w:rPr>
      </w:pPr>
    </w:p>
    <w:p>
      <w:pPr>
        <w:ind w:left="960" w:right="360" w:hanging="322"/>
        <w:spacing w:after="0" w:line="269"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directors to create and cause the Company to issue rights entitling the holders thereof to purchase shares of stock or other securities from us; and</w:t>
      </w:r>
    </w:p>
    <w:p>
      <w:pPr>
        <w:spacing w:after="0" w:line="89"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amendment of our Charter, the change in control of us, and the liability of our directors and officers.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Maryland law could inhibit a change in control or reduce the value of our common stock</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jc w:val="both"/>
        <w:ind w:right="260" w:firstLine="632"/>
        <w:spacing w:after="0" w:line="303" w:lineRule="auto"/>
        <w:rPr>
          <w:sz w:val="20"/>
          <w:szCs w:val="20"/>
          <w:color w:val="auto"/>
        </w:rPr>
      </w:pPr>
      <w:r>
        <w:rPr>
          <w:rFonts w:ascii="Times New Roman" w:cs="Times New Roman" w:eastAsia="Times New Roman" w:hAnsi="Times New Roman"/>
          <w:sz w:val="16"/>
          <w:szCs w:val="16"/>
          <w:color w:val="auto"/>
        </w:rPr>
        <w:t>Certain provisions of the Maryland General Corporation Law (the “MGCL”) may have the effect 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including: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27" w:name="page28"/>
    <w:bookmarkEnd w:id="27"/>
    <w:p>
      <w:pPr>
        <w:ind w:left="960" w:hanging="322"/>
        <w:spacing w:after="0" w:line="249"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our then outstanding stock) or an affiliate of an interested stockholder for five years after the most recent date on which the stockholder becomes an interested stockholder, and thereafter may impose special appraisal rights and special stockholder voting requirements on these combinations; and</w:t>
      </w:r>
    </w:p>
    <w:p>
      <w:pPr>
        <w:spacing w:after="0" w:line="121" w:lineRule="exact"/>
        <w:rPr>
          <w:rFonts w:ascii="Times New Roman" w:cs="Times New Roman" w:eastAsia="Times New Roman" w:hAnsi="Times New Roman"/>
          <w:sz w:val="18"/>
          <w:szCs w:val="18"/>
          <w:color w:val="auto"/>
        </w:rPr>
      </w:pPr>
    </w:p>
    <w:p>
      <w:pPr>
        <w:ind w:left="960" w:right="100" w:hanging="322"/>
        <w:spacing w:after="0" w:line="250"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Share” provisions that provide that holders of “control shares” of our Company (defined as shares which, when aggregated with other shares controlled by the stockholder, entitle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our stockholders by the affirmative vote of at least two-thirds of all the votes entitled to be cast on the matter, excluding all interested shares.</w:t>
      </w:r>
    </w:p>
    <w:p>
      <w:pPr>
        <w:spacing w:after="0" w:line="108" w:lineRule="exact"/>
        <w:rPr>
          <w:sz w:val="20"/>
          <w:szCs w:val="20"/>
          <w:color w:val="auto"/>
        </w:rPr>
      </w:pPr>
    </w:p>
    <w:p>
      <w:pPr>
        <w:ind w:right="140" w:firstLine="632"/>
        <w:spacing w:after="0" w:line="252" w:lineRule="auto"/>
        <w:rPr>
          <w:sz w:val="20"/>
          <w:szCs w:val="20"/>
          <w:color w:val="auto"/>
        </w:rPr>
      </w:pPr>
      <w:r>
        <w:rPr>
          <w:rFonts w:ascii="Times New Roman" w:cs="Times New Roman" w:eastAsia="Times New Roman" w:hAnsi="Times New Roman"/>
          <w:sz w:val="18"/>
          <w:szCs w:val="18"/>
          <w:color w:val="auto"/>
        </w:rPr>
        <w:t>As permitted by the MGCL, our Charter contains certain exemptions from the “business combination” provisions. The MGCL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19" w:lineRule="exact"/>
        <w:rPr>
          <w:sz w:val="20"/>
          <w:szCs w:val="20"/>
          <w:color w:val="auto"/>
        </w:rPr>
      </w:pPr>
    </w:p>
    <w:p>
      <w:pPr>
        <w:ind w:right="200" w:firstLine="632"/>
        <w:spacing w:after="0" w:line="252" w:lineRule="auto"/>
        <w:rPr>
          <w:sz w:val="20"/>
          <w:szCs w:val="20"/>
          <w:color w:val="auto"/>
        </w:rPr>
      </w:pPr>
      <w:r>
        <w:rPr>
          <w:rFonts w:ascii="Times New Roman" w:cs="Times New Roman" w:eastAsia="Times New Roman" w:hAnsi="Times New Roman"/>
          <w:sz w:val="18"/>
          <w:szCs w:val="18"/>
          <w:color w:val="auto"/>
        </w:rPr>
        <w:t>Additionally, pursuant to a provision in our bylaws, we have opted out of the “control share” acquisition provisions of the MGCL. However, in the future, we may, without the approval of our stockholders, by amendment to our bylaws, opt in to the control share provisions of the MGCL. The MGCL and our Charter also contain supermajority voting requirements with respect to our ability to amend certain provisions of our Charter, merge, or sell all or substantially all of our assets.</w:t>
      </w:r>
    </w:p>
    <w:p>
      <w:pPr>
        <w:spacing w:after="0" w:line="119" w:lineRule="exact"/>
        <w:rPr>
          <w:sz w:val="20"/>
          <w:szCs w:val="20"/>
          <w:color w:val="auto"/>
        </w:rPr>
      </w:pPr>
    </w:p>
    <w:p>
      <w:pPr>
        <w:ind w:firstLine="632"/>
        <w:spacing w:after="0" w:line="252" w:lineRule="auto"/>
        <w:rPr>
          <w:sz w:val="20"/>
          <w:szCs w:val="20"/>
          <w:color w:val="auto"/>
        </w:rPr>
      </w:pPr>
      <w:r>
        <w:rPr>
          <w:rFonts w:ascii="Times New Roman" w:cs="Times New Roman" w:eastAsia="Times New Roman" w:hAnsi="Times New Roman"/>
          <w:sz w:val="18"/>
          <w:szCs w:val="18"/>
          <w:color w:val="auto"/>
        </w:rPr>
        <w:t>Furthermore, our board of directors has adopted a resolution prohibiting us from electing to be subject to the provisions of Title 3, Subtitle 8 of the MGCL that would, among other things, permit our board of directors to classify the board without stockholder approval. Such provisions of Title 3, Subtitle 8 of the MGCL could have an anti-takeover effect. We may only elect to be subject to the classified board provisions of Title 3, Subtitle 8 after first obtaining the approval of our stockholders.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RISKS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fail to qualify as a REIT, we would have reduced funds available for distributions to our stockholders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48" w:lineRule="auto"/>
        <w:rPr>
          <w:sz w:val="20"/>
          <w:szCs w:val="20"/>
          <w:color w:val="auto"/>
        </w:rPr>
      </w:pPr>
      <w:r>
        <w:rPr>
          <w:rFonts w:ascii="Times New Roman" w:cs="Times New Roman" w:eastAsia="Times New Roman" w:hAnsi="Times New Roman"/>
          <w:sz w:val="18"/>
          <w:szCs w:val="18"/>
          <w:color w:val="auto"/>
        </w:rPr>
        <w:t>We believe that we currently qualify as a REIT. No assurance can be given that we will remain qualified as a REIT. Qualification as a REIT involves the application of highly technical and complex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123" w:lineRule="exact"/>
        <w:rPr>
          <w:sz w:val="20"/>
          <w:szCs w:val="20"/>
          <w:color w:val="auto"/>
        </w:rPr>
      </w:pPr>
    </w:p>
    <w:p>
      <w:pPr>
        <w:ind w:right="20" w:firstLine="632"/>
        <w:spacing w:after="0" w:line="303" w:lineRule="auto"/>
        <w:rPr>
          <w:sz w:val="20"/>
          <w:szCs w:val="20"/>
          <w:color w:val="auto"/>
        </w:rPr>
      </w:pPr>
      <w:r>
        <w:rPr>
          <w:rFonts w:ascii="Times New Roman" w:cs="Times New Roman" w:eastAsia="Times New Roman" w:hAnsi="Times New Roman"/>
          <w:sz w:val="16"/>
          <w:szCs w:val="16"/>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in any taxable year we were to fail to qualify as a REIT, we will suffer the following negative results:</w:t>
      </w:r>
    </w:p>
    <w:p>
      <w:pPr>
        <w:spacing w:after="0" w:line="149" w:lineRule="exact"/>
        <w:rPr>
          <w:sz w:val="20"/>
          <w:szCs w:val="20"/>
          <w:color w:val="auto"/>
        </w:rPr>
      </w:pPr>
    </w:p>
    <w:p>
      <w:pPr>
        <w:ind w:left="940" w:hanging="302"/>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allowed a deduction for distributions to stockholders in computing our taxable income;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U.S. federal and state income tax on our taxable income at regular corporate rates.</w:t>
      </w:r>
    </w:p>
    <w:p>
      <w:pPr>
        <w:spacing w:after="0" w:line="136" w:lineRule="exact"/>
        <w:rPr>
          <w:sz w:val="20"/>
          <w:szCs w:val="20"/>
          <w:color w:val="auto"/>
        </w:rPr>
      </w:pPr>
    </w:p>
    <w:p>
      <w:pPr>
        <w:ind w:right="20" w:firstLine="632"/>
        <w:spacing w:after="0" w:line="249" w:lineRule="auto"/>
        <w:rPr>
          <w:sz w:val="20"/>
          <w:szCs w:val="20"/>
          <w:color w:val="auto"/>
        </w:rPr>
      </w:pPr>
      <w:r>
        <w:rPr>
          <w:rFonts w:ascii="Times New Roman" w:cs="Times New Roman" w:eastAsia="Times New Roman" w:hAnsi="Times New Roman"/>
          <w:sz w:val="18"/>
          <w:szCs w:val="18"/>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32" w:right="379" w:bottom="1440" w:gutter="0" w:footer="0" w:header="0"/>
        </w:sectPr>
      </w:pPr>
    </w:p>
    <w:bookmarkStart w:id="28" w:name="page29"/>
    <w:bookmarkEnd w:id="28"/>
    <w:p>
      <w:pPr>
        <w:ind w:right="140" w:firstLine="632"/>
        <w:spacing w:after="0" w:line="269" w:lineRule="auto"/>
        <w:rPr>
          <w:sz w:val="20"/>
          <w:szCs w:val="20"/>
          <w:color w:val="auto"/>
        </w:rPr>
      </w:pPr>
      <w:r>
        <w:rPr>
          <w:rFonts w:ascii="Times New Roman" w:cs="Times New Roman" w:eastAsia="Times New Roman" w:hAnsi="Times New Roman"/>
          <w:sz w:val="18"/>
          <w:szCs w:val="18"/>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might cause us to forego otherwise attractive opportunities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52" w:lineRule="auto"/>
        <w:rPr>
          <w:sz w:val="20"/>
          <w:szCs w:val="20"/>
          <w:color w:val="auto"/>
        </w:rPr>
      </w:pPr>
      <w:r>
        <w:rPr>
          <w:rFonts w:ascii="Times New Roman" w:cs="Times New Roman" w:eastAsia="Times New Roman" w:hAnsi="Times New Roman"/>
          <w:sz w:val="18"/>
          <w:szCs w:val="18"/>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106" w:lineRule="exact"/>
        <w:rPr>
          <w:sz w:val="20"/>
          <w:szCs w:val="20"/>
          <w:color w:val="auto"/>
        </w:rPr>
      </w:pPr>
    </w:p>
    <w:p>
      <w:pPr>
        <w:ind w:right="40" w:firstLine="632"/>
        <w:spacing w:after="0" w:line="252" w:lineRule="auto"/>
        <w:rPr>
          <w:sz w:val="20"/>
          <w:szCs w:val="20"/>
          <w:color w:val="auto"/>
        </w:rPr>
      </w:pPr>
      <w:r>
        <w:rPr>
          <w:rFonts w:ascii="Times New Roman" w:cs="Times New Roman" w:eastAsia="Times New Roman" w:hAnsi="Times New Roman"/>
          <w:sz w:val="18"/>
          <w:szCs w:val="18"/>
          <w:color w:val="auto"/>
        </w:rPr>
        <w:t>In addition, the REIT provisions of the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borrow or take other measures to make distributions to our stockholders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47" w:lineRule="auto"/>
        <w:rPr>
          <w:sz w:val="20"/>
          <w:szCs w:val="20"/>
          <w:color w:val="auto"/>
        </w:rPr>
      </w:pPr>
      <w:r>
        <w:rPr>
          <w:rFonts w:ascii="Times New Roman" w:cs="Times New Roman" w:eastAsia="Times New Roman" w:hAnsi="Times New Roman"/>
          <w:sz w:val="18"/>
          <w:szCs w:val="18"/>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in connection with Section 1031 Exchanges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50" w:lineRule="auto"/>
        <w:rPr>
          <w:sz w:val="20"/>
          <w:szCs w:val="20"/>
          <w:color w:val="auto"/>
        </w:rPr>
      </w:pPr>
      <w:r>
        <w:rPr>
          <w:rFonts w:ascii="Times New Roman" w:cs="Times New Roman" w:eastAsia="Times New Roman" w:hAnsi="Times New Roman"/>
          <w:sz w:val="18"/>
          <w:szCs w:val="18"/>
          <w:color w:val="auto"/>
        </w:rPr>
        <w:t>If a transaction intended to qualify as a Section 1031 Exchange is later determined to be taxable, we may face adverse consequences, and if the laws applicable to such transactions are amended or repealed, we may not be able to dispose of properties on a tax deferred basis. Section 1031 Exchanges now only apply to real property and do not apply to any related personal property transferred with the real property. As a result, any appreciated personal property that is transferred in connection with a Section 1031 Exchange of real property will cause gain to be recognized, and such gain is generally treated as non-qualifying income for the 95% and 75% gross income tests. Any such non-qualifying income could have an adverse effect on our REIT status.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Operating Partnership fails to maintain its status as a partnership for tax purposes, we would face adverse tax consequences.</w:t>
      </w:r>
    </w:p>
    <w:p>
      <w:pPr>
        <w:spacing w:after="0" w:line="245"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16"/>
          <w:szCs w:val="16"/>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 purposes, it would be subject to taxation as a corporation, thereby reducing distributions to the Operating Partnership. Such a recharacterization of an underlying entity could also threaten our ability to maintain REIT status.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could adversely affect our stockholders.</w:t>
      </w:r>
    </w:p>
    <w:p>
      <w:pPr>
        <w:spacing w:after="0" w:line="245" w:lineRule="exact"/>
        <w:rPr>
          <w:sz w:val="20"/>
          <w:szCs w:val="20"/>
          <w:color w:val="auto"/>
        </w:rPr>
      </w:pPr>
    </w:p>
    <w:p>
      <w:pPr>
        <w:ind w:right="240" w:firstLine="632"/>
        <w:spacing w:after="0" w:line="256" w:lineRule="auto"/>
        <w:rPr>
          <w:sz w:val="20"/>
          <w:szCs w:val="20"/>
          <w:color w:val="auto"/>
        </w:rPr>
      </w:pPr>
      <w:r>
        <w:rPr>
          <w:rFonts w:ascii="Times New Roman" w:cs="Times New Roman" w:eastAsia="Times New Roman" w:hAnsi="Times New Roman"/>
          <w:sz w:val="18"/>
          <w:szCs w:val="18"/>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8"/>
          <w:szCs w:val="18"/>
          <w:color w:val="auto"/>
        </w:rPr>
        <w:t>Any such changes could have an adverse effect on an investment in our stock or on the market value or the resale potential of our properties.</w:t>
      </w:r>
    </w:p>
    <w:p>
      <w:pPr>
        <w:spacing w:after="0" w:line="1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3" w:lineRule="exact"/>
        <w:rPr>
          <w:sz w:val="20"/>
          <w:szCs w:val="20"/>
          <w:color w:val="auto"/>
        </w:rPr>
      </w:pPr>
    </w:p>
    <w:p>
      <w:pPr>
        <w:ind w:firstLine="632"/>
        <w:spacing w:after="0" w:line="228" w:lineRule="auto"/>
        <w:rPr>
          <w:sz w:val="20"/>
          <w:szCs w:val="20"/>
          <w:color w:val="auto"/>
        </w:rPr>
      </w:pPr>
      <w:r>
        <w:rPr>
          <w:rFonts w:ascii="Times New Roman" w:cs="Times New Roman" w:eastAsia="Times New Roman" w:hAnsi="Times New Roman"/>
          <w:sz w:val="18"/>
          <w:szCs w:val="18"/>
          <w:color w:val="auto"/>
        </w:rPr>
        <w:t>The Company, under the oversight of the Audit Committee of its Board of Directors, has implemented and maintains a cybersecurity risk management program that includes processes for the systematic identification, assessment and treatment (through mitigation, transfer, avoidance and/or acceptance) of cybersecurity risks. This program extends to third-party vendors and the various properties under the Company’s management, including corporate and commercial properties, through establishing vendor risk requirements and conducting vendor risk assessments.</w:t>
      </w:r>
    </w:p>
    <w:p>
      <w:pPr>
        <w:spacing w:after="0" w:line="208" w:lineRule="exact"/>
        <w:rPr>
          <w:sz w:val="20"/>
          <w:szCs w:val="20"/>
          <w:color w:val="auto"/>
        </w:rPr>
      </w:pPr>
    </w:p>
    <w:p>
      <w:pPr>
        <w:ind w:firstLine="632"/>
        <w:spacing w:after="0" w:line="236" w:lineRule="auto"/>
        <w:rPr>
          <w:sz w:val="20"/>
          <w:szCs w:val="20"/>
          <w:color w:val="auto"/>
        </w:rPr>
      </w:pPr>
      <w:r>
        <w:rPr>
          <w:rFonts w:ascii="Times New Roman" w:cs="Times New Roman" w:eastAsia="Times New Roman" w:hAnsi="Times New Roman"/>
          <w:sz w:val="18"/>
          <w:szCs w:val="18"/>
          <w:color w:val="auto"/>
        </w:rPr>
        <w:t>This risk management program addresses, but is not limited to, risks identified by external auditors and assessors, internal auditors and assessors, threat intelligence providers, internal stakeholders, vulnerability management programs and security management programs. An internal audit team at the Company manages and maintains remediation strategies for identified risks, and reports on them regularly to senior leadership. As part of the Company’s cyber risk management program, the Company has engaged external independent assessors to conduct cyber risk assessments, evaluate cyber risk management controls, and report both findings and recommendations to management.</w:t>
      </w:r>
    </w:p>
    <w:p>
      <w:pPr>
        <w:spacing w:after="0" w:line="207" w:lineRule="exact"/>
        <w:rPr>
          <w:sz w:val="20"/>
          <w:szCs w:val="20"/>
          <w:color w:val="auto"/>
        </w:rPr>
      </w:pPr>
    </w:p>
    <w:p>
      <w:pPr>
        <w:ind w:firstLine="632"/>
        <w:spacing w:after="0" w:line="234" w:lineRule="auto"/>
        <w:rPr>
          <w:sz w:val="20"/>
          <w:szCs w:val="20"/>
          <w:color w:val="auto"/>
        </w:rPr>
      </w:pPr>
      <w:r>
        <w:rPr>
          <w:rFonts w:ascii="Times New Roman" w:cs="Times New Roman" w:eastAsia="Times New Roman" w:hAnsi="Times New Roman"/>
          <w:sz w:val="18"/>
          <w:szCs w:val="18"/>
          <w:color w:val="auto"/>
        </w:rPr>
        <w:t>The Company, like other companies in its industry, faces a number of cybersecurity risks in connection with its business. Although such risks have not materially affected the Company, including its business strategy, results of operations or financial condition, to date, the Company has, from time to time, experienced threats to and security incidents related to its data and systems. For more information about the cybersecurity risks the Company faces, see Item 1A. Risk Factors.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95" w:lineRule="exact"/>
        <w:rPr>
          <w:sz w:val="20"/>
          <w:szCs w:val="20"/>
          <w:color w:val="auto"/>
        </w:rPr>
      </w:pPr>
    </w:p>
    <w:p>
      <w:pPr>
        <w:ind w:right="120" w:firstLine="632"/>
        <w:spacing w:after="0" w:line="233" w:lineRule="auto"/>
        <w:rPr>
          <w:sz w:val="20"/>
          <w:szCs w:val="20"/>
          <w:color w:val="auto"/>
        </w:rPr>
      </w:pPr>
      <w:r>
        <w:rPr>
          <w:rFonts w:ascii="Times New Roman" w:cs="Times New Roman" w:eastAsia="Times New Roman" w:hAnsi="Times New Roman"/>
          <w:sz w:val="18"/>
          <w:szCs w:val="18"/>
          <w:color w:val="auto"/>
        </w:rPr>
        <w:t>The Company’s cyber risk management program and related operations and processes are directed by the Senior Vice President of Information Technology (the “SVP-IT”). Currently, the SVP-IT role is held by an individual who has over twenty five years of cybersecurity, information technology and systems engineering experience. The SVP-IT meets with the Chief Financial Officer and Chief Legal Officer quarterly to monitor and review the outcomes of the Company’s cybersecurity risk management processes and to discuss and decide matters related to cybersecurity risk treatment strategy (including mitigations).</w:t>
      </w:r>
    </w:p>
    <w:p>
      <w:pPr>
        <w:spacing w:after="0" w:line="3" w:lineRule="exact"/>
        <w:rPr>
          <w:sz w:val="20"/>
          <w:szCs w:val="20"/>
          <w:color w:val="auto"/>
        </w:rPr>
      </w:pPr>
    </w:p>
    <w:p>
      <w:pPr>
        <w:ind w:firstLine="632"/>
        <w:spacing w:after="0" w:line="229" w:lineRule="auto"/>
        <w:rPr>
          <w:sz w:val="20"/>
          <w:szCs w:val="20"/>
          <w:color w:val="auto"/>
        </w:rPr>
      </w:pPr>
      <w:r>
        <w:rPr>
          <w:rFonts w:ascii="Times New Roman" w:cs="Times New Roman" w:eastAsia="Times New Roman" w:hAnsi="Times New Roman"/>
          <w:sz w:val="18"/>
          <w:szCs w:val="18"/>
          <w:color w:val="auto"/>
        </w:rPr>
        <w:t>The Company also formed the Business Continuity Plan ("BCP") and Cyber Security Risk Committee (the “Security Committee”), which oversees the prioritization and escalation of risks from cybersecurity threats to senior leadership, is chaired by the SVP-IT and the Executive Vice President of Portfolio Operations and People. The Security Committee reports to the Chief Financial Officer and Chief Legal Officer, and the committee’s members include senior company leadership responsible for asset management, risk management, property management, marketing, and business development. Collectively, the Security Committee members possess experience in information security, risk management, oversight and legal compliance.</w:t>
      </w:r>
    </w:p>
    <w:p>
      <w:pPr>
        <w:spacing w:after="0" w:line="1" w:lineRule="exact"/>
        <w:rPr>
          <w:sz w:val="20"/>
          <w:szCs w:val="20"/>
          <w:color w:val="auto"/>
        </w:rPr>
      </w:pPr>
    </w:p>
    <w:p>
      <w:pPr>
        <w:ind w:right="40" w:firstLine="632"/>
        <w:spacing w:after="0" w:line="254" w:lineRule="auto"/>
        <w:rPr>
          <w:sz w:val="20"/>
          <w:szCs w:val="20"/>
          <w:color w:val="auto"/>
        </w:rPr>
      </w:pPr>
      <w:r>
        <w:rPr>
          <w:rFonts w:ascii="Times New Roman" w:cs="Times New Roman" w:eastAsia="Times New Roman" w:hAnsi="Times New Roman"/>
          <w:sz w:val="16"/>
          <w:szCs w:val="16"/>
          <w:color w:val="auto"/>
        </w:rPr>
        <w:t>The Company’s Board of Directors plays an important role in risk oversight and discharges its duties both as a full board and through its committees. The Board has delegated oversight of risk management matters, including cybersecurity and information technology matters, to its Audit Committee. As reflected in the Audit Committee charter, the committee is responsible for reviewing information technology, cybersecurity and other data protection strategies and plans, as well as assessing incident response protocols. The Security Committee provides quarterly reports to the Audit Committee and the SVP-IT attends board meetings yearly, or more frequently as appropriate, to inform the Company’s Board of Directors on cybersecurity risks.</w:t>
      </w:r>
    </w:p>
    <w:p>
      <w:pPr>
        <w:spacing w:after="0" w:line="1" w:lineRule="exact"/>
        <w:rPr>
          <w:sz w:val="20"/>
          <w:szCs w:val="20"/>
          <w:color w:val="auto"/>
        </w:rPr>
      </w:pPr>
    </w:p>
    <w:p>
      <w:pPr>
        <w:ind w:right="220" w:firstLine="632"/>
        <w:spacing w:after="0" w:line="233" w:lineRule="auto"/>
        <w:rPr>
          <w:sz w:val="20"/>
          <w:szCs w:val="20"/>
          <w:color w:val="auto"/>
        </w:rPr>
      </w:pPr>
      <w:r>
        <w:rPr>
          <w:rFonts w:ascii="Times New Roman" w:cs="Times New Roman" w:eastAsia="Times New Roman" w:hAnsi="Times New Roman"/>
          <w:sz w:val="18"/>
          <w:szCs w:val="18"/>
          <w:color w:val="auto"/>
        </w:rPr>
        <w:t>Additionally, the Company is subject to the requirements of the Sarbanes-Oxley Act of 2002 and information technology general controls are an important part of the Company's internal control over financial reporting and are subject to controls testing. Control deficiencies that represent cybersecurity risks would be reported by management to the Audit Committee.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30" w:name="page31"/>
    <w:bookmarkEnd w:id="3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38" w:lineRule="exact"/>
        <w:rPr>
          <w:sz w:val="20"/>
          <w:szCs w:val="20"/>
          <w:color w:val="auto"/>
        </w:rPr>
      </w:pPr>
    </w:p>
    <w:p>
      <w:pPr>
        <w:ind w:firstLine="435"/>
        <w:spacing w:after="0" w:line="26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Centers and other locations that are wholly owned or partly owned by the Company as of December 31, 2024.</w:t>
      </w:r>
    </w:p>
    <w:tbl>
      <w:tblPr>
        <w:tblLayout w:type="fixed"/>
        <w:tblInd w:w="0" w:type="dxa"/>
        <w:tblCellMar>
          <w:top w:w="0" w:type="dxa"/>
          <w:left w:w="0" w:type="dxa"/>
          <w:bottom w:w="0" w:type="dxa"/>
          <w:right w:w="0" w:type="dxa"/>
        </w:tblCellMar>
      </w:tblPr>
      <w:tr>
        <w:trPr>
          <w:trHeight w:val="109"/>
        </w:trPr>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w w:val="90"/>
              </w:rPr>
              <w:t>Year of</w:t>
            </w:r>
          </w:p>
        </w:tc>
        <w:tc>
          <w:tcPr>
            <w:tcW w:w="9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w w:val="93"/>
              </w:rPr>
              <w:t>Year of Most</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Mall and</w:t>
            </w:r>
          </w:p>
        </w:tc>
        <w:tc>
          <w:tcPr>
            <w:tcW w:w="108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9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2"/>
              </w:rPr>
              <w:t>Recent</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140" w:type="dxa"/>
            <w:vAlign w:val="bottom"/>
            <w:gridSpan w:val="2"/>
            <w:vMerge w:val="continue"/>
          </w:tcPr>
          <w:p>
            <w:pPr>
              <w:spacing w:after="0"/>
              <w:rPr>
                <w:sz w:val="9"/>
                <w:szCs w:val="9"/>
                <w:color w:val="auto"/>
              </w:rPr>
            </w:pPr>
          </w:p>
        </w:tc>
        <w:tc>
          <w:tcPr>
            <w:tcW w:w="10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of Mall and</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Non-Owned</w:t>
            </w:r>
          </w:p>
        </w:tc>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5"/>
              </w:rPr>
              <w:t>Company-Owned Anchors</w:t>
            </w:r>
          </w:p>
        </w:tc>
        <w:tc>
          <w:tcPr>
            <w:tcW w:w="0" w:type="dxa"/>
            <w:vAlign w:val="bottom"/>
          </w:tcPr>
          <w:p>
            <w:pPr>
              <w:spacing w:after="0"/>
              <w:rPr>
                <w:sz w:val="1"/>
                <w:szCs w:val="1"/>
                <w:color w:val="auto"/>
              </w:rPr>
            </w:pPr>
          </w:p>
        </w:tc>
      </w:tr>
      <w:tr>
        <w:trPr>
          <w:trHeight w:val="10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Construction/</w:t>
            </w:r>
          </w:p>
        </w:tc>
        <w:tc>
          <w:tcPr>
            <w:tcW w:w="9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4"/>
              </w:rPr>
              <w:t>Expansion/</w:t>
            </w:r>
          </w:p>
        </w:tc>
        <w:tc>
          <w:tcPr>
            <w:tcW w:w="980" w:type="dxa"/>
            <w:vAlign w:val="bottom"/>
            <w:gridSpan w:val="2"/>
            <w:vMerge w:val="continue"/>
          </w:tcPr>
          <w:p>
            <w:pPr>
              <w:spacing w:after="0"/>
              <w:rPr>
                <w:sz w:val="9"/>
                <w:szCs w:val="9"/>
                <w:color w:val="auto"/>
              </w:rPr>
            </w:pPr>
          </w:p>
        </w:tc>
        <w:tc>
          <w:tcPr>
            <w:tcW w:w="114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3"/>
              </w:rPr>
              <w:t>Freestanding</w:t>
            </w:r>
          </w:p>
        </w:tc>
        <w:tc>
          <w:tcPr>
            <w:tcW w:w="104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Center/Location(2)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Renovation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GLA(3)</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GLA</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0" w:type="dxa"/>
            <w:vAlign w:val="bottom"/>
          </w:tcPr>
          <w:p>
            <w:pPr>
              <w:spacing w:after="0"/>
              <w:rPr>
                <w:sz w:val="1"/>
                <w:szCs w:val="1"/>
                <w:color w:val="auto"/>
              </w:rPr>
            </w:pPr>
          </w:p>
        </w:tc>
      </w:tr>
      <w:tr>
        <w:trPr>
          <w:trHeight w:val="40"/>
        </w:trPr>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 CENTERS:</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w:t>
            </w:r>
          </w:p>
        </w:tc>
        <w:tc>
          <w:tcPr>
            <w:tcW w:w="980" w:type="dxa"/>
            <w:vAlign w:val="bottom"/>
            <w:gridSpan w:val="2"/>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Arrowhead Towne Center</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1993/2002</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2015</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1,078,000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472,000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99.1 %</w:t>
            </w: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color w:val="auto"/>
              </w:rPr>
              <w:t>Dillard's,</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color w:val="auto"/>
              </w:rPr>
              <w:t>JCPenney,</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Glendale,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w:t>
            </w:r>
          </w:p>
        </w:tc>
        <w:tc>
          <w:tcPr>
            <w:tcW w:w="980" w:type="dxa"/>
            <w:vAlign w:val="bottom"/>
            <w:gridSpan w:val="2"/>
            <w:shd w:val="clear" w:color="auto" w:fill="CCEEFF"/>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Danbury Fair Mall(4)</w:t>
            </w: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1986/2005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2016</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1,272,000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590,000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96.6 %</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20"/>
              <w:spacing w:after="0" w:line="127" w:lineRule="exact"/>
              <w:rPr>
                <w:sz w:val="20"/>
                <w:szCs w:val="20"/>
                <w:color w:val="auto"/>
              </w:rPr>
            </w:pPr>
            <w:r>
              <w:rPr>
                <w:rFonts w:ascii="Times New Roman" w:cs="Times New Roman" w:eastAsia="Times New Roman" w:hAnsi="Times New Roman"/>
                <w:sz w:val="12"/>
                <w:szCs w:val="12"/>
                <w:color w:val="auto"/>
              </w:rPr>
              <w:t>JCPenney,</w:t>
            </w:r>
          </w:p>
        </w:tc>
        <w:tc>
          <w:tcPr>
            <w:tcW w:w="1340" w:type="dxa"/>
            <w:vAlign w:val="bottom"/>
            <w:shd w:val="clear" w:color="auto" w:fill="CCEEFF"/>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Primark, Target</w:t>
            </w:r>
          </w:p>
        </w:tc>
        <w:tc>
          <w:tcPr>
            <w:tcW w:w="0" w:type="dxa"/>
            <w:vAlign w:val="bottom"/>
          </w:tcPr>
          <w:p>
            <w:pPr>
              <w:spacing w:after="0"/>
              <w:rPr>
                <w:sz w:val="1"/>
                <w:szCs w:val="1"/>
                <w:color w:val="auto"/>
              </w:rPr>
            </w:pPr>
          </w:p>
        </w:tc>
      </w:tr>
      <w:tr>
        <w:trPr>
          <w:trHeight w:val="221"/>
        </w:trPr>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Danbury, Connecticut</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w:t>
            </w:r>
          </w:p>
        </w:tc>
        <w:tc>
          <w:tcPr>
            <w:tcW w:w="980" w:type="dxa"/>
            <w:vAlign w:val="bottom"/>
            <w:gridSpan w:val="2"/>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Desert Sky Mall</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1981/2002</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2007</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737,000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271,000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95.8 %</w:t>
            </w: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2"/>
                <w:szCs w:val="12"/>
                <w:color w:val="auto"/>
              </w:rPr>
              <w:t>Burlington,</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La Curacao, Mercado</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Phoenix,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Dillard's</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de los Cielos</w:t>
            </w: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98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Eastland Mall(5)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1978/1998</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528,000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90.0 %</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Dillard's, Macy's</w:t>
            </w: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Evansville, Indiana</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w:t>
            </w:r>
          </w:p>
        </w:tc>
        <w:tc>
          <w:tcPr>
            <w:tcW w:w="980" w:type="dxa"/>
            <w:vAlign w:val="bottom"/>
            <w:gridSpan w:val="2"/>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Fashion District</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1977/2014</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2019</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802,000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574,000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79.4 %</w:t>
            </w: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Burlington, Primark</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Philadelphia(4)</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Philadelphia, Pennsylvania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98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Fashion Outlets of Chicago</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529,000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99.9 %</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Rosemont, Illinois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7</w:t>
            </w:r>
          </w:p>
        </w:tc>
        <w:tc>
          <w:tcPr>
            <w:tcW w:w="980" w:type="dxa"/>
            <w:vAlign w:val="bottom"/>
            <w:gridSpan w:val="2"/>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Fashion Outlets of Niagara</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1982/2011</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2014</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672,000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672,000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82.1 %</w:t>
            </w: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Falls USA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Niagara Falls, New York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8</w:t>
            </w:r>
          </w:p>
        </w:tc>
        <w:tc>
          <w:tcPr>
            <w:tcW w:w="980" w:type="dxa"/>
            <w:vAlign w:val="bottom"/>
            <w:gridSpan w:val="2"/>
            <w:shd w:val="clear" w:color="auto" w:fill="CCEEFF"/>
          </w:tcPr>
          <w:p>
            <w:pPr>
              <w:jc w:val="right"/>
              <w:ind w:right="244"/>
              <w:spacing w:after="0" w:line="136"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Freehold Raceway Mall</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1990/2005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2007</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1,537,000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849,000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94.0 %</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20"/>
              <w:spacing w:after="0" w:line="136" w:lineRule="exact"/>
              <w:rPr>
                <w:sz w:val="20"/>
                <w:szCs w:val="20"/>
                <w:color w:val="auto"/>
              </w:rPr>
            </w:pPr>
            <w:r>
              <w:rPr>
                <w:rFonts w:ascii="Times New Roman" w:cs="Times New Roman" w:eastAsia="Times New Roman" w:hAnsi="Times New Roman"/>
                <w:sz w:val="12"/>
                <w:szCs w:val="12"/>
                <w:color w:val="auto"/>
              </w:rPr>
              <w:t>JCPenney,</w:t>
            </w:r>
          </w:p>
        </w:tc>
        <w:tc>
          <w:tcPr>
            <w:tcW w:w="13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Manor House, Primark</w:t>
            </w:r>
          </w:p>
        </w:tc>
        <w:tc>
          <w:tcPr>
            <w:tcW w:w="0" w:type="dxa"/>
            <w:vAlign w:val="bottom"/>
          </w:tcPr>
          <w:p>
            <w:pPr>
              <w:spacing w:after="0"/>
              <w:rPr>
                <w:sz w:val="1"/>
                <w:szCs w:val="1"/>
                <w:color w:val="auto"/>
              </w:rPr>
            </w:pPr>
          </w:p>
        </w:tc>
      </w:tr>
      <w:tr>
        <w:trPr>
          <w:trHeight w:val="188"/>
        </w:trPr>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Freehold, New Jersey</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9</w:t>
            </w:r>
          </w:p>
        </w:tc>
        <w:tc>
          <w:tcPr>
            <w:tcW w:w="980" w:type="dxa"/>
            <w:vAlign w:val="bottom"/>
            <w:gridSpan w:val="2"/>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Fresno Fashion Fair</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1970/1996</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2006</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974,000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419,000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96.0 %</w:t>
            </w: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Forever 21, JCPenney,</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Fresno,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10</w:t>
            </w:r>
          </w:p>
        </w:tc>
        <w:tc>
          <w:tcPr>
            <w:tcW w:w="980" w:type="dxa"/>
            <w:vAlign w:val="bottom"/>
            <w:gridSpan w:val="2"/>
            <w:shd w:val="clear" w:color="auto" w:fill="CCEEFF"/>
          </w:tcPr>
          <w:p>
            <w:pPr>
              <w:jc w:val="right"/>
              <w:ind w:right="244"/>
              <w:spacing w:after="0" w:line="136"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Green Acres Mall(4)(5)(6)</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1956/2013</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Ongoing</w:t>
            </w: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2,058,000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956,000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96.5 %</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2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BJ's Wholesale Club,</w:t>
            </w:r>
          </w:p>
        </w:tc>
        <w:tc>
          <w:tcPr>
            <w:tcW w:w="0" w:type="dxa"/>
            <w:vAlign w:val="bottom"/>
          </w:tcPr>
          <w:p>
            <w:pPr>
              <w:spacing w:after="0"/>
              <w:rPr>
                <w:sz w:val="1"/>
                <w:szCs w:val="1"/>
                <w:color w:val="auto"/>
              </w:rPr>
            </w:pPr>
          </w:p>
        </w:tc>
      </w:tr>
      <w:tr>
        <w:trPr>
          <w:trHeight w:val="124"/>
        </w:trPr>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59"/>
              <w:spacing w:after="0" w:line="124"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Macy's (two), Primark,</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Valley Stream, New York</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9"/>
              </w:rPr>
              <w:t>Walmart</w:t>
            </w:r>
          </w:p>
        </w:tc>
        <w:tc>
          <w:tcPr>
            <w:tcW w:w="0" w:type="dxa"/>
            <w:vAlign w:val="bottom"/>
          </w:tcPr>
          <w:p>
            <w:pPr>
              <w:spacing w:after="0"/>
              <w:rPr>
                <w:sz w:val="1"/>
                <w:szCs w:val="1"/>
                <w:color w:val="auto"/>
              </w:rPr>
            </w:pPr>
          </w:p>
        </w:tc>
      </w:tr>
      <w:tr>
        <w:trPr>
          <w:trHeight w:val="100"/>
        </w:trPr>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59"/>
        </w:trPr>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980" w:type="dxa"/>
            <w:vAlign w:val="bottom"/>
            <w:gridSpan w:val="2"/>
          </w:tcPr>
          <w:p>
            <w:pPr>
              <w:jc w:val="right"/>
              <w:ind w:right="244"/>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Inland Center</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1966/2004</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270,000</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95.4 %</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Forever 21, JCPenney</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 Bernardino,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12</w:t>
            </w:r>
          </w:p>
        </w:tc>
        <w:tc>
          <w:tcPr>
            <w:tcW w:w="980" w:type="dxa"/>
            <w:vAlign w:val="bottom"/>
            <w:gridSpan w:val="2"/>
            <w:shd w:val="clear" w:color="auto" w:fill="CCEEFF"/>
          </w:tcPr>
          <w:p>
            <w:pPr>
              <w:jc w:val="right"/>
              <w:ind w:right="244"/>
              <w:spacing w:after="0" w:line="136"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Kings Plaza Shopping</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1971/2012</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2018</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1,145,000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444,000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98.7 %</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00"/>
              <w:spacing w:after="0" w:line="136" w:lineRule="exact"/>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Burlington, Lowe's,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Center(5)</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Primark, Target</w:t>
            </w:r>
          </w:p>
        </w:tc>
        <w:tc>
          <w:tcPr>
            <w:tcW w:w="0" w:type="dxa"/>
            <w:vAlign w:val="bottom"/>
          </w:tcPr>
          <w:p>
            <w:pPr>
              <w:spacing w:after="0"/>
              <w:rPr>
                <w:sz w:val="1"/>
                <w:szCs w:val="1"/>
                <w:color w:val="auto"/>
              </w:rPr>
            </w:pPr>
          </w:p>
        </w:tc>
      </w:tr>
      <w:tr>
        <w:trPr>
          <w:trHeight w:val="188"/>
        </w:trPr>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Brooklyn, New York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980" w:type="dxa"/>
            <w:vAlign w:val="bottom"/>
            <w:gridSpan w:val="2"/>
          </w:tcPr>
          <w:p>
            <w:pPr>
              <w:jc w:val="right"/>
              <w:ind w:right="244"/>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 Cumbre Plaza(5)</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1967/2004</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94.8 %</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 Barbara,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14</w:t>
            </w:r>
          </w:p>
        </w:tc>
        <w:tc>
          <w:tcPr>
            <w:tcW w:w="980" w:type="dxa"/>
            <w:vAlign w:val="bottom"/>
            <w:gridSpan w:val="2"/>
            <w:shd w:val="clear" w:color="auto" w:fill="CCEEFF"/>
          </w:tcPr>
          <w:p>
            <w:pPr>
              <w:jc w:val="right"/>
              <w:ind w:right="244"/>
              <w:spacing w:after="0" w:line="136"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Lakewood Center</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1953/1975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2008</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2,048,000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983,000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92.6 %</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2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Costco, Forever 21,</w:t>
            </w:r>
          </w:p>
        </w:tc>
        <w:tc>
          <w:tcPr>
            <w:tcW w:w="0" w:type="dxa"/>
            <w:vAlign w:val="bottom"/>
          </w:tcPr>
          <w:p>
            <w:pPr>
              <w:spacing w:after="0"/>
              <w:rPr>
                <w:sz w:val="1"/>
                <w:szCs w:val="1"/>
                <w:color w:val="auto"/>
              </w:rPr>
            </w:pPr>
          </w:p>
        </w:tc>
      </w:tr>
      <w:tr>
        <w:trPr>
          <w:trHeight w:val="124"/>
        </w:trPr>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59"/>
              <w:spacing w:after="0" w:line="124" w:lineRule="exact"/>
              <w:rPr>
                <w:sz w:val="20"/>
                <w:szCs w:val="20"/>
                <w:color w:val="auto"/>
              </w:rPr>
            </w:pPr>
            <w:r>
              <w:rPr>
                <w:rFonts w:ascii="Times New Roman" w:cs="Times New Roman" w:eastAsia="Times New Roman" w:hAnsi="Times New Roman"/>
                <w:sz w:val="12"/>
                <w:szCs w:val="12"/>
                <w:color w:val="auto"/>
              </w:rPr>
              <w:t>Home Depot,</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Lakewood, California</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JCPenney, Macy's,</w:t>
            </w:r>
          </w:p>
        </w:tc>
        <w:tc>
          <w:tcPr>
            <w:tcW w:w="0" w:type="dxa"/>
            <w:vAlign w:val="bottom"/>
          </w:tcPr>
          <w:p>
            <w:pPr>
              <w:spacing w:after="0"/>
              <w:rPr>
                <w:sz w:val="1"/>
                <w:szCs w:val="1"/>
                <w:color w:val="auto"/>
              </w:rPr>
            </w:pPr>
          </w:p>
        </w:tc>
      </w:tr>
      <w:tr>
        <w:trPr>
          <w:trHeight w:val="102"/>
        </w:trPr>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58"/>
        </w:trPr>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15</w:t>
            </w:r>
          </w:p>
        </w:tc>
        <w:tc>
          <w:tcPr>
            <w:tcW w:w="980" w:type="dxa"/>
            <w:vAlign w:val="bottom"/>
            <w:gridSpan w:val="2"/>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Los Cerritos Center(6)</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1971/1999</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1,012,000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537,000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95.2 %</w:t>
            </w: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color w:val="auto"/>
              </w:rPr>
              <w:t>Macy's,</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Nordstrom</w:t>
            </w: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Forever 21</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Cerritos, California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16</w:t>
            </w:r>
          </w:p>
        </w:tc>
        <w:tc>
          <w:tcPr>
            <w:tcW w:w="980" w:type="dxa"/>
            <w:vAlign w:val="bottom"/>
            <w:gridSpan w:val="2"/>
            <w:shd w:val="clear" w:color="auto" w:fill="CCEEFF"/>
          </w:tcPr>
          <w:p>
            <w:pPr>
              <w:jc w:val="right"/>
              <w:ind w:right="244"/>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NorthPark Mall(4)</w:t>
            </w: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1973/1998</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2001</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855,000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320,000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95.9 %</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rPr>
              <w:t>Dillard's,</w:t>
            </w: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4"/>
        </w:trPr>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2"/>
                <w:szCs w:val="12"/>
                <w:color w:val="auto"/>
                <w:w w:val="99"/>
              </w:rPr>
              <w:t>JCPenney, Von</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Davenport, Iowa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Maur</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980" w:type="dxa"/>
            <w:vAlign w:val="bottom"/>
            <w:gridSpan w:val="2"/>
          </w:tcPr>
          <w:p>
            <w:pPr>
              <w:jc w:val="right"/>
              <w:ind w:right="244"/>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Pacific View</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1965/1996</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80.0 %</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JCPenney, Target</w:t>
            </w: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66"/>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Ventura, California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17"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Year of</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Year of Most</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Mall and</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9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8"/>
              </w:rPr>
              <w:t>Recent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of Mall and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Non-Owned</w:t>
            </w:r>
          </w:p>
        </w:tc>
        <w:tc>
          <w:tcPr>
            <w:tcW w:w="100" w:type="dxa"/>
            <w:vAlign w:val="bottom"/>
          </w:tcPr>
          <w:p>
            <w:pPr>
              <w:spacing w:after="0"/>
              <w:rPr>
                <w:sz w:val="9"/>
                <w:szCs w:val="9"/>
                <w:color w:val="auto"/>
              </w:rPr>
            </w:pPr>
          </w:p>
        </w:tc>
        <w:tc>
          <w:tcPr>
            <w:tcW w:w="138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5"/>
              </w:rPr>
              <w:t>Company-Owned Anchors</w:t>
            </w:r>
          </w:p>
        </w:tc>
        <w:tc>
          <w:tcPr>
            <w:tcW w:w="0" w:type="dxa"/>
            <w:vAlign w:val="bottom"/>
          </w:tcPr>
          <w:p>
            <w:pPr>
              <w:spacing w:after="0"/>
              <w:rPr>
                <w:sz w:val="1"/>
                <w:szCs w:val="1"/>
                <w:color w:val="auto"/>
              </w:rPr>
            </w:pPr>
          </w:p>
        </w:tc>
      </w:tr>
      <w:tr>
        <w:trPr>
          <w:trHeight w:val="105"/>
        </w:trPr>
        <w:tc>
          <w:tcPr>
            <w:tcW w:w="460" w:type="dxa"/>
            <w:vAlign w:val="bottom"/>
            <w:vMerge w:val="restart"/>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w w:val="95"/>
              </w:rPr>
              <w:t>Count</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Construction/</w:t>
            </w:r>
          </w:p>
        </w:tc>
        <w:tc>
          <w:tcPr>
            <w:tcW w:w="9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8"/>
              </w:rPr>
              <w:t>Expansion/</w:t>
            </w:r>
          </w:p>
        </w:tc>
        <w:tc>
          <w:tcPr>
            <w:tcW w:w="1000" w:type="dxa"/>
            <w:vAlign w:val="bottom"/>
            <w:gridSpan w:val="2"/>
            <w:vMerge w:val="continue"/>
          </w:tcPr>
          <w:p>
            <w:pPr>
              <w:spacing w:after="0"/>
              <w:rPr>
                <w:sz w:val="9"/>
                <w:szCs w:val="9"/>
                <w:color w:val="auto"/>
              </w:rPr>
            </w:pPr>
          </w:p>
        </w:tc>
        <w:tc>
          <w:tcPr>
            <w:tcW w:w="1040" w:type="dxa"/>
            <w:vAlign w:val="bottom"/>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3"/>
              </w:rPr>
              <w:t>Freestanding</w:t>
            </w: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Center/Location(2)</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Acquisition</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Renovation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GLA(3)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GLA</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Anchors (3)</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0" w:type="dxa"/>
            <w:vAlign w:val="bottom"/>
          </w:tcPr>
          <w:p>
            <w:pPr>
              <w:spacing w:after="0"/>
              <w:rPr>
                <w:sz w:val="1"/>
                <w:szCs w:val="1"/>
                <w:color w:val="auto"/>
              </w:rPr>
            </w:pPr>
          </w:p>
        </w:tc>
      </w:tr>
      <w:tr>
        <w:trPr>
          <w:trHeight w:val="40"/>
        </w:trPr>
        <w:tc>
          <w:tcPr>
            <w:tcW w:w="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460" w:type="dxa"/>
            <w:vAlign w:val="bottom"/>
            <w:shd w:val="clear" w:color="auto" w:fill="CCEEFF"/>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18</w:t>
            </w:r>
          </w:p>
        </w:tc>
        <w:tc>
          <w:tcPr>
            <w:tcW w:w="980" w:type="dxa"/>
            <w:vAlign w:val="bottom"/>
            <w:gridSpan w:val="2"/>
            <w:shd w:val="clear" w:color="auto" w:fill="CCEEFF"/>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Queens Center(5)</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1973/1995</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2004</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967,000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410,000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99.5 %</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JCPenney,</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Macy's</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Queens, New York</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6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19</w:t>
            </w:r>
          </w:p>
        </w:tc>
        <w:tc>
          <w:tcPr>
            <w:tcW w:w="980" w:type="dxa"/>
            <w:vAlign w:val="bottom"/>
            <w:gridSpan w:val="2"/>
          </w:tcPr>
          <w:p>
            <w:pPr>
              <w:jc w:val="center"/>
              <w:ind w:left="59"/>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 Monica Place(4)</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1980/1999</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Ongoing</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84.0 %</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Nordstrom</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 Monica,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60" w:type="dxa"/>
            <w:vAlign w:val="bottom"/>
            <w:shd w:val="clear" w:color="auto" w:fill="CCEEFF"/>
          </w:tcPr>
          <w:p>
            <w:pPr>
              <w:jc w:val="right"/>
              <w:ind w:right="99"/>
              <w:spacing w:after="0" w:line="127" w:lineRule="exact"/>
              <w:rPr>
                <w:sz w:val="20"/>
                <w:szCs w:val="20"/>
                <w:color w:val="auto"/>
              </w:rPr>
            </w:pPr>
            <w:r>
              <w:rPr>
                <w:rFonts w:ascii="Times New Roman" w:cs="Times New Roman" w:eastAsia="Times New Roman" w:hAnsi="Times New Roman"/>
                <w:sz w:val="12"/>
                <w:szCs w:val="12"/>
                <w:color w:val="auto"/>
              </w:rPr>
              <w:t>20</w:t>
            </w:r>
          </w:p>
        </w:tc>
        <w:tc>
          <w:tcPr>
            <w:tcW w:w="980" w:type="dxa"/>
            <w:vAlign w:val="bottom"/>
            <w:gridSpan w:val="2"/>
            <w:shd w:val="clear" w:color="auto" w:fill="CCEEFF"/>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rPr>
              <w:t>84.9%</w:t>
            </w:r>
          </w:p>
        </w:tc>
        <w:tc>
          <w:tcPr>
            <w:tcW w:w="1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SanTan Village Regional</w:t>
            </w:r>
          </w:p>
        </w:tc>
        <w:tc>
          <w:tcPr>
            <w:tcW w:w="1000" w:type="dxa"/>
            <w:vAlign w:val="bottom"/>
            <w:gridSpan w:val="2"/>
            <w:shd w:val="clear" w:color="auto" w:fill="CCEEFF"/>
          </w:tcPr>
          <w:p>
            <w:pPr>
              <w:jc w:val="right"/>
              <w:ind w:right="120"/>
              <w:spacing w:after="0" w:line="127" w:lineRule="exact"/>
              <w:rPr>
                <w:sz w:val="20"/>
                <w:szCs w:val="20"/>
                <w:color w:val="auto"/>
              </w:rPr>
            </w:pPr>
            <w:r>
              <w:rPr>
                <w:rFonts w:ascii="Times New Roman" w:cs="Times New Roman" w:eastAsia="Times New Roman" w:hAnsi="Times New Roman"/>
                <w:sz w:val="12"/>
                <w:szCs w:val="12"/>
                <w:color w:val="auto"/>
              </w:rPr>
              <w:t>2007/—</w:t>
            </w:r>
          </w:p>
        </w:tc>
        <w:tc>
          <w:tcPr>
            <w:tcW w:w="8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1,200,000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793,000</w:t>
            </w:r>
          </w:p>
        </w:tc>
        <w:tc>
          <w:tcPr>
            <w:tcW w:w="106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96.8 %</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rPr>
              <w:t>Dillard's, Macy's</w:t>
            </w: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Center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Gilbert, Arizona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21</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South Plains Mall(4)</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1972/1998</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2017</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1,315,000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493,000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91.7 %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rPr>
              <w:t>Dillard's, Home</w:t>
            </w:r>
          </w:p>
        </w:tc>
        <w:tc>
          <w:tcPr>
            <w:tcW w:w="100" w:type="dxa"/>
            <w:vAlign w:val="bottom"/>
          </w:tcPr>
          <w:p>
            <w:pPr>
              <w:spacing w:after="0"/>
              <w:rPr>
                <w:sz w:val="10"/>
                <w:szCs w:val="10"/>
                <w:color w:val="auto"/>
              </w:rPr>
            </w:pPr>
          </w:p>
        </w:tc>
        <w:tc>
          <w:tcPr>
            <w:tcW w:w="138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Lubbock, Texas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Depot</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22</w:t>
            </w:r>
          </w:p>
        </w:tc>
        <w:tc>
          <w:tcPr>
            <w:tcW w:w="980" w:type="dxa"/>
            <w:vAlign w:val="bottom"/>
            <w:gridSpan w:val="2"/>
            <w:shd w:val="clear" w:color="auto" w:fill="CCEEFF"/>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SouthPark Mall(4)</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1974/1998</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802,000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290,000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64.8 %</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Dillard's, Von</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Moline, Illinois</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Maur</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23"/>
        </w:trPr>
        <w:tc>
          <w:tcPr>
            <w:tcW w:w="4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gridSpan w:val="2"/>
            <w:vMerge w:val="continue"/>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23</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Stonewood Center(4)(5)</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1953/1997</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1991</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926,000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355,000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94.6 %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0"/>
                <w:szCs w:val="10"/>
                <w:color w:val="auto"/>
              </w:rPr>
            </w:pPr>
          </w:p>
        </w:tc>
        <w:tc>
          <w:tcPr>
            <w:tcW w:w="138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JCPenney, Kohl's,</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Downey, California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24</w:t>
            </w:r>
          </w:p>
        </w:tc>
        <w:tc>
          <w:tcPr>
            <w:tcW w:w="980" w:type="dxa"/>
            <w:vAlign w:val="bottom"/>
            <w:gridSpan w:val="2"/>
            <w:shd w:val="clear" w:color="auto" w:fill="CCEEFF"/>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Superstition Springs</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1990/2002</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2002</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954,000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382,000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87.7 %</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Dillard's,</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Center(4)</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JCPenney,</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Mesa, Arizona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Macy's</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25</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Valley Mall</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1978/1998</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1992</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507,000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192,000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89.5 %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rPr>
              <w:t>Target</w:t>
            </w:r>
          </w:p>
        </w:tc>
        <w:tc>
          <w:tcPr>
            <w:tcW w:w="100" w:type="dxa"/>
            <w:vAlign w:val="bottom"/>
          </w:tcPr>
          <w:p>
            <w:pPr>
              <w:spacing w:after="0"/>
              <w:rPr>
                <w:sz w:val="10"/>
                <w:szCs w:val="10"/>
                <w:color w:val="auto"/>
              </w:rPr>
            </w:pPr>
          </w:p>
        </w:tc>
        <w:tc>
          <w:tcPr>
            <w:tcW w:w="138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Belk, Dick's Sporting</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Harrisonburg, Virginia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Goods, JCPenney</w:t>
            </w:r>
          </w:p>
        </w:tc>
        <w:tc>
          <w:tcPr>
            <w:tcW w:w="0" w:type="dxa"/>
            <w:vAlign w:val="bottom"/>
          </w:tcPr>
          <w:p>
            <w:pPr>
              <w:spacing w:after="0"/>
              <w:rPr>
                <w:sz w:val="1"/>
                <w:szCs w:val="1"/>
                <w:color w:val="auto"/>
              </w:rPr>
            </w:pPr>
          </w:p>
        </w:tc>
      </w:tr>
      <w:tr>
        <w:trPr>
          <w:trHeight w:val="87"/>
        </w:trPr>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26</w:t>
            </w:r>
          </w:p>
        </w:tc>
        <w:tc>
          <w:tcPr>
            <w:tcW w:w="980" w:type="dxa"/>
            <w:vAlign w:val="bottom"/>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Valley River Center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1969/2006</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96.6 %</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Macy's</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347"/>
        </w:trPr>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Eugene, Oregon</w:t>
            </w: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27</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Victor Valley, Mall of(4)</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1986/2004</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2012</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577,000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258,000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98.9 %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00" w:type="dxa"/>
            <w:vAlign w:val="bottom"/>
          </w:tcPr>
          <w:p>
            <w:pPr>
              <w:spacing w:after="0"/>
              <w:rPr>
                <w:sz w:val="10"/>
                <w:szCs w:val="10"/>
                <w:color w:val="auto"/>
              </w:rPr>
            </w:pPr>
          </w:p>
        </w:tc>
        <w:tc>
          <w:tcPr>
            <w:tcW w:w="138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Victorville, California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28</w:t>
            </w:r>
          </w:p>
        </w:tc>
        <w:tc>
          <w:tcPr>
            <w:tcW w:w="980" w:type="dxa"/>
            <w:vAlign w:val="bottom"/>
            <w:gridSpan w:val="2"/>
            <w:shd w:val="clear" w:color="auto" w:fill="CCEEFF"/>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Vintage Faire Mall</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1977/1996</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916,000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472,000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98.1 %</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Modesto, California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JCPenney, Macy's</w:t>
            </w:r>
          </w:p>
        </w:tc>
        <w:tc>
          <w:tcPr>
            <w:tcW w:w="0" w:type="dxa"/>
            <w:vAlign w:val="bottom"/>
          </w:tcPr>
          <w:p>
            <w:pPr>
              <w:spacing w:after="0"/>
              <w:rPr>
                <w:sz w:val="1"/>
                <w:szCs w:val="1"/>
                <w:color w:val="auto"/>
              </w:rPr>
            </w:pPr>
          </w:p>
        </w:tc>
      </w:tr>
      <w:tr>
        <w:trPr>
          <w:trHeight w:val="87"/>
        </w:trPr>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29</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Washington Square(6)</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1974/1999</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2005</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1,300,000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577,000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97.1 %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00" w:type="dxa"/>
            <w:vAlign w:val="bottom"/>
          </w:tcPr>
          <w:p>
            <w:pPr>
              <w:spacing w:after="0"/>
              <w:rPr>
                <w:sz w:val="10"/>
                <w:szCs w:val="10"/>
                <w:color w:val="auto"/>
              </w:rPr>
            </w:pPr>
          </w:p>
        </w:tc>
        <w:tc>
          <w:tcPr>
            <w:tcW w:w="138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Portland, Oregon</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JCPenney, Nordstrom</w:t>
            </w:r>
          </w:p>
        </w:tc>
        <w:tc>
          <w:tcPr>
            <w:tcW w:w="0" w:type="dxa"/>
            <w:vAlign w:val="bottom"/>
          </w:tcPr>
          <w:p>
            <w:pPr>
              <w:spacing w:after="0"/>
              <w:rPr>
                <w:sz w:val="1"/>
                <w:szCs w:val="1"/>
                <w:color w:val="auto"/>
              </w:rPr>
            </w:pPr>
          </w:p>
        </w:tc>
      </w:tr>
      <w:tr>
        <w:trPr>
          <w:trHeight w:val="87"/>
        </w:trPr>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30</w:t>
            </w:r>
          </w:p>
        </w:tc>
        <w:tc>
          <w:tcPr>
            <w:tcW w:w="980" w:type="dxa"/>
            <w:vAlign w:val="bottom"/>
            <w:gridSpan w:val="2"/>
            <w:shd w:val="clear" w:color="auto" w:fill="CCEEFF"/>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Wilton Mall(4)</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1990/2005</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740,000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421,000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95.2 %</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JCPenney, BJ's</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Saratoga Springs, New</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Wholesale Club</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20" w:type="dxa"/>
            <w:vAlign w:val="bottom"/>
            <w:gridSpan w:val="2"/>
            <w:vMerge w:val="continue"/>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York</w:t>
            </w: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Consolidated Centers</w:t>
            </w: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29,166,000</w:t>
            </w:r>
          </w:p>
        </w:tc>
        <w:tc>
          <w:tcPr>
            <w:tcW w:w="10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14,403,000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93.7 %</w:t>
            </w:r>
          </w:p>
        </w:tc>
        <w:tc>
          <w:tcPr>
            <w:tcW w:w="1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UNCONSOLIDATED JOINT VENTURE CENTERS:</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31</w:t>
            </w:r>
          </w:p>
        </w:tc>
        <w:tc>
          <w:tcPr>
            <w:tcW w:w="980" w:type="dxa"/>
            <w:vAlign w:val="bottom"/>
            <w:gridSpan w:val="2"/>
          </w:tcPr>
          <w:p>
            <w:pPr>
              <w:jc w:val="center"/>
              <w:ind w:left="59"/>
              <w:spacing w:after="0"/>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Broadway Plaza(4)(6)</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1951/1985</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96.0 %</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Macy's</w:t>
            </w:r>
          </w:p>
        </w:tc>
        <w:tc>
          <w:tcPr>
            <w:tcW w:w="100" w:type="dxa"/>
            <w:vAlign w:val="bottom"/>
          </w:tcPr>
          <w:p>
            <w:pPr>
              <w:spacing w:after="0"/>
              <w:rPr>
                <w:sz w:val="13"/>
                <w:szCs w:val="13"/>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Nordstrom</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Walnut Creek, California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32</w:t>
            </w:r>
          </w:p>
        </w:tc>
        <w:tc>
          <w:tcPr>
            <w:tcW w:w="980" w:type="dxa"/>
            <w:vAlign w:val="bottom"/>
            <w:gridSpan w:val="2"/>
            <w:shd w:val="clear" w:color="auto" w:fill="CCEEFF"/>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50.1%</w:t>
            </w: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Chandler Fashion Center(4)</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2001/2002</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2023</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1,401,000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682,000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97.2 %</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Dillard's, Macy's,</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Scheels All</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Chandler, Arizona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Sports</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33</w:t>
            </w:r>
          </w:p>
        </w:tc>
        <w:tc>
          <w:tcPr>
            <w:tcW w:w="980" w:type="dxa"/>
            <w:vAlign w:val="bottom"/>
            <w:gridSpan w:val="2"/>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50.1%</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Corte Madera, The Village</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1985/1998</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501,000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265,000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97.7 %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00" w:type="dxa"/>
            <w:vAlign w:val="bottom"/>
          </w:tcPr>
          <w:p>
            <w:pPr>
              <w:spacing w:after="0"/>
              <w:rPr>
                <w:sz w:val="10"/>
                <w:szCs w:val="10"/>
                <w:color w:val="auto"/>
              </w:rPr>
            </w:pPr>
          </w:p>
        </w:tc>
        <w:tc>
          <w:tcPr>
            <w:tcW w:w="138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Nordstrom</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Corte Madera, California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34</w:t>
            </w:r>
          </w:p>
        </w:tc>
        <w:tc>
          <w:tcPr>
            <w:tcW w:w="980" w:type="dxa"/>
            <w:vAlign w:val="bottom"/>
            <w:gridSpan w:val="2"/>
            <w:shd w:val="clear" w:color="auto" w:fill="CCEEFF"/>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w w:val="99"/>
              </w:rPr>
              <w:t>51%</w:t>
            </w:r>
          </w:p>
        </w:tc>
        <w:tc>
          <w:tcPr>
            <w:tcW w:w="1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Deptford Mall</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1975/2006</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1,008,000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435,000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97.7 %</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JCPenney,</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Boscov's, Dick's</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Deptford, New Jersey</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Macy's</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Sporting Goods</w:t>
            </w:r>
          </w:p>
        </w:tc>
        <w:tc>
          <w:tcPr>
            <w:tcW w:w="0" w:type="dxa"/>
            <w:vAlign w:val="bottom"/>
          </w:tcPr>
          <w:p>
            <w:pPr>
              <w:spacing w:after="0"/>
              <w:rPr>
                <w:sz w:val="1"/>
                <w:szCs w:val="1"/>
                <w:color w:val="auto"/>
              </w:rPr>
            </w:pPr>
          </w:p>
        </w:tc>
      </w:tr>
      <w:tr>
        <w:trPr>
          <w:trHeight w:val="123"/>
        </w:trPr>
        <w:tc>
          <w:tcPr>
            <w:tcW w:w="4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gridSpan w:val="2"/>
            <w:vMerge w:val="continue"/>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35</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w w:val="99"/>
              </w:rPr>
              <w:t>51%</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FlatIron Crossing(4)</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2000/2002</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2"/>
                <w:szCs w:val="12"/>
                <w:color w:val="auto"/>
              </w:rPr>
              <w:t>Ongoing</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1,390,000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690,000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93.6 %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rPr>
              <w:t>Dillard's, Macy's</w:t>
            </w:r>
          </w:p>
        </w:tc>
        <w:tc>
          <w:tcPr>
            <w:tcW w:w="100" w:type="dxa"/>
            <w:vAlign w:val="bottom"/>
          </w:tcPr>
          <w:p>
            <w:pPr>
              <w:spacing w:after="0"/>
              <w:rPr>
                <w:sz w:val="10"/>
                <w:szCs w:val="10"/>
                <w:color w:val="auto"/>
              </w:rPr>
            </w:pPr>
          </w:p>
        </w:tc>
        <w:tc>
          <w:tcPr>
            <w:tcW w:w="138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Forever 21</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Broomfield, Colorado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36</w:t>
            </w:r>
          </w:p>
        </w:tc>
        <w:tc>
          <w:tcPr>
            <w:tcW w:w="980" w:type="dxa"/>
            <w:vAlign w:val="bottom"/>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Kierland Commons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1999/2005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98.9 %</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83"/>
        </w:trPr>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Phoenix, Arizona</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37</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Scottsdale Fashion Square</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1961/2002</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2"/>
                <w:szCs w:val="12"/>
                <w:color w:val="auto"/>
              </w:rPr>
              <w:t>Ongoing</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1,875,000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915,000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96.7 %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rPr>
              <w:t>Dillard's</w:t>
            </w:r>
          </w:p>
        </w:tc>
        <w:tc>
          <w:tcPr>
            <w:tcW w:w="100" w:type="dxa"/>
            <w:vAlign w:val="bottom"/>
          </w:tcPr>
          <w:p>
            <w:pPr>
              <w:spacing w:after="0"/>
              <w:rPr>
                <w:sz w:val="10"/>
                <w:szCs w:val="10"/>
                <w:color w:val="auto"/>
              </w:rPr>
            </w:pPr>
          </w:p>
        </w:tc>
        <w:tc>
          <w:tcPr>
            <w:tcW w:w="138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Macy's, Neiman</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Scottsdale,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Marcus, Nordstrom</w:t>
            </w:r>
          </w:p>
        </w:tc>
        <w:tc>
          <w:tcPr>
            <w:tcW w:w="0" w:type="dxa"/>
            <w:vAlign w:val="bottom"/>
          </w:tcPr>
          <w:p>
            <w:pPr>
              <w:spacing w:after="0"/>
              <w:rPr>
                <w:sz w:val="1"/>
                <w:szCs w:val="1"/>
                <w:color w:val="auto"/>
              </w:rPr>
            </w:pPr>
          </w:p>
        </w:tc>
      </w:tr>
      <w:tr>
        <w:trPr>
          <w:trHeight w:val="74"/>
        </w:trPr>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38</w:t>
            </w:r>
          </w:p>
        </w:tc>
        <w:tc>
          <w:tcPr>
            <w:tcW w:w="980" w:type="dxa"/>
            <w:vAlign w:val="bottom"/>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2"/>
                <w:szCs w:val="12"/>
                <w:color w:val="auto"/>
                <w:w w:val="99"/>
              </w:rPr>
              <w:t>51%</w:t>
            </w: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Twenty Ninth Street(5)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1963/1979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95.3 %</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Home Depot</w:t>
            </w:r>
          </w:p>
        </w:tc>
        <w:tc>
          <w:tcPr>
            <w:tcW w:w="0" w:type="dxa"/>
            <w:vAlign w:val="bottom"/>
          </w:tcPr>
          <w:p>
            <w:pPr>
              <w:spacing w:after="0"/>
              <w:rPr>
                <w:sz w:val="1"/>
                <w:szCs w:val="1"/>
                <w:color w:val="auto"/>
              </w:rPr>
            </w:pPr>
          </w:p>
        </w:tc>
      </w:tr>
      <w:tr>
        <w:trPr>
          <w:trHeight w:val="347"/>
        </w:trPr>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Boulder, Colorado</w:t>
            </w: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right"/>
              <w:ind w:right="99"/>
              <w:spacing w:after="0" w:line="119" w:lineRule="exact"/>
              <w:rPr>
                <w:sz w:val="20"/>
                <w:szCs w:val="20"/>
                <w:color w:val="auto"/>
              </w:rPr>
            </w:pPr>
            <w:r>
              <w:rPr>
                <w:rFonts w:ascii="Times New Roman" w:cs="Times New Roman" w:eastAsia="Times New Roman" w:hAnsi="Times New Roman"/>
                <w:sz w:val="12"/>
                <w:szCs w:val="12"/>
                <w:color w:val="auto"/>
              </w:rPr>
              <w:t>39</w:t>
            </w:r>
          </w:p>
        </w:tc>
        <w:tc>
          <w:tcPr>
            <w:tcW w:w="980" w:type="dxa"/>
            <w:vAlign w:val="bottom"/>
            <w:gridSpan w:val="2"/>
          </w:tcPr>
          <w:p>
            <w:pPr>
              <w:jc w:val="center"/>
              <w:ind w:left="59"/>
              <w:spacing w:after="0" w:line="119" w:lineRule="exact"/>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0"/>
                <w:szCs w:val="10"/>
                <w:color w:val="auto"/>
              </w:rPr>
            </w:pPr>
          </w:p>
        </w:tc>
        <w:tc>
          <w:tcPr>
            <w:tcW w:w="1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Tysons Corner Center(6)</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1968/2005</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2014</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1,846,000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1,106,000</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96.2 %</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0"/>
                <w:szCs w:val="10"/>
                <w:color w:val="auto"/>
              </w:rPr>
            </w:pPr>
          </w:p>
        </w:tc>
        <w:tc>
          <w:tcPr>
            <w:tcW w:w="138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Bloomingdale's, Macy's,</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Nordstrom, Primark</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2"/>
          <w:szCs w:val="12"/>
          <w:color w:val="auto"/>
        </w:rPr>
        <w:t>Tysons Corner, Virginia</w:t>
      </w:r>
    </w:p>
    <w:p>
      <w:pPr>
        <w:sectPr>
          <w:pgSz w:w="11900" w:h="16838" w:orient="portrait"/>
          <w:cols w:equalWidth="0" w:num="1">
            <w:col w:w="10600"/>
          </w:cols>
          <w:pgMar w:left="760" w:top="84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00"/>
          </w:cols>
          <w:pgMar w:left="760" w:top="843" w:right="539" w:bottom="1440" w:gutter="0" w:footer="0" w:header="0"/>
          <w:type w:val="continuous"/>
        </w:sectPr>
      </w:pPr>
    </w:p>
    <w:bookmarkStart w:id="32" w:name="page33"/>
    <w:bookmarkEnd w:id="32"/>
    <w:tbl>
      <w:tblPr>
        <w:tblLayout w:type="fixed"/>
        <w:tblInd w:w="440" w:type="dxa"/>
        <w:tblCellMar>
          <w:top w:w="0" w:type="dxa"/>
          <w:left w:w="0" w:type="dxa"/>
          <w:bottom w:w="0" w:type="dxa"/>
          <w:right w:w="0" w:type="dxa"/>
        </w:tblCellMar>
      </w:tblPr>
      <w:tr>
        <w:trPr>
          <w:trHeight w:val="126"/>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0"/>
              </w:rPr>
              <w:t>Year of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Year of Most</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Mall and</w:t>
            </w:r>
          </w:p>
        </w:tc>
        <w:tc>
          <w:tcPr>
            <w:tcW w:w="120" w:type="dxa"/>
            <w:vAlign w:val="bottom"/>
          </w:tcPr>
          <w:p>
            <w:pPr>
              <w:spacing w:after="0"/>
              <w:rPr>
                <w:sz w:val="11"/>
                <w:szCs w:val="1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Percentage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6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Name of</w:t>
            </w:r>
          </w:p>
        </w:tc>
        <w:tc>
          <w:tcPr>
            <w:tcW w:w="90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8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2"/>
              </w:rPr>
              <w:t>Recent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of Mall and</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Non-Owned</w:t>
            </w:r>
          </w:p>
        </w:tc>
        <w:tc>
          <w:tcPr>
            <w:tcW w:w="136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Company-Owned Anchors</w:t>
            </w:r>
          </w:p>
        </w:tc>
        <w:tc>
          <w:tcPr>
            <w:tcW w:w="0" w:type="dxa"/>
            <w:vAlign w:val="bottom"/>
          </w:tcPr>
          <w:p>
            <w:pPr>
              <w:spacing w:after="0"/>
              <w:rPr>
                <w:sz w:val="1"/>
                <w:szCs w:val="1"/>
                <w:color w:val="auto"/>
              </w:rPr>
            </w:pPr>
          </w:p>
        </w:tc>
      </w:tr>
      <w:tr>
        <w:trPr>
          <w:trHeight w:val="10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90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Construction/</w:t>
            </w:r>
          </w:p>
        </w:tc>
        <w:tc>
          <w:tcPr>
            <w:tcW w:w="8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4"/>
              </w:rPr>
              <w:t>Expansion/</w:t>
            </w:r>
          </w:p>
        </w:tc>
        <w:tc>
          <w:tcPr>
            <w:tcW w:w="1000" w:type="dxa"/>
            <w:vAlign w:val="bottom"/>
            <w:gridSpan w:val="2"/>
            <w:vMerge w:val="continue"/>
          </w:tcPr>
          <w:p>
            <w:pPr>
              <w:spacing w:after="0"/>
              <w:rPr>
                <w:sz w:val="9"/>
                <w:szCs w:val="9"/>
                <w:color w:val="auto"/>
              </w:rPr>
            </w:pPr>
          </w:p>
        </w:tc>
        <w:tc>
          <w:tcPr>
            <w:tcW w:w="1040" w:type="dxa"/>
            <w:vAlign w:val="bottom"/>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3"/>
              </w:rPr>
              <w:t>Freestanding</w:t>
            </w:r>
          </w:p>
        </w:tc>
        <w:tc>
          <w:tcPr>
            <w:tcW w:w="120" w:type="dxa"/>
            <w:vAlign w:val="bottom"/>
          </w:tcPr>
          <w:p>
            <w:pPr>
              <w:spacing w:after="0"/>
              <w:rPr>
                <w:sz w:val="9"/>
                <w:szCs w:val="9"/>
                <w:color w:val="auto"/>
              </w:rPr>
            </w:pPr>
          </w:p>
        </w:tc>
        <w:tc>
          <w:tcPr>
            <w:tcW w:w="10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00" w:type="dxa"/>
            <w:vAlign w:val="bottom"/>
            <w:gridSpan w:val="2"/>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Center/Location(2)</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Renovation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GLA(3)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GLA</w:t>
            </w:r>
          </w:p>
        </w:tc>
        <w:tc>
          <w:tcPr>
            <w:tcW w:w="1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GLA Leased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0" w:type="dxa"/>
            <w:vAlign w:val="bottom"/>
          </w:tcPr>
          <w:p>
            <w:pPr>
              <w:spacing w:after="0"/>
              <w:rPr>
                <w:sz w:val="1"/>
                <w:szCs w:val="1"/>
                <w:color w:val="auto"/>
              </w:rPr>
            </w:pPr>
          </w:p>
        </w:tc>
      </w:tr>
      <w:tr>
        <w:trPr>
          <w:trHeight w:val="40"/>
        </w:trPr>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West Acres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1972/1986</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98.0 %</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Macy's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262"/>
        </w:trPr>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Fargo, North Dakota</w:t>
            </w: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Total Unconsolidated Joint Ventures</w:t>
            </w: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10,811,000</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5,931,000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95.0 %</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40</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jc w:val="center"/>
              <w:ind w:right="220"/>
              <w:spacing w:after="0" w:line="118" w:lineRule="exact"/>
              <w:rPr>
                <w:sz w:val="20"/>
                <w:szCs w:val="20"/>
                <w:color w:val="auto"/>
              </w:rPr>
            </w:pPr>
            <w:r>
              <w:rPr>
                <w:rFonts w:ascii="Times New Roman" w:cs="Times New Roman" w:eastAsia="Times New Roman" w:hAnsi="Times New Roman"/>
                <w:sz w:val="12"/>
                <w:szCs w:val="12"/>
                <w:color w:val="auto"/>
              </w:rPr>
              <w:t>Total Regional Retail</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39,977,000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20,334,000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94.1 %</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Centers</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COMMUNITY/POWER SHOPPING CENTERS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Atlas Park, The Shops at(7)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2006/2011</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96.6 %</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Queens, New York</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Boulevard Shops(7)</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2001/2002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97.7 %</w:t>
            </w: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6"/>
        </w:trPr>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Chandler, Arizona</w:t>
            </w: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Community/Power Shopping Centers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579,000</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97.0 %</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before Other Assets</w:t>
            </w:r>
          </w:p>
        </w:tc>
        <w:tc>
          <w:tcPr>
            <w:tcW w:w="7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40,556,000</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20,913,000</w:t>
            </w: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Various(8)(9)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109,000</w:t>
            </w: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Kohl's</w:t>
            </w:r>
          </w:p>
        </w:tc>
        <w:tc>
          <w:tcPr>
            <w:tcW w:w="0" w:type="dxa"/>
            <w:vAlign w:val="bottom"/>
          </w:tcPr>
          <w:p>
            <w:pPr>
              <w:spacing w:after="0"/>
              <w:rPr>
                <w:sz w:val="1"/>
                <w:szCs w:val="1"/>
                <w:color w:val="auto"/>
              </w:rPr>
            </w:pPr>
          </w:p>
        </w:tc>
      </w:tr>
      <w:tr>
        <w:trPr>
          <w:trHeight w:val="124"/>
        </w:trPr>
        <w:tc>
          <w:tcPr>
            <w:tcW w:w="4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left="39"/>
              <w:spacing w:after="0" w:line="125"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Scottsdale Fashion Square-</w:t>
            </w:r>
          </w:p>
        </w:tc>
        <w:tc>
          <w:tcPr>
            <w:tcW w:w="7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1984/2002</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2016</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123,000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8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center"/>
              <w:ind w:right="120"/>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center"/>
              <w:ind w:right="60"/>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Office(7)</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Scottsdale, Arizona</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980" w:type="dxa"/>
            <w:vAlign w:val="bottom"/>
            <w:gridSpan w:val="2"/>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Scottsdale Fashion Square-</w:t>
            </w: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245,000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60"/>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Caesar's Republic Hotel(7)</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Scottsdale, Arizona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Tysons Corner Center-</w:t>
            </w: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1999/2005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171,000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center"/>
              <w:ind w:right="12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center"/>
              <w:ind w:right="6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Office(7)</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980" w:type="dxa"/>
            <w:vAlign w:val="bottom"/>
            <w:gridSpan w:val="2"/>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Hyatt Regency Tysons</w:t>
            </w: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2015</w:t>
            </w:r>
          </w:p>
        </w:tc>
        <w:tc>
          <w:tcPr>
            <w:tcW w:w="1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290,000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60"/>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Corner Center(7)</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VITA Tysons Corner</w:t>
            </w: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399,000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center"/>
              <w:ind w:right="12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center"/>
              <w:ind w:right="6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Center(7)</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Tysons Tower(7)</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OTHER ASSETS UNDER DEVELOPMENT:</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Paradise Valley Mall(7)(10)</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1979/2002</w:t>
            </w:r>
          </w:p>
        </w:tc>
        <w:tc>
          <w:tcPr>
            <w:tcW w:w="120" w:type="dxa"/>
            <w:vAlign w:val="bottom"/>
          </w:tcPr>
          <w:p>
            <w:pPr>
              <w:spacing w:after="0"/>
              <w:rPr>
                <w:sz w:val="13"/>
                <w:szCs w:val="13"/>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Ongoing</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Costco</w:t>
            </w: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JCPenney</w:t>
            </w:r>
          </w:p>
        </w:tc>
        <w:tc>
          <w:tcPr>
            <w:tcW w:w="0" w:type="dxa"/>
            <w:vAlign w:val="bottom"/>
          </w:tcPr>
          <w:p>
            <w:pPr>
              <w:spacing w:after="0"/>
              <w:rPr>
                <w:sz w:val="1"/>
                <w:szCs w:val="1"/>
                <w:color w:val="auto"/>
              </w:rPr>
            </w:pPr>
          </w:p>
        </w:tc>
      </w:tr>
      <w:tr>
        <w:trPr>
          <w:trHeight w:val="176"/>
        </w:trPr>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Phoenix, Arizona</w:t>
            </w: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Assets</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2,322,000</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Grand Total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42,878,000</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21,075,000</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42" w:lineRule="exact"/>
        <w:rPr>
          <w:sz w:val="20"/>
          <w:szCs w:val="20"/>
          <w:color w:val="auto"/>
        </w:rPr>
      </w:pPr>
    </w:p>
    <w:p>
      <w:pPr>
        <w:ind w:left="800" w:hanging="399"/>
        <w:spacing w:after="0" w:line="257" w:lineRule="auto"/>
        <w:tabs>
          <w:tab w:leader="none" w:pos="7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123" w:lineRule="exact"/>
        <w:rPr>
          <w:rFonts w:ascii="Times New Roman" w:cs="Times New Roman" w:eastAsia="Times New Roman" w:hAnsi="Times New Roman"/>
          <w:sz w:val="14"/>
          <w:szCs w:val="14"/>
          <w:color w:val="auto"/>
        </w:rPr>
      </w:pPr>
    </w:p>
    <w:p>
      <w:pPr>
        <w:ind w:left="800" w:hanging="399"/>
        <w:spacing w:after="0" w:line="258" w:lineRule="auto"/>
        <w:tabs>
          <w:tab w:leader="none" w:pos="7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owned or had an ownership interest in 40 Regional Retail Centers (including office, hotel and residential space adjacent to these shopping centers), two community/power shopping centers and one redevelopment property. With the exception of the seven Centers indicated with footnote (5) in the table above, the underlying land controlled by the Company is owned in fee entirely by the Company or, in the case of Joint Venture Centers, by the joint venture property partnership or limited liability company. With respect to these seven Centers, portions of the underlying land controlled by the Company are owned by third parties and leased to the Company, or the joint venture property partnership or limited liability company, pursuant to long-term ground leases. The termination dates of the ground leases range from 2038 to 2078.</w:t>
      </w:r>
    </w:p>
    <w:p>
      <w:pPr>
        <w:spacing w:after="0" w:line="109" w:lineRule="exact"/>
        <w:rPr>
          <w:rFonts w:ascii="Times New Roman" w:cs="Times New Roman" w:eastAsia="Times New Roman" w:hAnsi="Times New Roman"/>
          <w:sz w:val="14"/>
          <w:szCs w:val="14"/>
          <w:color w:val="auto"/>
        </w:rPr>
      </w:pPr>
    </w:p>
    <w:p>
      <w:pPr>
        <w:ind w:left="800" w:hanging="399"/>
        <w:spacing w:after="0" w:line="266" w:lineRule="auto"/>
        <w:tabs>
          <w:tab w:leader="none" w:pos="7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GLA includes GLA attributable to Anchors (whether owned or non-owned) and Mall and Freestanding Stores as of December 31, 2024.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43" w:right="379" w:bottom="1440" w:gutter="0" w:footer="0" w:header="0"/>
        </w:sectPr>
      </w:pPr>
    </w:p>
    <w:bookmarkStart w:id="33" w:name="page34"/>
    <w:bookmarkEnd w:id="33"/>
    <w:p>
      <w:pPr>
        <w:ind w:left="400" w:hanging="399"/>
        <w:spacing w:after="0" w:line="261" w:lineRule="auto"/>
        <w:tabs>
          <w:tab w:leader="none" w:pos="3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Centers have vacant Anchor locations that are owned by the Company or its joint venture. The Company is actively seeking replacement tenants or has entered into replacement leases for many of these vacant sites and/or is currently executing or considering redevelopment opportunities for these locations. The Company continues to collect rent under the terms of an agreement regarding two of these vacant Anchors.</w:t>
      </w:r>
    </w:p>
    <w:p>
      <w:pPr>
        <w:spacing w:after="0" w:line="120"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land on which the Center is situated are subject to one or more long-term ground leases.</w:t>
      </w:r>
    </w:p>
    <w:p>
      <w:pPr>
        <w:spacing w:after="0" w:line="142"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Center has a vacant former anchor store that is owned by the Company or its joint venture, which is to be demolished for redevelopment.</w:t>
      </w:r>
    </w:p>
    <w:p>
      <w:pPr>
        <w:spacing w:after="0" w:line="155"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Unconsolidated Joint Venture Centers.</w:t>
      </w:r>
    </w:p>
    <w:p>
      <w:pPr>
        <w:spacing w:after="0" w:line="142"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Consolidated Centers.</w:t>
      </w:r>
    </w:p>
    <w:p>
      <w:pPr>
        <w:spacing w:after="0" w:line="155" w:lineRule="exact"/>
        <w:rPr>
          <w:rFonts w:ascii="Times New Roman" w:cs="Times New Roman" w:eastAsia="Times New Roman" w:hAnsi="Times New Roman"/>
          <w:sz w:val="14"/>
          <w:szCs w:val="14"/>
          <w:color w:val="auto"/>
        </w:rPr>
      </w:pPr>
    </w:p>
    <w:p>
      <w:pPr>
        <w:ind w:left="400" w:right="20" w:hanging="399"/>
        <w:spacing w:after="0" w:line="258" w:lineRule="auto"/>
        <w:tabs>
          <w:tab w:leader="none" w:pos="3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owns an office building and two stores located at shopping centers not owned by the Company. Of the two stores, one has been leased to Kohl's and one has been leased for non-Anchor use. With respect to the office building, the underlying land is owned in fee entirely by the Company. With respect to the two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two ground leases terminate in years 2027 and 2028.</w:t>
      </w:r>
    </w:p>
    <w:p>
      <w:pPr>
        <w:spacing w:after="0" w:line="109" w:lineRule="exact"/>
        <w:rPr>
          <w:rFonts w:ascii="Times New Roman" w:cs="Times New Roman" w:eastAsia="Times New Roman" w:hAnsi="Times New Roman"/>
          <w:sz w:val="14"/>
          <w:szCs w:val="14"/>
          <w:color w:val="auto"/>
        </w:rPr>
      </w:pPr>
    </w:p>
    <w:p>
      <w:pPr>
        <w:ind w:left="400" w:right="80" w:hanging="399"/>
        <w:spacing w:after="0" w:line="271" w:lineRule="auto"/>
        <w:tabs>
          <w:tab w:leader="none" w:pos="3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started in summer 2021 on the first phase of a multi-phase, multi-year project to convert the former regional retail center Paradise Valley Mall into a mixed-used development with high-end grocery, restaurants, multi-family residences, offices, retail shops and other elements on the 92-acre site. The first phase began opening in the fourth quarter of 2024. The existing Costco and JCPenney stores currently remain open and have been open during the entire construction period.</w:t>
      </w:r>
    </w:p>
    <w:p>
      <w:pPr>
        <w:spacing w:after="0" w:line="200" w:lineRule="exact"/>
        <w:rPr>
          <w:sz w:val="20"/>
          <w:szCs w:val="20"/>
          <w:color w:val="auto"/>
        </w:rPr>
      </w:pPr>
    </w:p>
    <w:p>
      <w:pPr>
        <w:spacing w:after="0" w:line="24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720" w:top="81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Mortgage Debt</w:t>
      </w:r>
    </w:p>
    <w:p>
      <w:pPr>
        <w:spacing w:after="0" w:line="138" w:lineRule="exact"/>
        <w:rPr>
          <w:sz w:val="20"/>
          <w:szCs w:val="20"/>
          <w:color w:val="auto"/>
        </w:rPr>
      </w:pPr>
    </w:p>
    <w:p>
      <w:pPr>
        <w:ind w:right="60" w:firstLine="435"/>
        <w:spacing w:after="0" w:line="26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mortgages encumbering the Centers, including those Centers in which the Company has less than a 100% interest. The information set forth below is as of December 31, 2024 (dollars in thousands):</w:t>
      </w:r>
    </w:p>
    <w:tbl>
      <w:tblPr>
        <w:tblLayout w:type="fixed"/>
        <w:tblInd w:w="0" w:type="dxa"/>
        <w:tblCellMar>
          <w:top w:w="0" w:type="dxa"/>
          <w:left w:w="0" w:type="dxa"/>
          <w:bottom w:w="0" w:type="dxa"/>
          <w:right w:w="0" w:type="dxa"/>
        </w:tblCellMar>
      </w:tblPr>
      <w:tr>
        <w:trPr>
          <w:trHeight w:val="146"/>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1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2"/>
                <w:szCs w:val="12"/>
                <w:color w:val="auto"/>
              </w:rPr>
            </w:pPr>
          </w:p>
        </w:tc>
        <w:tc>
          <w:tcPr>
            <w:tcW w:w="116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Earliest Date</w:t>
            </w: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Fixed 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Notes Can Be</w:t>
            </w:r>
          </w:p>
        </w:tc>
        <w:tc>
          <w:tcPr>
            <w:tcW w:w="0" w:type="dxa"/>
            <w:vAlign w:val="bottom"/>
          </w:tcPr>
          <w:p>
            <w:pPr>
              <w:spacing w:after="0"/>
              <w:rPr>
                <w:sz w:val="1"/>
                <w:szCs w:val="1"/>
                <w:color w:val="auto"/>
              </w:rPr>
            </w:pPr>
          </w:p>
        </w:tc>
      </w:tr>
      <w:tr>
        <w:trPr>
          <w:trHeight w:val="14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ind w:left="240"/>
              <w:spacing w:after="0" w:line="14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gridSpan w:val="4"/>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280" w:type="dxa"/>
            <w:vAlign w:val="bottom"/>
            <w:gridSpan w:val="4"/>
            <w:vMerge w:val="continue"/>
          </w:tcPr>
          <w:p>
            <w:pPr>
              <w:spacing w:after="0"/>
              <w:rPr>
                <w:sz w:val="12"/>
                <w:szCs w:val="12"/>
                <w:color w:val="auto"/>
              </w:rPr>
            </w:pPr>
          </w:p>
        </w:tc>
        <w:tc>
          <w:tcPr>
            <w:tcW w:w="1040" w:type="dxa"/>
            <w:vAlign w:val="bottom"/>
            <w:gridSpan w:val="3"/>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Due on</w:t>
            </w:r>
          </w:p>
        </w:tc>
        <w:tc>
          <w:tcPr>
            <w:tcW w:w="100" w:type="dxa"/>
            <w:vAlign w:val="bottom"/>
          </w:tcPr>
          <w:p>
            <w:pPr>
              <w:spacing w:after="0"/>
              <w:rPr>
                <w:sz w:val="12"/>
                <w:szCs w:val="12"/>
                <w:color w:val="auto"/>
              </w:rPr>
            </w:pPr>
          </w:p>
        </w:tc>
        <w:tc>
          <w:tcPr>
            <w:tcW w:w="116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Defeased or</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00" w:type="dxa"/>
            <w:vAlign w:val="bottom"/>
            <w:tcBorders>
              <w:bottom w:val="single" w:sz="8" w:color="CCEEFF"/>
            </w:tcBorders>
            <w:gridSpan w:val="2"/>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Date(4)</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Be Prepaid</w:t>
            </w:r>
          </w:p>
        </w:tc>
        <w:tc>
          <w:tcPr>
            <w:tcW w:w="0" w:type="dxa"/>
            <w:vAlign w:val="bottom"/>
          </w:tcPr>
          <w:p>
            <w:pPr>
              <w:spacing w:after="0"/>
              <w:rPr>
                <w:sz w:val="1"/>
                <w:szCs w:val="1"/>
                <w:color w:val="auto"/>
              </w:rPr>
            </w:pPr>
          </w:p>
        </w:tc>
      </w:tr>
      <w:tr>
        <w:trPr>
          <w:trHeight w:val="202"/>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Arrowhead Towne Center(5)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351,905</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6.75 %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23,055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2/1/28</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354,259</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Danbury Fair Mall(6)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152,149</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6.59 %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10,036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2/6/34</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144,667</w:t>
            </w:r>
          </w:p>
        </w:tc>
        <w:tc>
          <w:tcPr>
            <w:tcW w:w="10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rPr>
              <w:t>6/7/2026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Fashion Outlets of Chicago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299,465</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4.61 %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Fashion Outlets of Niagara Falls USA(7)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80,775</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6.52 %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10/6/26</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74,862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Freehold Raceway Mall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399,210</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3.94 %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15,600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11/1/29</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386,013</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Fresno Fashion Fair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324,652</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3.67 %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11,658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11/1/26</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Green Acres Mall(8)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361,948</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6.62 %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21,826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1/6/28</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370,000</w:t>
            </w:r>
          </w:p>
        </w:tc>
        <w:tc>
          <w:tcPr>
            <w:tcW w:w="108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98"/>
              </w:rPr>
              <w:t>8/17/2025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Kings Plaza Shopping Center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537,471</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3.71 %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19,543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540,000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Lakewood Center(9)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304,557</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8.00 %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21,907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6/1/26</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308,844</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 Cerritos Center(10)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472,745</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5.77 %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30,077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11/1/27</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464,519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 View</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70,560</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5.45 %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5/6/32</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62,877</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Queens Center(11)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522,945</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5.45 %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28,193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11/6/29</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525,000</w:t>
            </w:r>
          </w:p>
        </w:tc>
        <w:tc>
          <w:tcPr>
            <w:tcW w:w="10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98"/>
              </w:rPr>
              <w:t>11/5/2027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Santa Monica Place(12)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Floating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298,791</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6.35 %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17,757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12/9/24</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SanTan Village Regional Center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219,595</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4.34 %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9,460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7/1/29</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193,870</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7.97 %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11/6/25</w:t>
            </w:r>
          </w:p>
        </w:tc>
        <w:tc>
          <w:tcPr>
            <w:tcW w:w="1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Victor Valley, Mall of(14)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83,928</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6.85 %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9/6/34</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85,000</w:t>
            </w:r>
          </w:p>
        </w:tc>
        <w:tc>
          <w:tcPr>
            <w:tcW w:w="10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rPr>
              <w:t>11/21/2026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Vintage Faire Mall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219,959</w:t>
            </w:r>
          </w:p>
        </w:tc>
        <w:tc>
          <w:tcPr>
            <w:tcW w:w="1140" w:type="dxa"/>
            <w:vAlign w:val="bottom"/>
            <w:tcBorders>
              <w:bottom w:val="single" w:sz="8" w:color="CCEEFF"/>
            </w:tcBorders>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3.55 %</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15,069</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3/6/26</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211,507</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4,894,525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140" w:type="dxa"/>
            <w:vAlign w:val="bottom"/>
            <w:tcBorders>
              <w:top w:val="single" w:sz="8" w:color="CCEEFF"/>
              <w:bottom w:val="single" w:sz="8" w:color="CCEEFF"/>
            </w:tcBorders>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60" w:type="dxa"/>
            <w:vAlign w:val="bottom"/>
            <w:tcBorders>
              <w:top w:val="single" w:sz="8" w:color="CCEEFF"/>
              <w:bottom w:val="single" w:sz="8" w:color="CCEEFF"/>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Earliest Date</w:t>
            </w:r>
          </w:p>
        </w:tc>
        <w:tc>
          <w:tcPr>
            <w:tcW w:w="0" w:type="dxa"/>
            <w:vAlign w:val="bottom"/>
          </w:tcPr>
          <w:p>
            <w:pPr>
              <w:spacing w:after="0" w:line="20" w:lineRule="exact"/>
              <w:rPr>
                <w:sz w:val="1"/>
                <w:szCs w:val="1"/>
                <w:color w:val="auto"/>
              </w:rPr>
            </w:pPr>
          </w:p>
        </w:tc>
      </w:tr>
      <w:tr>
        <w:trPr>
          <w:trHeight w:val="375"/>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1140" w:type="dxa"/>
            <w:vAlign w:val="bottom"/>
            <w:gridSpan w:val="4"/>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Fixed 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8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40" w:type="dxa"/>
            <w:vAlign w:val="bottom"/>
            <w:gridSpan w:val="3"/>
            <w:vMerge w:val="continue"/>
          </w:tcPr>
          <w:p>
            <w:pPr>
              <w:spacing w:after="0"/>
              <w:rPr>
                <w:sz w:val="12"/>
                <w:szCs w:val="12"/>
                <w:color w:val="auto"/>
              </w:rPr>
            </w:pPr>
          </w:p>
        </w:tc>
        <w:tc>
          <w:tcPr>
            <w:tcW w:w="126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Notes Can Be</w:t>
            </w:r>
          </w:p>
        </w:tc>
        <w:tc>
          <w:tcPr>
            <w:tcW w:w="0" w:type="dxa"/>
            <w:vAlign w:val="bottom"/>
          </w:tcPr>
          <w:p>
            <w:pPr>
              <w:spacing w:after="0"/>
              <w:rPr>
                <w:sz w:val="1"/>
                <w:szCs w:val="1"/>
                <w:color w:val="auto"/>
              </w:rPr>
            </w:pPr>
          </w:p>
        </w:tc>
      </w:tr>
      <w:tr>
        <w:trPr>
          <w:trHeight w:val="145"/>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gridSpan w:val="4"/>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280" w:type="dxa"/>
            <w:vAlign w:val="bottom"/>
            <w:gridSpan w:val="4"/>
            <w:vMerge w:val="continue"/>
          </w:tcPr>
          <w:p>
            <w:pPr>
              <w:spacing w:after="0"/>
              <w:rPr>
                <w:sz w:val="12"/>
                <w:szCs w:val="12"/>
                <w:color w:val="auto"/>
              </w:rPr>
            </w:pPr>
          </w:p>
        </w:tc>
        <w:tc>
          <w:tcPr>
            <w:tcW w:w="1040" w:type="dxa"/>
            <w:vAlign w:val="bottom"/>
            <w:gridSpan w:val="3"/>
          </w:tcPr>
          <w:p>
            <w:pPr>
              <w:jc w:val="center"/>
              <w:ind w:right="5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Due on</w:t>
            </w: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Defeased or</w:t>
            </w:r>
          </w:p>
        </w:tc>
        <w:tc>
          <w:tcPr>
            <w:tcW w:w="0" w:type="dxa"/>
            <w:vAlign w:val="bottom"/>
          </w:tcPr>
          <w:p>
            <w:pPr>
              <w:spacing w:after="0"/>
              <w:rPr>
                <w:sz w:val="1"/>
                <w:szCs w:val="1"/>
                <w:color w:val="auto"/>
              </w:rPr>
            </w:pPr>
          </w:p>
        </w:tc>
      </w:tr>
      <w:tr>
        <w:trPr>
          <w:trHeight w:val="191"/>
        </w:trPr>
        <w:tc>
          <w:tcPr>
            <w:tcW w:w="2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2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Date(4)</w:t>
            </w:r>
          </w:p>
        </w:tc>
        <w:tc>
          <w:tcPr>
            <w:tcW w:w="10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0" w:type="dxa"/>
            <w:vAlign w:val="bottom"/>
          </w:tcPr>
          <w:p>
            <w:pPr>
              <w:spacing w:after="0"/>
              <w:rPr>
                <w:sz w:val="16"/>
                <w:szCs w:val="16"/>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Be Prepaid</w:t>
            </w:r>
          </w:p>
        </w:tc>
        <w:tc>
          <w:tcPr>
            <w:tcW w:w="0" w:type="dxa"/>
            <w:vAlign w:val="bottom"/>
          </w:tcPr>
          <w:p>
            <w:pPr>
              <w:spacing w:after="0"/>
              <w:rPr>
                <w:sz w:val="1"/>
                <w:szCs w:val="1"/>
                <w:color w:val="auto"/>
              </w:rPr>
            </w:pPr>
          </w:p>
        </w:tc>
      </w:tr>
      <w:tr>
        <w:trPr>
          <w:trHeight w:val="131"/>
        </w:trPr>
        <w:tc>
          <w:tcPr>
            <w:tcW w:w="292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Unconsolidated Joint Venture Centers (at the</w:t>
            </w: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Company's Pro Rata Share):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Atlas Park, The Shops at(50%)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Floating</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9.49 %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Boulevard Shops(50%)(15)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Floating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Broadway Plaza(50%)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214,120</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Chandler Fashion Center(50.1%)(16)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137,189</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7/5/2025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Corte Madera, The Village at(50.1%)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107,415</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98,753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Deptford Mall(51%)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71,199</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FlatIron Crossing(51%)(17)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Floating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86,407</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9.14 %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Kierland Commons(50%)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94,915</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Paradise Valley I(5%)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Floating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8.30 %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Paradise Valley II(5%)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Paradise Valley Retail(5%)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Floating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Scottsdale Fashion Square(50%)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349,227</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8/4/2025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Twenty Ninth Street(51%)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Tysons Corner Center(50%)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351,009</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5/7/2026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Tysons Tower(50%)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Tysons Vita(50%)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44,672</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 Acres - Development(19%)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Acres(19%)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12,150</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1,687,797</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17"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79" w:lineRule="exact"/>
        <w:rPr>
          <w:sz w:val="20"/>
          <w:szCs w:val="20"/>
          <w:color w:val="auto"/>
        </w:rPr>
      </w:pPr>
    </w:p>
    <w:p>
      <w:pPr>
        <w:ind w:left="800" w:right="100" w:hanging="399"/>
        <w:spacing w:after="0" w:line="346" w:lineRule="auto"/>
        <w:tabs>
          <w:tab w:leader="none" w:pos="7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December 31, 2024 consisted of the following:</w:t>
      </w:r>
    </w:p>
    <w:tbl>
      <w:tblPr>
        <w:tblLayout w:type="fixed"/>
        <w:tblInd w:w="8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9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Property Pledged as Collateral</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8"/>
        </w:trPr>
        <w:tc>
          <w:tcPr>
            <w:tcW w:w="2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Consolidated Centers:</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Arrowhead Towne Center</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27,552</w:t>
            </w:r>
          </w:p>
        </w:tc>
      </w:tr>
      <w:tr>
        <w:trPr>
          <w:trHeight w:val="205"/>
        </w:trPr>
        <w:tc>
          <w:tcPr>
            <w:tcW w:w="2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Lakewood Center</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19,723</w:t>
            </w:r>
          </w:p>
        </w:tc>
      </w:tr>
      <w:tr>
        <w:trPr>
          <w:trHeight w:val="190"/>
        </w:trPr>
        <w:tc>
          <w:tcPr>
            <w:tcW w:w="20" w:type="dxa"/>
            <w:vAlign w:val="bottom"/>
          </w:tcPr>
          <w:p>
            <w:pPr>
              <w:spacing w:after="0"/>
              <w:rPr>
                <w:sz w:val="16"/>
                <w:szCs w:val="16"/>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Cerritos Center</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22,521</w:t>
            </w:r>
          </w:p>
        </w:tc>
      </w:tr>
      <w:tr>
        <w:trPr>
          <w:trHeight w:val="198"/>
        </w:trPr>
        <w:tc>
          <w:tcPr>
            <w:tcW w:w="2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 Plains</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6,130</w:t>
            </w:r>
          </w:p>
        </w:tc>
      </w:tr>
      <w:tr>
        <w:trPr>
          <w:trHeight w:val="191"/>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75,926</w:t>
            </w:r>
          </w:p>
        </w:tc>
      </w:tr>
      <w:tr>
        <w:trPr>
          <w:trHeight w:val="26"/>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ind w:left="800"/>
        <w:spacing w:after="0" w:line="261" w:lineRule="auto"/>
        <w:rPr>
          <w:sz w:val="20"/>
          <w:szCs w:val="20"/>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2024 were $22.0 million for Consolidated Centers and $7.1 million for Unconsolidated Joint Venture Centers (at the Company's pro rata share).</w:t>
      </w:r>
    </w:p>
    <w:p>
      <w:pPr>
        <w:spacing w:after="0" w:line="120" w:lineRule="exact"/>
        <w:rPr>
          <w:sz w:val="20"/>
          <w:szCs w:val="20"/>
          <w:color w:val="auto"/>
        </w:rPr>
      </w:pPr>
    </w:p>
    <w:p>
      <w:pPr>
        <w:ind w:left="780" w:hanging="379"/>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42"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debt service represents the annual payment of principal and interest.</w:t>
      </w:r>
    </w:p>
    <w:p>
      <w:pPr>
        <w:spacing w:after="0" w:line="155" w:lineRule="exact"/>
        <w:rPr>
          <w:rFonts w:ascii="Times New Roman" w:cs="Times New Roman" w:eastAsia="Times New Roman" w:hAnsi="Times New Roman"/>
          <w:sz w:val="14"/>
          <w:szCs w:val="14"/>
          <w:color w:val="auto"/>
        </w:rPr>
      </w:pPr>
    </w:p>
    <w:p>
      <w:pPr>
        <w:ind w:left="800" w:right="180" w:hanging="399"/>
        <w:spacing w:after="0" w:line="288" w:lineRule="auto"/>
        <w:tabs>
          <w:tab w:leader="none" w:pos="7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87" w:lineRule="exact"/>
        <w:rPr>
          <w:rFonts w:ascii="Times New Roman" w:cs="Times New Roman" w:eastAsia="Times New Roman" w:hAnsi="Times New Roman"/>
          <w:sz w:val="14"/>
          <w:szCs w:val="14"/>
          <w:color w:val="auto"/>
        </w:rPr>
      </w:pPr>
    </w:p>
    <w:p>
      <w:pPr>
        <w:ind w:left="800" w:right="160" w:hanging="399"/>
        <w:spacing w:after="0" w:line="288" w:lineRule="auto"/>
        <w:tabs>
          <w:tab w:leader="none" w:pos="7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87" w:lineRule="exact"/>
        <w:rPr>
          <w:rFonts w:ascii="Times New Roman" w:cs="Times New Roman" w:eastAsia="Times New Roman" w:hAnsi="Times New Roman"/>
          <w:sz w:val="14"/>
          <w:szCs w:val="14"/>
          <w:color w:val="auto"/>
        </w:rPr>
      </w:pPr>
    </w:p>
    <w:p>
      <w:pPr>
        <w:ind w:left="800" w:right="100" w:hanging="399"/>
        <w:spacing w:after="0" w:line="288" w:lineRule="auto"/>
        <w:tabs>
          <w:tab w:leader="none" w:pos="7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101"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2024, the Company closed on a three-year extension of the loan to October 6, 2026. The interest rate remained unchanged at 5.90%.</w:t>
      </w:r>
    </w:p>
    <w:p>
      <w:pPr>
        <w:spacing w:after="0" w:line="142" w:lineRule="exact"/>
        <w:rPr>
          <w:rFonts w:ascii="Times New Roman" w:cs="Times New Roman" w:eastAsia="Times New Roman" w:hAnsi="Times New Roman"/>
          <w:sz w:val="14"/>
          <w:szCs w:val="14"/>
          <w:color w:val="auto"/>
        </w:rPr>
      </w:pPr>
    </w:p>
    <w:p>
      <w:pPr>
        <w:ind w:left="800" w:right="40" w:hanging="399"/>
        <w:spacing w:after="0" w:line="288" w:lineRule="auto"/>
        <w:tabs>
          <w:tab w:leader="none" w:pos="7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 2023, the Company closed on a five-year $370.0 million combined refinance of Green Acres Mall and Green Acres Commons. The new interest only loan bears interest at a fixed rate of 5.90% and matures on January 6, 2028.</w:t>
      </w:r>
    </w:p>
    <w:p>
      <w:pPr>
        <w:spacing w:after="0" w:line="87" w:lineRule="exact"/>
        <w:rPr>
          <w:rFonts w:ascii="Times New Roman" w:cs="Times New Roman" w:eastAsia="Times New Roman" w:hAnsi="Times New Roman"/>
          <w:sz w:val="14"/>
          <w:szCs w:val="14"/>
          <w:color w:val="auto"/>
        </w:rPr>
      </w:pPr>
    </w:p>
    <w:p>
      <w:pPr>
        <w:ind w:left="800" w:right="100" w:hanging="399"/>
        <w:spacing w:after="0" w:line="288" w:lineRule="auto"/>
        <w:tabs>
          <w:tab w:leader="none" w:pos="7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Lakewood Center that it did not previously own and has consolidated its 100% interest (See Note 15—Acquisitions). In connection with the acquisition, the Company assumed the partner's share of the loan on the property.</w:t>
      </w:r>
    </w:p>
    <w:p>
      <w:pPr>
        <w:spacing w:after="0" w:line="87" w:lineRule="exact"/>
        <w:rPr>
          <w:rFonts w:ascii="Times New Roman" w:cs="Times New Roman" w:eastAsia="Times New Roman" w:hAnsi="Times New Roman"/>
          <w:sz w:val="14"/>
          <w:szCs w:val="14"/>
          <w:color w:val="auto"/>
        </w:rPr>
      </w:pPr>
    </w:p>
    <w:p>
      <w:pPr>
        <w:ind w:left="800" w:right="300" w:hanging="399"/>
        <w:spacing w:after="0" w:line="288" w:lineRule="auto"/>
        <w:tabs>
          <w:tab w:leader="none" w:pos="7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Los Cerritos Center that it did not previously own and has consolidated its 100% interest (See Note 15—Acquisitions). In connection with the acquisition, the Company assumed the partner's share of the loan on the property.</w:t>
      </w:r>
    </w:p>
    <w:p>
      <w:pPr>
        <w:spacing w:after="0" w:line="101" w:lineRule="exact"/>
        <w:rPr>
          <w:rFonts w:ascii="Times New Roman" w:cs="Times New Roman" w:eastAsia="Times New Roman" w:hAnsi="Times New Roman"/>
          <w:sz w:val="14"/>
          <w:szCs w:val="14"/>
          <w:color w:val="auto"/>
        </w:rPr>
      </w:pPr>
    </w:p>
    <w:p>
      <w:pPr>
        <w:ind w:left="800" w:right="20" w:hanging="399"/>
        <w:spacing w:after="0" w:line="288" w:lineRule="auto"/>
        <w:tabs>
          <w:tab w:leader="none" w:pos="79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closed a $525.0 million, five-year refinance of the loan on Queens Center. The new loan bears interest at a fixed rate of 5.37%, is interest only during the entire loan term and matures November 6, 2029.</w:t>
      </w:r>
    </w:p>
    <w:p>
      <w:pPr>
        <w:spacing w:after="0" w:line="87" w:lineRule="exact"/>
        <w:rPr>
          <w:rFonts w:ascii="Times New Roman" w:cs="Times New Roman" w:eastAsia="Times New Roman" w:hAnsi="Times New Roman"/>
          <w:sz w:val="14"/>
          <w:szCs w:val="14"/>
          <w:color w:val="auto"/>
        </w:rPr>
      </w:pPr>
    </w:p>
    <w:p>
      <w:pPr>
        <w:ind w:left="800" w:right="20" w:hanging="399"/>
        <w:spacing w:after="0" w:line="258" w:lineRule="auto"/>
        <w:tabs>
          <w:tab w:leader="none" w:pos="7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the Company closed on a three-year extension of the loan to December 9, 2025, including extension options. The interest rate remained unchanged at LIBOR plus 1.48%, and has converted to 1-month Term SOFR plus 1.52% effective July 9, 2023. The loan was covered by an interest rate cap agreement that effectively prevented LIBOR from exceeding 4.0% during the period ending December 9, 2023. The interest rate cap agreement was converted to 1-month Term SOFR effective July 9, 2023. The interest rate cap agreement was extended with a 4% strike rate to December 9, 2024 and was not renewed upon its maturity. Effective April 9, 2024, the loan is in default and accrues incremental default interest of 4%. The Company is in negotiations with the lender on the terms of this non-recourse loan.</w:t>
      </w:r>
    </w:p>
    <w:p>
      <w:pPr>
        <w:spacing w:after="0" w:line="122" w:lineRule="exact"/>
        <w:rPr>
          <w:rFonts w:ascii="Times New Roman" w:cs="Times New Roman" w:eastAsia="Times New Roman" w:hAnsi="Times New Roman"/>
          <w:sz w:val="14"/>
          <w:szCs w:val="14"/>
          <w:color w:val="auto"/>
        </w:rPr>
      </w:pPr>
    </w:p>
    <w:p>
      <w:pPr>
        <w:ind w:left="800" w:right="120" w:hanging="399"/>
        <w:spacing w:after="0" w:line="268" w:lineRule="auto"/>
        <w:tabs>
          <w:tab w:leader="none" w:pos="7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 —Acquisitions). In connection with the acquisition, the Company assumed the partner's share of the loan on the property.</w:t>
      </w:r>
    </w:p>
    <w:p>
      <w:pPr>
        <w:spacing w:after="0" w:line="114" w:lineRule="exact"/>
        <w:rPr>
          <w:rFonts w:ascii="Times New Roman" w:cs="Times New Roman" w:eastAsia="Times New Roman" w:hAnsi="Times New Roman"/>
          <w:sz w:val="14"/>
          <w:szCs w:val="14"/>
          <w:color w:val="auto"/>
        </w:rPr>
      </w:pPr>
    </w:p>
    <w:p>
      <w:pPr>
        <w:ind w:left="800" w:right="440" w:hanging="399"/>
        <w:spacing w:after="0" w:line="288" w:lineRule="auto"/>
        <w:tabs>
          <w:tab w:leader="none" w:pos="7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2024, the Company replaced the existing loan with an $85.0 million loan that bears interest at a fixed rate of 6.72%, is interest only during the entire loan term and matures on September 6, 2034.</w:t>
      </w:r>
    </w:p>
    <w:p>
      <w:pPr>
        <w:spacing w:after="0" w:line="87" w:lineRule="exact"/>
        <w:rPr>
          <w:rFonts w:ascii="Times New Roman" w:cs="Times New Roman" w:eastAsia="Times New Roman" w:hAnsi="Times New Roman"/>
          <w:sz w:val="14"/>
          <w:szCs w:val="14"/>
          <w:color w:val="auto"/>
        </w:rPr>
      </w:pPr>
    </w:p>
    <w:p>
      <w:pPr>
        <w:jc w:val="both"/>
        <w:ind w:left="800" w:right="20" w:hanging="399"/>
        <w:spacing w:after="0" w:line="271" w:lineRule="auto"/>
        <w:tabs>
          <w:tab w:leader="none" w:pos="7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10, 2024, the Company's joint venture in Boulevard Shops replaced the existing $23.0 million mortgage loan on the property with a new $24.0 million loan that bears interest at a variable rate of SOFR plus 2.50%, is interest only during the entire loan term and matures on December 5, 2028. The new loan has a required interest rate cap throughout the term of the loan at a strike rate of 7.5%.</w:t>
      </w:r>
    </w:p>
    <w:p>
      <w:pPr>
        <w:spacing w:after="0" w:line="100" w:lineRule="exact"/>
        <w:rPr>
          <w:rFonts w:ascii="Times New Roman" w:cs="Times New Roman" w:eastAsia="Times New Roman" w:hAnsi="Times New Roman"/>
          <w:sz w:val="14"/>
          <w:szCs w:val="14"/>
          <w:color w:val="auto"/>
        </w:rPr>
      </w:pPr>
    </w:p>
    <w:p>
      <w:pPr>
        <w:ind w:left="800" w:right="340" w:hanging="399"/>
        <w:spacing w:after="0" w:line="266" w:lineRule="auto"/>
        <w:tabs>
          <w:tab w:leader="none" w:pos="7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On June 27, 2024, the Company's joint venture in Chandler Fashion Center refinanced the existing $256.0 million loan on the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36" w:name="page37"/>
    <w:bookmarkEnd w:id="36"/>
    <w:p>
      <w:pPr>
        <w:ind w:left="800"/>
        <w:spacing w:after="0"/>
        <w:rPr>
          <w:sz w:val="20"/>
          <w:szCs w:val="20"/>
          <w:color w:val="auto"/>
        </w:rPr>
      </w:pPr>
      <w:r>
        <w:rPr>
          <w:rFonts w:ascii="Times New Roman" w:cs="Times New Roman" w:eastAsia="Times New Roman" w:hAnsi="Times New Roman"/>
          <w:sz w:val="14"/>
          <w:szCs w:val="14"/>
          <w:color w:val="auto"/>
        </w:rPr>
        <w:t>property with a $275.0 million loan that bears interest at a fixed rate of 7.06%, is interest only during the entire loan term and matures on July 1, 2029.</w:t>
      </w:r>
    </w:p>
    <w:p>
      <w:pPr>
        <w:spacing w:after="0" w:line="142" w:lineRule="exact"/>
        <w:rPr>
          <w:sz w:val="20"/>
          <w:szCs w:val="20"/>
          <w:color w:val="auto"/>
        </w:rPr>
      </w:pPr>
    </w:p>
    <w:p>
      <w:pPr>
        <w:ind w:left="800" w:hanging="399"/>
        <w:spacing w:after="0" w:line="258"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bore interest at SOFR plus 3.70%, and was covered by an interest rate cap agreement that effectively prevented SOFR from exceeding 4.0% through February 15, 2024 and 5.0% through February 9, 2025. 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 12.25% and the first mortgage has an interest rate of SOFR plus 2.90% for a weighted average aggregate interest rate of SOFR plus 3.70%. The interest rate on the first mortgage is SOFR plus 2.90% during the extension period.</w:t>
      </w:r>
    </w:p>
    <w:p>
      <w:pPr>
        <w:spacing w:after="0" w:line="1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38"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is currently involved in any material legal proceedings.</w:t>
      </w:r>
    </w:p>
    <w:p>
      <w:pPr>
        <w:spacing w:after="0" w:line="10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815" w:right="4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The common stock of the Company is listed and traded on the New York Stock Exchange under the symbol "MAC". As of February 27, 2025, there were approximately 485 stockholders of record.</w:t>
      </w:r>
    </w:p>
    <w:p>
      <w:pPr>
        <w:spacing w:after="0" w:line="102" w:lineRule="exact"/>
        <w:rPr>
          <w:sz w:val="20"/>
          <w:szCs w:val="20"/>
          <w:color w:val="auto"/>
        </w:rPr>
      </w:pPr>
    </w:p>
    <w:p>
      <w:pPr>
        <w:ind w:right="140" w:firstLine="435"/>
        <w:spacing w:after="0" w:line="270" w:lineRule="auto"/>
        <w:rPr>
          <w:sz w:val="20"/>
          <w:szCs w:val="20"/>
          <w:color w:val="auto"/>
        </w:rPr>
      </w:pPr>
      <w:r>
        <w:rPr>
          <w:rFonts w:ascii="Times New Roman" w:cs="Times New Roman" w:eastAsia="Times New Roman" w:hAnsi="Times New Roman"/>
          <w:sz w:val="16"/>
          <w:szCs w:val="16"/>
          <w:color w:val="auto"/>
        </w:rPr>
        <w:t>To maintain its qualification as a REIT, the Company is required each year to distribute to stockholders at least 90% of its net taxable income after certain adjustments. The Company paid all of its 2024 and 2023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51" w:lineRule="exact"/>
        <w:rPr>
          <w:sz w:val="20"/>
          <w:szCs w:val="20"/>
          <w:color w:val="auto"/>
        </w:rPr>
      </w:pPr>
    </w:p>
    <w:p>
      <w:pPr>
        <w:ind w:right="140" w:firstLine="435"/>
        <w:spacing w:after="0" w:line="256" w:lineRule="auto"/>
        <w:rPr>
          <w:sz w:val="20"/>
          <w:szCs w:val="20"/>
          <w:color w:val="auto"/>
        </w:rPr>
      </w:pPr>
      <w:r>
        <w:rPr>
          <w:rFonts w:ascii="Times New Roman" w:cs="Times New Roman" w:eastAsia="Times New Roman" w:hAnsi="Times New Roman"/>
          <w:sz w:val="18"/>
          <w:szCs w:val="18"/>
          <w:color w:val="auto"/>
        </w:rPr>
        <w:t>The following graph provides a comparison, from December 31, 2019 through December 31, 2024, of the yearly percentage change in the cumulative total stockholder return (assuming reinvestment of dividends) of the Company, the Standard &amp; Poors ("S&amp;P") Midcap 400 Index, and the FTSE Nareit Equity Retail Index. The FTSE Nareit Equity Retail Index is an industry index of publicly-traded REITs that include the Company.</w:t>
      </w:r>
    </w:p>
    <w:p>
      <w:pPr>
        <w:spacing w:after="0" w:line="102" w:lineRule="exact"/>
        <w:rPr>
          <w:sz w:val="20"/>
          <w:szCs w:val="20"/>
          <w:color w:val="auto"/>
        </w:rPr>
      </w:pPr>
    </w:p>
    <w:p>
      <w:pPr>
        <w:ind w:right="460" w:firstLine="435"/>
        <w:spacing w:after="0" w:line="269" w:lineRule="auto"/>
        <w:rPr>
          <w:sz w:val="20"/>
          <w:szCs w:val="20"/>
          <w:color w:val="auto"/>
        </w:rPr>
      </w:pPr>
      <w:r>
        <w:rPr>
          <w:rFonts w:ascii="Times New Roman" w:cs="Times New Roman" w:eastAsia="Times New Roman" w:hAnsi="Times New Roman"/>
          <w:sz w:val="18"/>
          <w:szCs w:val="18"/>
          <w:color w:val="auto"/>
        </w:rPr>
        <w:t>The graph assumes that the value of the investment in each of the Company's common stock and the indices was $100 at the close of the market on December 31, 2019.</w:t>
      </w:r>
    </w:p>
    <w:p>
      <w:pPr>
        <w:spacing w:after="0" w:line="102" w:lineRule="exact"/>
        <w:rPr>
          <w:sz w:val="20"/>
          <w:szCs w:val="20"/>
          <w:color w:val="auto"/>
        </w:rPr>
      </w:pPr>
    </w:p>
    <w:p>
      <w:pPr>
        <w:ind w:right="100" w:firstLine="435"/>
        <w:spacing w:after="0" w:line="269" w:lineRule="auto"/>
        <w:rPr>
          <w:sz w:val="20"/>
          <w:szCs w:val="20"/>
          <w:color w:val="auto"/>
        </w:rPr>
      </w:pPr>
      <w:r>
        <w:rPr>
          <w:rFonts w:ascii="Times New Roman" w:cs="Times New Roman" w:eastAsia="Times New Roman" w:hAnsi="Times New Roman"/>
          <w:sz w:val="18"/>
          <w:szCs w:val="18"/>
          <w:color w:val="auto"/>
        </w:rPr>
        <w:t>Upon written request directed to the Secretary of the Company, the Company will provide any stockholder with a list of the REITs included in the FTSE Nareit Equity Retail Index. The historical information set forth below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6"/>
          <w:szCs w:val="16"/>
          <w:color w:val="auto"/>
        </w:rPr>
        <w:t>Data for the S&amp;P Midcap 400 Index and the FTSE Nareit Equity Retail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112395</wp:posOffset>
            </wp:positionV>
            <wp:extent cx="5495925" cy="4015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95925" cy="401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Copyright© 2025 S&amp;P, a division of The McGraw-Hill Companies Inc. All rights reserved.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12/31/19</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12/31/20</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12/31/23</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12/31/24</w:t>
            </w:r>
          </w:p>
        </w:tc>
      </w:tr>
      <w:tr>
        <w:trPr>
          <w:trHeight w:val="19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Macerich Company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102.06</w:t>
            </w:r>
          </w:p>
        </w:tc>
      </w:tr>
      <w:tr>
        <w:trPr>
          <w:trHeight w:val="19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Midcap 400 Index</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163.54</w:t>
            </w:r>
          </w:p>
        </w:tc>
      </w:tr>
      <w:tr>
        <w:trPr>
          <w:trHeight w:val="20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FTSE Nareit Equity Retail Index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8"/>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4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Announced Plans or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ind w:right="2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1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to October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2024 to November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2024 to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4"/>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0" w:hanging="562"/>
        <w:spacing w:after="0" w:line="287" w:lineRule="auto"/>
        <w:tabs>
          <w:tab w:leader="none" w:pos="12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910" w:right="639" w:bottom="1440" w:gutter="0" w:footer="0" w:header="0"/>
        </w:sectPr>
      </w:pPr>
    </w:p>
    <w:bookmarkStart w:id="40" w:name="page41"/>
    <w:bookmarkEnd w:id="4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38" w:lineRule="exact"/>
        <w:rPr>
          <w:sz w:val="20"/>
          <w:szCs w:val="20"/>
          <w:color w:val="auto"/>
        </w:rPr>
      </w:pPr>
    </w:p>
    <w:p>
      <w:pPr>
        <w:ind w:right="40" w:firstLine="435"/>
        <w:spacing w:after="0" w:line="283" w:lineRule="auto"/>
        <w:rPr>
          <w:sz w:val="20"/>
          <w:szCs w:val="20"/>
          <w:color w:val="auto"/>
        </w:rPr>
      </w:pPr>
      <w:r>
        <w:rPr>
          <w:rFonts w:ascii="Times New Roman" w:cs="Times New Roman" w:eastAsia="Times New Roman" w:hAnsi="Times New Roman"/>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2024, the Operating Partnership owned or had an ownership interest in 40 Regional Retail Centers (including office, hotel and residential space adjacent to these shopping centers), two community/power shopping centers and one redevelopment property. These 43 Regional Retail Centers, community/power shopping centers and one redevelopment property consist of approximately 43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96"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years ended December 31, 2024, 2023 and 2022. It compares the results of operations and cash flows for the year ended December 31, 2024 to the results of operations and cash flows for the year ended December 31, 2023. Also included is a comparison of the results of operations and cash flows for the year ended December 31, 2023 to the results of operations and cash flows for the year ended December 31, 2022. This information should be read in conjunction with the accompanying consolidated financial statements and notes thereto.</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statements reflect the following acquisitions, dispositions and changes in ownership subsequent to the occurrence of each transaction.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1" w:lineRule="exact"/>
        <w:rPr>
          <w:sz w:val="20"/>
          <w:szCs w:val="20"/>
          <w:color w:val="auto"/>
        </w:rPr>
      </w:pPr>
    </w:p>
    <w:p>
      <w:pPr>
        <w:jc w:val="both"/>
        <w:ind w:right="40" w:firstLine="435"/>
        <w:spacing w:after="0" w:line="252"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MS Portfolio LLC, the Company's joint venture with Seritage Growth Properties ("Seritage") for a total purchase price of $24.5 million. Effective as of August 2, 2022, the Company now owns and has consolidated its 100% interest in these two former Sears parcels in its consolidated financial statements (See Note 15 —Acquisitions in the Notes to the Consolidated Financial Statements).</w:t>
      </w:r>
    </w:p>
    <w:p>
      <w:pPr>
        <w:spacing w:after="0" w:line="119" w:lineRule="exact"/>
        <w:rPr>
          <w:sz w:val="20"/>
          <w:szCs w:val="20"/>
          <w:color w:val="auto"/>
        </w:rPr>
      </w:pPr>
    </w:p>
    <w:p>
      <w:pPr>
        <w:ind w:right="180" w:firstLine="435"/>
        <w:spacing w:after="0" w:line="294" w:lineRule="auto"/>
        <w:rPr>
          <w:sz w:val="20"/>
          <w:szCs w:val="20"/>
          <w:color w:val="auto"/>
        </w:rPr>
      </w:pPr>
      <w:r>
        <w:rPr>
          <w:rFonts w:ascii="Times New Roman" w:cs="Times New Roman" w:eastAsia="Times New Roman" w:hAnsi="Times New Roman"/>
          <w:sz w:val="16"/>
          <w:szCs w:val="16"/>
          <w:color w:val="auto"/>
        </w:rPr>
        <w:t>On May 18, 2023, the Company acquired Seritage’s remaining 50% ownership interest in the MS Portfolio LLC joint venture that owned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 in the Notes to the Consolidated Financial Statements).</w:t>
      </w:r>
    </w:p>
    <w:p>
      <w:pPr>
        <w:spacing w:after="0" w:line="73" w:lineRule="exact"/>
        <w:rPr>
          <w:sz w:val="20"/>
          <w:szCs w:val="20"/>
          <w:color w:val="auto"/>
        </w:rPr>
      </w:pPr>
    </w:p>
    <w:p>
      <w:pPr>
        <w:jc w:val="both"/>
        <w:ind w:right="100" w:firstLine="435"/>
        <w:spacing w:after="0" w:line="252"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$5.6 million and the assumption of its joint venture partner’s share of debt. The Company now owns 100% of Freehold Raceway Mall. Prior to November 16, 2023, the Company accounted for its investment in Freehold Raceway Mall as part of a financing arrangement (See Note 12—Financing Arrangement and Note 15—Acquisitions in the Notes to the Consolidated Financial Statements).</w:t>
      </w:r>
    </w:p>
    <w:p>
      <w:pPr>
        <w:spacing w:after="0" w:line="119" w:lineRule="exact"/>
        <w:rPr>
          <w:sz w:val="20"/>
          <w:szCs w:val="20"/>
          <w:color w:val="auto"/>
        </w:rPr>
      </w:pPr>
    </w:p>
    <w:p>
      <w:pPr>
        <w:ind w:right="160" w:firstLine="435"/>
        <w:spacing w:after="0" w:line="252"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variable interest entity in its consolidated financial statements (See Note 2—Summary of Significant Accounting Policies and Note 15—Acquisitions in the Notes to the Consolidated Financial Statements).</w:t>
      </w:r>
    </w:p>
    <w:p>
      <w:pPr>
        <w:spacing w:after="0" w:line="119" w:lineRule="exact"/>
        <w:rPr>
          <w:sz w:val="20"/>
          <w:szCs w:val="20"/>
          <w:color w:val="auto"/>
        </w:rPr>
      </w:pPr>
    </w:p>
    <w:p>
      <w:pPr>
        <w:ind w:right="100" w:firstLine="435"/>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spacing w:after="0" w:line="67"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$5.4 million (See Note 15—Acquisitions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41" w:name="page42"/>
    <w:bookmarkEnd w:id="41"/>
    <w:p>
      <w:pPr>
        <w:ind w:right="80" w:firstLine="435"/>
        <w:spacing w:after="0" w:line="252"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included Los Cerritos Center, Washington Square and Lakewood Center, for a net purchase price of approximately $122.1 million, which included the assumption of the partner's share of property level indebtedness. The Company now owns and has consolidated its 100% interests in these properties in its consolidated financial statements (See Note 15—Acquisitions in the Notes to the Consolidated Financial Statements).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51"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2022, the Company and certain joint venture partners sold various land parcels in separate transactions, resulting in the Company’s share of the gain on sale of land of $23.9 million. The Company used its share of the proceeds from these sales of $60.3 million to pay down debt and for other general corporate purposes.</w:t>
      </w:r>
    </w:p>
    <w:p>
      <w:pPr>
        <w:spacing w:after="0" w:line="115" w:lineRule="exact"/>
        <w:rPr>
          <w:sz w:val="20"/>
          <w:szCs w:val="20"/>
          <w:color w:val="auto"/>
        </w:rPr>
      </w:pPr>
    </w:p>
    <w:p>
      <w:pPr>
        <w:ind w:right="320" w:firstLine="435"/>
        <w:spacing w:after="0" w:line="269"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 million, which resulted in a gain on sale of assets of $10.3 million. The Company used the net proceeds to pay down debt.</w:t>
      </w:r>
    </w:p>
    <w:p>
      <w:pPr>
        <w:spacing w:after="0" w:line="76" w:lineRule="exact"/>
        <w:rPr>
          <w:sz w:val="20"/>
          <w:szCs w:val="20"/>
          <w:color w:val="auto"/>
        </w:rPr>
      </w:pPr>
    </w:p>
    <w:p>
      <w:pPr>
        <w:ind w:right="200" w:firstLine="435"/>
        <w:spacing w:after="0" w:line="254" w:lineRule="auto"/>
        <w:rPr>
          <w:sz w:val="20"/>
          <w:szCs w:val="20"/>
          <w:color w:val="auto"/>
        </w:rPr>
      </w:pPr>
      <w:r>
        <w:rPr>
          <w:rFonts w:ascii="Times New Roman" w:cs="Times New Roman" w:eastAsia="Times New Roman" w:hAnsi="Times New Roman"/>
          <w:sz w:val="18"/>
          <w:szCs w:val="18"/>
          <w:color w:val="auto"/>
        </w:rPr>
        <w:t>On July 17, 2023, the Company sold Superstition Springs Power Center, a 204,000 square foot power center in Mesa, Arizona, for $5.6 million, which resulted in a gain on sale of assets of $1.9 million. The Company used the net proceeds to pay down debt.</w:t>
      </w:r>
    </w:p>
    <w:p>
      <w:pPr>
        <w:spacing w:after="0" w:line="194" w:lineRule="exact"/>
        <w:rPr>
          <w:sz w:val="20"/>
          <w:szCs w:val="20"/>
          <w:color w:val="auto"/>
        </w:rPr>
      </w:pPr>
    </w:p>
    <w:p>
      <w:pPr>
        <w:ind w:right="20" w:firstLine="435"/>
        <w:spacing w:after="0" w:line="254"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completed transition of the property to a receiver. On December 4, 2023, Towne Mall was sold by the receiver for $9.5 million, resulting in a gain on extinguishment of debt of $8.2 million.</w:t>
      </w:r>
    </w:p>
    <w:p>
      <w:pPr>
        <w:spacing w:after="0" w:line="194" w:lineRule="exact"/>
        <w:rPr>
          <w:sz w:val="20"/>
          <w:szCs w:val="20"/>
          <w:color w:val="auto"/>
        </w:rPr>
      </w:pPr>
    </w:p>
    <w:p>
      <w:pPr>
        <w:ind w:firstLine="435"/>
        <w:spacing w:after="0" w:line="230"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$700.0 million. The existing $324.6 million loan on the property was repaid, and $77.6 million of net proceeds were generated at the Company’s 25% ownership share, which were used to reduce the Company’s revolving loan facility. As a result of this transaction, the Company recognized its share of gain on sale of assets of $8.1 million.</w:t>
      </w:r>
    </w:p>
    <w:p>
      <w:pPr>
        <w:spacing w:after="0" w:line="195" w:lineRule="exact"/>
        <w:rPr>
          <w:sz w:val="20"/>
          <w:szCs w:val="20"/>
          <w:color w:val="auto"/>
        </w:rPr>
      </w:pPr>
    </w:p>
    <w:p>
      <w:pPr>
        <w:ind w:right="120" w:firstLine="435"/>
        <w:spacing w:after="0" w:line="241" w:lineRule="auto"/>
        <w:rPr>
          <w:sz w:val="20"/>
          <w:szCs w:val="20"/>
          <w:color w:val="auto"/>
        </w:rPr>
      </w:pPr>
      <w:r>
        <w:rPr>
          <w:rFonts w:ascii="Times New Roman" w:cs="Times New Roman" w:eastAsia="Times New Roman" w:hAnsi="Times New Roman"/>
          <w:sz w:val="18"/>
          <w:szCs w:val="18"/>
          <w:color w:val="auto"/>
        </w:rPr>
        <w:t>For the twelve months ended December 31, 2023, the Company and certain joint venture partners sold various land parcels in separate transactions, resulting in the Company’s share of the gain on sale of land of $10.8 million. The Company used its share of the proceeds from these sales of $16.4 million to pay down debt and for other general corporate purposes.</w:t>
      </w:r>
    </w:p>
    <w:p>
      <w:pPr>
        <w:spacing w:after="0" w:line="351" w:lineRule="exact"/>
        <w:rPr>
          <w:sz w:val="20"/>
          <w:szCs w:val="20"/>
          <w:color w:val="auto"/>
        </w:rPr>
      </w:pPr>
    </w:p>
    <w:p>
      <w:pPr>
        <w:ind w:right="260" w:firstLine="435"/>
        <w:spacing w:after="0" w:line="252"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spacing w:after="0" w:line="119"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w:t>
      </w:r>
    </w:p>
    <w:p>
      <w:pPr>
        <w:spacing w:after="0" w:line="115" w:lineRule="exact"/>
        <w:rPr>
          <w:sz w:val="20"/>
          <w:szCs w:val="20"/>
          <w:color w:val="auto"/>
        </w:rPr>
      </w:pPr>
    </w:p>
    <w:p>
      <w:pPr>
        <w:jc w:val="both"/>
        <w:ind w:right="120" w:firstLine="435"/>
        <w:spacing w:after="0" w:line="256"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 million. The Company used the net proceeds to pay down debt. The Company recognized a gain on sale of assets of $0.8 million (See Note 16—Dispositions in the Notes to the Consolidated Financial Statements).</w:t>
      </w:r>
    </w:p>
    <w:p>
      <w:pPr>
        <w:spacing w:after="0" w:line="102" w:lineRule="exact"/>
        <w:rPr>
          <w:sz w:val="20"/>
          <w:szCs w:val="20"/>
          <w:color w:val="auto"/>
        </w:rPr>
      </w:pPr>
    </w:p>
    <w:p>
      <w:pPr>
        <w:ind w:right="300" w:firstLine="435"/>
        <w:spacing w:after="0" w:line="303" w:lineRule="auto"/>
        <w:rPr>
          <w:sz w:val="20"/>
          <w:szCs w:val="20"/>
          <w:color w:val="auto"/>
        </w:rPr>
      </w:pPr>
      <w:r>
        <w:rPr>
          <w:rFonts w:ascii="Times New Roman" w:cs="Times New Roman" w:eastAsia="Times New Roman" w:hAnsi="Times New Roman"/>
          <w:sz w:val="16"/>
          <w:szCs w:val="16"/>
          <w:color w:val="auto"/>
        </w:rPr>
        <w:t>On July 31, 2024, the Company sold its 50% interest in Biltmore Fashion Park, a 611,000 square foot regional retail center in Phoenix, Arizona, for $110.0 million. The Company used the net proceeds to pay down debt. As a result of this transaction, the Company recognized a gain of $42.8 million (See "Liquidity and Capital Resources" and Note 4—Investments In Unconsolidated Joint Ventures in the Notes to the Consolidated Financial Statements).</w:t>
      </w:r>
    </w:p>
    <w:p>
      <w:pPr>
        <w:spacing w:after="0" w:line="80"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 million, which resulted in a loss on sale of assets of $0.9 million. The Company used the net proceeds to pay down debt.</w:t>
      </w:r>
    </w:p>
    <w:p>
      <w:pPr>
        <w:spacing w:after="0" w:line="102" w:lineRule="exact"/>
        <w:rPr>
          <w:sz w:val="20"/>
          <w:szCs w:val="20"/>
          <w:color w:val="auto"/>
        </w:rPr>
      </w:pPr>
    </w:p>
    <w:p>
      <w:pPr>
        <w:ind w:right="280" w:firstLine="435"/>
        <w:spacing w:after="0" w:line="332" w:lineRule="auto"/>
        <w:rPr>
          <w:sz w:val="20"/>
          <w:szCs w:val="20"/>
          <w:color w:val="auto"/>
        </w:rPr>
      </w:pPr>
      <w:r>
        <w:rPr>
          <w:rFonts w:ascii="Times New Roman" w:cs="Times New Roman" w:eastAsia="Times New Roman" w:hAnsi="Times New Roman"/>
          <w:sz w:val="16"/>
          <w:szCs w:val="16"/>
          <w:color w:val="auto"/>
        </w:rPr>
        <w:t>On December 10, 2024, the Company sold The Oaks, a 1,206,000 square foot regional retail center in Thousand Oaks, California, for $157.0 million, which resulted in a loss on sale of assets of $6.9 million. The Company used the net proceeds to pay off the $147.8 million loan on the property.</w:t>
      </w:r>
    </w:p>
    <w:p>
      <w:pPr>
        <w:spacing w:after="0" w:line="44"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2024, the Company and certain joint venture partners sold various land parcels in separate transactions, resulting in the Company's share of the gain on sale of land of $2.8 million. The Company used its share of the proceeds from these sales of $6.1 million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2" w:name="page43"/>
    <w:bookmarkEnd w:id="42"/>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The Company is under contract to sell Wilton Mall for $24.8 million, which is expected to close in the first half of 2025, subject to customary closing conditions. This asset is unencumbered.</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1" w:lineRule="exact"/>
        <w:rPr>
          <w:sz w:val="20"/>
          <w:szCs w:val="20"/>
          <w:color w:val="auto"/>
        </w:rPr>
      </w:pPr>
    </w:p>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$197.0 million loan on the property with a new $175.0 million loan that bore interest at SOFR plus 3.70% and matured on February 9, 2025. The loan was covered by an interest rate cap agreement that effectively prevented SOFR from exceeding 4.0% through February 15, 2024 and 5.0% through February 9, 2025.</w:t>
      </w:r>
    </w:p>
    <w:p>
      <w:pPr>
        <w:spacing w:after="0" w:line="115"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On April 29, 2022, the Company replaced the existing $110.6 million loan on Pacific View with a new $72.0 million loan that bears interest at a fixed rate of 5.29% and matures on May 6, 2032.</w:t>
      </w:r>
    </w:p>
    <w:p>
      <w:pPr>
        <w:spacing w:after="0" w:line="89"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102"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102" w:lineRule="exact"/>
        <w:rPr>
          <w:sz w:val="20"/>
          <w:szCs w:val="20"/>
          <w:color w:val="auto"/>
        </w:rPr>
      </w:pPr>
    </w:p>
    <w:p>
      <w:pPr>
        <w:ind w:right="180" w:firstLine="435"/>
        <w:spacing w:after="0" w:line="252" w:lineRule="auto"/>
        <w:rPr>
          <w:sz w:val="20"/>
          <w:szCs w:val="20"/>
          <w:color w:val="auto"/>
        </w:rPr>
      </w:pPr>
      <w:r>
        <w:rPr>
          <w:rFonts w:ascii="Times New Roman" w:cs="Times New Roman" w:eastAsia="Times New Roman" w:hAnsi="Times New Roman"/>
          <w:sz w:val="18"/>
          <w:szCs w:val="18"/>
          <w:color w:val="auto"/>
        </w:rPr>
        <w:t>On November 14, 2022, the Company’s joint venture in Washington Square extended the maturity date on the $503.0 million loan on the property to November 1, 2026, including extension options. The loan bore interest at a floating interest rate of SOFR plus 4.0%, subject to an interest rate cap agreement that effectively prevented SOFR from exceeding 4.0% through November 1, 2024. The joint venture repaid $15.0 million ($9.0 million at the Company's pro rata share) of the loan at closing.</w:t>
      </w:r>
    </w:p>
    <w:p>
      <w:pPr>
        <w:spacing w:after="0" w:line="106"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December 9, 2022, the Company extended the maturity date on the $300.0 million loan on Santa Monica Place to December 9, 2025, including extension options. The loan previously bore interest at a floating interest rate of LIBOR plus 1.48% and converted to 1-month Term SOFR plus 1.52% effective July 9, 2023.</w:t>
      </w:r>
    </w:p>
    <w:p>
      <w:pPr>
        <w:spacing w:after="0" w:line="115" w:lineRule="exact"/>
        <w:rPr>
          <w:sz w:val="20"/>
          <w:szCs w:val="20"/>
          <w:color w:val="auto"/>
        </w:rPr>
      </w:pPr>
    </w:p>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115" w:lineRule="exact"/>
        <w:rPr>
          <w:sz w:val="20"/>
          <w:szCs w:val="20"/>
          <w:color w:val="auto"/>
        </w:rPr>
      </w:pPr>
    </w:p>
    <w:p>
      <w:pPr>
        <w:ind w:right="40" w:firstLine="435"/>
        <w:spacing w:after="0" w:line="269" w:lineRule="auto"/>
        <w:rPr>
          <w:sz w:val="20"/>
          <w:szCs w:val="20"/>
          <w:color w:val="auto"/>
        </w:rPr>
      </w:pPr>
      <w:r>
        <w:rPr>
          <w:rFonts w:ascii="Times New Roman" w:cs="Times New Roman" w:eastAsia="Times New Roman" w:hAnsi="Times New Roman"/>
          <w:sz w:val="18"/>
          <w:szCs w:val="18"/>
          <w:color w:val="auto"/>
        </w:rPr>
        <w:t>On January 20, 2023, the Company exercised its one-year extension option of the loan on Fashion District Philadelphia to January 22, 2024. The interest rate was SOFR plus 3.60% and the Company repaid $26.1 million of the outstanding loan balance at closing.</w:t>
      </w:r>
    </w:p>
    <w:p>
      <w:pPr>
        <w:spacing w:after="0" w:line="89"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102" w:lineRule="exact"/>
        <w:rPr>
          <w:sz w:val="20"/>
          <w:szCs w:val="20"/>
          <w:color w:val="auto"/>
        </w:rPr>
      </w:pPr>
    </w:p>
    <w:p>
      <w:pPr>
        <w:ind w:right="280" w:firstLine="435"/>
        <w:spacing w:after="0" w:line="269" w:lineRule="auto"/>
        <w:rPr>
          <w:sz w:val="20"/>
          <w:szCs w:val="20"/>
          <w:color w:val="auto"/>
        </w:rPr>
      </w:pPr>
      <w:r>
        <w:rPr>
          <w:rFonts w:ascii="Times New Roman" w:cs="Times New Roman" w:eastAsia="Times New Roman" w:hAnsi="Times New Roman"/>
          <w:sz w:val="18"/>
          <w:szCs w:val="18"/>
          <w:color w:val="auto"/>
        </w:rPr>
        <w:t>On March 22, 2023, the Company executed the one-year extension option on its credit facility to April 14, 2024. Effective March 13, 2023, the credit facility converted from LIBOR to 1-month Term SOFR.</w:t>
      </w:r>
    </w:p>
    <w:p>
      <w:pPr>
        <w:spacing w:after="0" w:line="102" w:lineRule="exact"/>
        <w:rPr>
          <w:sz w:val="20"/>
          <w:szCs w:val="20"/>
          <w:color w:val="auto"/>
        </w:rPr>
      </w:pPr>
    </w:p>
    <w:p>
      <w:pPr>
        <w:jc w:val="both"/>
        <w:ind w:right="20" w:firstLine="435"/>
        <w:spacing w:after="0" w:line="25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102"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 million ($147.6 million at the Company's pro rata share) non-recourse loan on the property. The Company’s joint venture subsequently sold the property on June 28, 2024 and the remaining amount owed by the joint venture was forgiven by the lender.</w:t>
      </w:r>
    </w:p>
    <w:p>
      <w:pPr>
        <w:spacing w:after="0" w:line="115" w:lineRule="exact"/>
        <w:rPr>
          <w:sz w:val="20"/>
          <w:szCs w:val="20"/>
          <w:color w:val="auto"/>
        </w:rPr>
      </w:pPr>
    </w:p>
    <w:p>
      <w:pPr>
        <w:jc w:val="both"/>
        <w:ind w:right="160" w:firstLine="435"/>
        <w:spacing w:after="0" w:line="256" w:lineRule="auto"/>
        <w:rPr>
          <w:sz w:val="20"/>
          <w:szCs w:val="20"/>
          <w:color w:val="auto"/>
        </w:rPr>
      </w:pPr>
      <w:r>
        <w:rPr>
          <w:rFonts w:ascii="Times New Roman" w:cs="Times New Roman" w:eastAsia="Times New Roman" w:hAnsi="Times New Roman"/>
          <w:sz w:val="18"/>
          <w:szCs w:val="18"/>
          <w:color w:val="auto"/>
        </w:rPr>
        <w:t>On June 27, 2023, the Company closed on a one-year extension on the $133.5 million loan on Danbury Fair Mall to July 1, 2024. The Company repaid $10.0 million of the outstanding loan balance at closing and the amended interest rate was 7.5% as of July 1, 2023 and incrementally increased to 8.0% as of October 1, 2023, 8.5% as of January 1, 2024 and 9.0% as of April 1, 2024.</w:t>
      </w:r>
    </w:p>
    <w:p>
      <w:pPr>
        <w:spacing w:after="0" w:line="115" w:lineRule="exact"/>
        <w:rPr>
          <w:sz w:val="20"/>
          <w:szCs w:val="20"/>
          <w:color w:val="auto"/>
        </w:rPr>
      </w:pPr>
    </w:p>
    <w:p>
      <w:pPr>
        <w:ind w:right="100" w:firstLine="435"/>
        <w:spacing w:after="0" w:line="250" w:lineRule="auto"/>
        <w:rPr>
          <w:sz w:val="20"/>
          <w:szCs w:val="20"/>
          <w:color w:val="auto"/>
        </w:rPr>
      </w:pPr>
      <w:r>
        <w:rPr>
          <w:rFonts w:ascii="Times New Roman" w:cs="Times New Roman" w:eastAsia="Times New Roman" w:hAnsi="Times New Roman"/>
          <w:sz w:val="18"/>
          <w:szCs w:val="18"/>
          <w:color w:val="auto"/>
        </w:rPr>
        <w:t>On September 11, 2023, the Company and Operating Partnership entered into an amended and restated credit agreement, which amended and restated their prior $525.0 million credit agreement, and provides for an aggregate $650.0 million revolving loan facility that matures on February 1, 2027, with a one-year extension option. Concurrently with the entry into the amended and restated credit agreement, the Company drew $152.0 million of the amount available under the revolving loan facility and used the proceeds to repay in full amounts outstanding under the Company’s prior credit facility. (See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3" w:name="page44"/>
    <w:bookmarkEnd w:id="43"/>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Effective October 6, 2023, the Company's $86.5 million loan on Fashion Outlets of Niagara Falls was in default. On March 19, 2024, the Company closed a three-year extension of the $84.7 million loan on Fashion Outlets of Niagara Falls. The scheduled outstanding $1.8 million principal payments were applied at closing. The extended loan bears the same fixed interest rate of 5.90%, and matures on October 6, 2026.</w:t>
      </w:r>
    </w:p>
    <w:p>
      <w:pPr>
        <w:spacing w:after="0" w:line="102"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$24.0 million loan that bears interest at a variable rate of SOFR plus 2.50%, is interest only during the entire loan term and matures on December 5, 2028.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31"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was scheduled to mature on April 21, 2024 and was paid in full prior to maturity.</w:t>
      </w:r>
    </w:p>
    <w:p>
      <w:pPr>
        <w:spacing w:after="0" w:line="89" w:lineRule="exact"/>
        <w:rPr>
          <w:sz w:val="20"/>
          <w:szCs w:val="20"/>
          <w:color w:val="auto"/>
        </w:rPr>
      </w:pPr>
    </w:p>
    <w:p>
      <w:pPr>
        <w:ind w:right="100" w:firstLine="435"/>
        <w:spacing w:after="0" w:line="269"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102"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The Company is in negotiations with the lender on the terms of this non-recourse loan.</w:t>
      </w:r>
    </w:p>
    <w:p>
      <w:pPr>
        <w:spacing w:after="0" w:line="102" w:lineRule="exact"/>
        <w:rPr>
          <w:sz w:val="20"/>
          <w:szCs w:val="20"/>
          <w:color w:val="auto"/>
        </w:rPr>
      </w:pPr>
    </w:p>
    <w:p>
      <w:pPr>
        <w:ind w:right="180" w:firstLine="435"/>
        <w:spacing w:after="0" w:line="303" w:lineRule="auto"/>
        <w:rPr>
          <w:sz w:val="20"/>
          <w:szCs w:val="20"/>
          <w:color w:val="auto"/>
        </w:rPr>
      </w:pPr>
      <w:r>
        <w:rPr>
          <w:rFonts w:ascii="Times New Roman" w:cs="Times New Roman" w:eastAsia="Times New Roman" w:hAnsi="Times New Roman"/>
          <w:sz w:val="16"/>
          <w:szCs w:val="16"/>
          <w:color w:val="auto"/>
        </w:rPr>
        <w:t>On May 24, 2024, the Company closed a two-year extension of the $149.9 million loan on The Oaks, which was scheduled to mature on June 5, 2026. The interest rate during the first year of the extended term was 7.5% and would have increased to 8.5% during the second year of the extended term. On December 10, 2024, the Company repaid in full the $147.8 million loan with the net proceeds from the sale of the property (See "Dispositions").</w:t>
      </w:r>
    </w:p>
    <w:p>
      <w:pPr>
        <w:spacing w:after="0" w:line="67"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spacing w:after="0" w:line="115"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On August 22, 2024, the Company closed an $85.0 million, ten-year refinance of the loan on The Mall of Victor Valley. The new loan bears interest at a fixed rate of 6.72%, is interest only during the entire loan term and matures on September 6, 2034.</w:t>
      </w:r>
    </w:p>
    <w:p>
      <w:pPr>
        <w:spacing w:after="0" w:line="102"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On October 28, 2024, the Company closed a $525.0 million, five-year refinance of the loan on Queens Center, which matures on November 6, 2029. The new loan replaced the existing $600.0 million loan, bears interest at a fixed rate of 5.37% and is interest only during the entire loan term.</w:t>
      </w:r>
    </w:p>
    <w:p>
      <w:pPr>
        <w:spacing w:after="0" w:line="89" w:lineRule="exact"/>
        <w:rPr>
          <w:sz w:val="20"/>
          <w:szCs w:val="20"/>
          <w:color w:val="auto"/>
        </w:rPr>
      </w:pPr>
    </w:p>
    <w:p>
      <w:pPr>
        <w:ind w:right="180" w:firstLine="435"/>
        <w:spacing w:after="0" w:line="252" w:lineRule="auto"/>
        <w:rPr>
          <w:sz w:val="20"/>
          <w:szCs w:val="20"/>
          <w:color w:val="auto"/>
        </w:rPr>
      </w:pPr>
      <w:r>
        <w:rPr>
          <w:rFonts w:ascii="Times New Roman" w:cs="Times New Roman" w:eastAsia="Times New Roman" w:hAnsi="Times New Roman"/>
          <w:sz w:val="18"/>
          <w:szCs w:val="18"/>
          <w:color w:val="auto"/>
        </w:rPr>
        <w:t>On December 2, 2024, the Company repaid in full the $478.0 million loan on Washington Square with the net proceeds received from the Company’s public stock offering, which closed on November 27, 2024, together with cash on hand (See “Other Transactions and Events”). The mortgage loan on the property was scheduled to mature on November 1, 2026. The Company recognized a gain on extinguishment of debt of $14.4 million upon the repayment of the loan.</w:t>
      </w:r>
    </w:p>
    <w:p>
      <w:pPr>
        <w:spacing w:after="0" w:line="119" w:lineRule="exact"/>
        <w:rPr>
          <w:sz w:val="20"/>
          <w:szCs w:val="20"/>
          <w:color w:val="auto"/>
        </w:rPr>
      </w:pPr>
    </w:p>
    <w:p>
      <w:pPr>
        <w:ind w:right="380" w:firstLine="435"/>
        <w:spacing w:after="0" w:line="286" w:lineRule="auto"/>
        <w:rPr>
          <w:sz w:val="20"/>
          <w:szCs w:val="20"/>
          <w:color w:val="auto"/>
        </w:rPr>
      </w:pPr>
      <w:r>
        <w:rPr>
          <w:rFonts w:ascii="Times New Roman" w:cs="Times New Roman" w:eastAsia="Times New Roman" w:hAnsi="Times New Roman"/>
          <w:sz w:val="16"/>
          <w:szCs w:val="16"/>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12.25% and the first mortgage has an interest rate of SOFR plus 2.90% for a weighted average aggregate interest rate of SOFR plus 3.70%. The interest rate on the first mortgage is SOFR plus 2.90% during the extension period.</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38" w:lineRule="exact"/>
        <w:rPr>
          <w:sz w:val="20"/>
          <w:szCs w:val="20"/>
          <w:color w:val="auto"/>
        </w:rPr>
      </w:pPr>
    </w:p>
    <w:p>
      <w:pPr>
        <w:ind w:right="60" w:firstLine="435"/>
        <w:spacing w:after="0" w:line="250"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first quarter of 2024, the Company evaluated its investment and concluded that due to certain conditions, the Company should not continue to invest capital in this development project. As a result, the Company wrote-off its share of the investment in the three months ended March 31, 2024. At the time of the write-off, the Company had funded $39.5 million of the total $78.9 million incurred by the joint venture (See Note 4 – Investments in Unconsolidated Joint Ventures in the Notes to the Consolidated Financial Statements).</w:t>
      </w:r>
    </w:p>
    <w:p>
      <w:pPr>
        <w:spacing w:after="0" w:line="121"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1,875,000 square foot regional retail center in Scottsdale, Arizona, is redeveloping a two-level Nordstrom wing with luxury-focused retail and restaurant uses. The total cost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17" w:right="379" w:bottom="1440" w:gutter="0" w:footer="0" w:header="0"/>
        </w:sectPr>
      </w:pPr>
    </w:p>
    <w:bookmarkStart w:id="44" w:name="page45"/>
    <w:bookmarkEnd w:id="44"/>
    <w:p>
      <w:pPr>
        <w:ind w:right="340"/>
        <w:spacing w:after="0" w:line="256" w:lineRule="auto"/>
        <w:rPr>
          <w:sz w:val="20"/>
          <w:szCs w:val="20"/>
          <w:color w:val="auto"/>
        </w:rPr>
      </w:pPr>
      <w:r>
        <w:rPr>
          <w:rFonts w:ascii="Times New Roman" w:cs="Times New Roman" w:eastAsia="Times New Roman" w:hAnsi="Times New Roman"/>
          <w:sz w:val="18"/>
          <w:szCs w:val="18"/>
          <w:color w:val="auto"/>
        </w:rPr>
        <w:t>project is estimated to be between $84.0 million and $90.0 million, with $42.0 million to $45.0 million estimated to be the Company’s pro rata share. The Company has incurred $25.9 million of the total $51.8 million incurred by the joint venture as of December 31, 2024. The opening will be in phases which began in 2024, with anticipated completion in 2025.</w:t>
      </w:r>
    </w:p>
    <w:p>
      <w:pPr>
        <w:spacing w:after="0" w:line="102" w:lineRule="exact"/>
        <w:rPr>
          <w:sz w:val="20"/>
          <w:szCs w:val="20"/>
          <w:color w:val="auto"/>
        </w:rPr>
      </w:pPr>
    </w:p>
    <w:p>
      <w:pPr>
        <w:jc w:val="both"/>
        <w:ind w:right="180" w:firstLine="435"/>
        <w:spacing w:after="0" w:line="294" w:lineRule="auto"/>
        <w:rPr>
          <w:sz w:val="20"/>
          <w:szCs w:val="20"/>
          <w:color w:val="auto"/>
        </w:rPr>
      </w:pPr>
      <w:r>
        <w:rPr>
          <w:rFonts w:ascii="Times New Roman" w:cs="Times New Roman" w:eastAsia="Times New Roman" w:hAnsi="Times New Roman"/>
          <w:sz w:val="16"/>
          <w:szCs w:val="16"/>
          <w:color w:val="auto"/>
        </w:rPr>
        <w:t>The Company is redeveloping the northeast quadrant of Green Acres Mall, a 2,058,000 square foot regional retail center in Valley Stream, New York. The project will include new exterior shops and facade totaling approximately 385,000 square feet of leasing, including new grocery use, redevelopment of a vacant anchor building and demolition of another vacant anchor building. The total cost of the project is estimated to be between $120.0 million and $140.0 million. The Company has incurred approximately $19.7 million as of December 31, 2024. The anticipated opening is in 2026.</w:t>
      </w:r>
    </w:p>
    <w:p>
      <w:pPr>
        <w:spacing w:after="0" w:line="87" w:lineRule="exact"/>
        <w:rPr>
          <w:sz w:val="20"/>
          <w:szCs w:val="20"/>
          <w:color w:val="auto"/>
        </w:rPr>
      </w:pPr>
    </w:p>
    <w:p>
      <w:pPr>
        <w:ind w:right="220" w:firstLine="435"/>
        <w:spacing w:after="0" w:line="282" w:lineRule="auto"/>
        <w:rPr>
          <w:sz w:val="20"/>
          <w:szCs w:val="20"/>
          <w:color w:val="auto"/>
        </w:rPr>
      </w:pPr>
      <w:r>
        <w:rPr>
          <w:rFonts w:ascii="Times New Roman" w:cs="Times New Roman" w:eastAsia="Times New Roman" w:hAnsi="Times New Roman"/>
          <w:sz w:val="16"/>
          <w:szCs w:val="16"/>
          <w:color w:val="auto"/>
        </w:rPr>
        <w:t>The Company’s joint venture in FlatIron Crossing, a 1,390,000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expected to be 43.4% in the residential portion of the development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 in the remainder of the property. The total cost of the project is estimated to be between $240.0 million and $260.0 million, with $120.0 million to</w:t>
      </w:r>
    </w:p>
    <w:p>
      <w:pPr>
        <w:spacing w:after="0" w:line="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$130.0 million estimated to be the Company’s pro rata share. The Company has incurred $9.1 million of the total $17.9 million incurred by the joint venture as of December 31, 2024. The anticipated opening will be in phases beginning in 2027.</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24" w:lineRule="exact"/>
        <w:rPr>
          <w:sz w:val="20"/>
          <w:szCs w:val="20"/>
          <w:color w:val="auto"/>
        </w:rPr>
      </w:pPr>
    </w:p>
    <w:p>
      <w:pPr>
        <w:jc w:val="both"/>
        <w:ind w:right="160" w:firstLine="435"/>
        <w:spacing w:after="0" w:line="241"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in the year ended December 31, 2024. On February 14, 2025, the Company announced a first quarter cash dividend of $0.17 per share of its common stock, which will be paid on March 18, 2025 to stockholders of record on March 4, 2025. The dividend amount will be reviewed by the Board on a quarterly basis.</w:t>
      </w:r>
    </w:p>
    <w:p>
      <w:pPr>
        <w:spacing w:after="0" w:line="114" w:lineRule="exact"/>
        <w:rPr>
          <w:sz w:val="20"/>
          <w:szCs w:val="20"/>
          <w:color w:val="auto"/>
        </w:rPr>
      </w:pPr>
    </w:p>
    <w:p>
      <w:pPr>
        <w:ind w:firstLine="435"/>
        <w:spacing w:after="0" w:line="233"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9.4 million shares of common stock for approximately $148.6 million of net proceeds through the 2021 ATM Program at a weighted average share price of $15.81. The 2021 ATM Program was fully utilized as of September 30, 2024 and is no longer active.</w:t>
      </w:r>
    </w:p>
    <w:p>
      <w:pPr>
        <w:spacing w:after="0" w:line="115" w:lineRule="exact"/>
        <w:rPr>
          <w:sz w:val="20"/>
          <w:szCs w:val="20"/>
          <w:color w:val="auto"/>
        </w:rPr>
      </w:pPr>
    </w:p>
    <w:p>
      <w:pPr>
        <w:ind w:right="60" w:firstLine="435"/>
        <w:spacing w:after="0" w:line="272" w:lineRule="auto"/>
        <w:rPr>
          <w:sz w:val="20"/>
          <w:szCs w:val="20"/>
          <w:color w:val="auto"/>
        </w:rPr>
      </w:pPr>
      <w:r>
        <w:rPr>
          <w:rFonts w:ascii="Times New Roman" w:cs="Times New Roman" w:eastAsia="Times New Roman" w:hAnsi="Times New Roman"/>
          <w:sz w:val="16"/>
          <w:szCs w:val="16"/>
          <w:color w:val="auto"/>
        </w:rPr>
        <w:t>In connection with the commencement of a separate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3.7 million shares of common stock for approximately $69.1 million of net proceeds through the 2024 ATM Program at a weighted average price of $18.68. As of December 31, 2024, the Company had approximately $429.3 million of gross sales of its common stock available under the 2024 ATM Program.</w:t>
      </w:r>
    </w:p>
    <w:p>
      <w:pPr>
        <w:spacing w:after="0" w:line="90" w:lineRule="exact"/>
        <w:rPr>
          <w:sz w:val="20"/>
          <w:szCs w:val="20"/>
          <w:color w:val="auto"/>
        </w:rPr>
      </w:pPr>
    </w:p>
    <w:p>
      <w:pPr>
        <w:ind w:right="40" w:firstLine="435"/>
        <w:spacing w:after="0" w:line="294" w:lineRule="auto"/>
        <w:rPr>
          <w:sz w:val="20"/>
          <w:szCs w:val="20"/>
          <w:color w:val="auto"/>
        </w:rPr>
      </w:pPr>
      <w:r>
        <w:rPr>
          <w:rFonts w:ascii="Times New Roman" w:cs="Times New Roman" w:eastAsia="Times New Roman" w:hAnsi="Times New Roman"/>
          <w:sz w:val="16"/>
          <w:szCs w:val="16"/>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87"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38" w:lineRule="exact"/>
        <w:rPr>
          <w:sz w:val="20"/>
          <w:szCs w:val="20"/>
          <w:color w:val="auto"/>
        </w:rPr>
      </w:pPr>
    </w:p>
    <w:p>
      <w:pPr>
        <w:ind w:right="120" w:firstLine="435"/>
        <w:spacing w:after="0" w:line="248" w:lineRule="auto"/>
        <w:rPr>
          <w:sz w:val="20"/>
          <w:szCs w:val="20"/>
          <w:color w:val="auto"/>
        </w:rPr>
      </w:pPr>
      <w:r>
        <w:rPr>
          <w:rFonts w:ascii="Times New Roman" w:cs="Times New Roman" w:eastAsia="Times New Roman" w:hAnsi="Times New Roman"/>
          <w:sz w:val="18"/>
          <w:szCs w:val="18"/>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(See "Item 1. Business of the Company—Lease Expirations"),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had a negative impact on the Company's costs in 2024 and is expected to continue to have a negative impact on the Company's costs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8"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prepared in accordance with generally accepted accounting principles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ind w:firstLine="435"/>
        <w:spacing w:after="0" w:line="294" w:lineRule="auto"/>
        <w:rPr>
          <w:sz w:val="20"/>
          <w:szCs w:val="20"/>
          <w:color w:val="auto"/>
        </w:rPr>
      </w:pPr>
      <w:r>
        <w:rPr>
          <w:rFonts w:ascii="Times New Roman" w:cs="Times New Roman" w:eastAsia="Times New Roman" w:hAnsi="Times New Roman"/>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38" w:lineRule="exact"/>
        <w:rPr>
          <w:sz w:val="20"/>
          <w:szCs w:val="20"/>
          <w:color w:val="auto"/>
        </w:rPr>
      </w:pPr>
    </w:p>
    <w:p>
      <w:pPr>
        <w:ind w:firstLine="435"/>
        <w:spacing w:after="0" w:line="278"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311" w:lineRule="exact"/>
        <w:rPr>
          <w:sz w:val="20"/>
          <w:szCs w:val="20"/>
          <w:color w:val="auto"/>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38" w:lineRule="exact"/>
        <w:rPr>
          <w:sz w:val="20"/>
          <w:szCs w:val="20"/>
          <w:color w:val="auto"/>
        </w:rPr>
      </w:pPr>
    </w:p>
    <w:p>
      <w:pPr>
        <w:ind w:right="20" w:firstLine="435"/>
        <w:spacing w:after="0" w:line="284" w:lineRule="auto"/>
        <w:rPr>
          <w:sz w:val="20"/>
          <w:szCs w:val="20"/>
          <w:color w:val="auto"/>
        </w:rPr>
      </w:pPr>
      <w:r>
        <w:rPr>
          <w:rFonts w:ascii="Times New Roman" w:cs="Times New Roman" w:eastAsia="Times New Roman" w:hAnsi="Times New Roman"/>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46" w:name="page47"/>
    <w:bookmarkEnd w:id="46"/>
    <w:p>
      <w:pPr>
        <w:ind w:right="400" w:firstLine="435"/>
        <w:spacing w:after="0" w:line="25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102" w:lineRule="exact"/>
        <w:rPr>
          <w:sz w:val="20"/>
          <w:szCs w:val="20"/>
          <w:color w:val="auto"/>
        </w:rPr>
      </w:pPr>
    </w:p>
    <w:p>
      <w:pPr>
        <w:ind w:right="140" w:firstLine="435"/>
        <w:spacing w:after="0" w:line="250"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51"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89" w:lineRule="exact"/>
        <w:rPr>
          <w:sz w:val="20"/>
          <w:szCs w:val="20"/>
          <w:color w:val="auto"/>
        </w:rPr>
      </w:pPr>
    </w:p>
    <w:p>
      <w:pPr>
        <w:ind w:firstLine="435"/>
        <w:spacing w:after="0" w:line="283" w:lineRule="auto"/>
        <w:rPr>
          <w:sz w:val="20"/>
          <w:szCs w:val="20"/>
          <w:color w:val="auto"/>
        </w:rPr>
      </w:pPr>
      <w:r>
        <w:rPr>
          <w:rFonts w:ascii="Times New Roman" w:cs="Times New Roman" w:eastAsia="Times New Roman" w:hAnsi="Times New Roman"/>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96" w:lineRule="exact"/>
        <w:rPr>
          <w:sz w:val="20"/>
          <w:szCs w:val="20"/>
          <w:color w:val="auto"/>
        </w:rPr>
      </w:pPr>
    </w:p>
    <w:p>
      <w:pPr>
        <w:ind w:right="300" w:firstLine="435"/>
        <w:spacing w:after="0" w:line="25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15"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The Company recorded its financing arrangement (See Note 12—Financing Arrangement in the Company's Notes to the Consolidated Financial Statements) obligation at fair value on a recurring basis with changes in fair value being recorded as interest income or expense in the Company’s consolidated statements of operations. The fair value was determined based on a discounted cash flow model, with the significant unobservable inputs including discount rate, terminal capitalization rate, and market rents. The fair value of the financing arrangement obligation was sensitive to these significant unobservable inputs and a change in these inputs may result in a significantly higher or lower fair value measurement.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1" w:lineRule="exact"/>
        <w:rPr>
          <w:sz w:val="20"/>
          <w:szCs w:val="20"/>
          <w:color w:val="auto"/>
        </w:rPr>
      </w:pPr>
    </w:p>
    <w:p>
      <w:pPr>
        <w:ind w:right="220" w:firstLine="435"/>
        <w:spacing w:after="0" w:line="332" w:lineRule="auto"/>
        <w:rPr>
          <w:sz w:val="20"/>
          <w:szCs w:val="20"/>
          <w:color w:val="auto"/>
        </w:rPr>
      </w:pPr>
      <w:r>
        <w:rPr>
          <w:rFonts w:ascii="Times New Roman" w:cs="Times New Roman" w:eastAsia="Times New Roman" w:hAnsi="Times New Roman"/>
          <w:sz w:val="16"/>
          <w:szCs w:val="16"/>
          <w:color w:val="auto"/>
        </w:rPr>
        <w:t>Many of the variations in the results of operations, discussed below, occurred because of the transactions affecting the Company's properties described above, including those related to the Redevelopment Properties, the JV Transition Centers and the Disposition Properties (each as defined below).</w:t>
      </w:r>
    </w:p>
    <w:p>
      <w:pPr>
        <w:spacing w:after="0" w:line="57"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w:t>
      </w:r>
    </w:p>
    <w:p>
      <w:pPr>
        <w:spacing w:after="0" w:line="114"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For the comparison of the year ended December 31, 2024 to the year ended December 31, 2023, the Redevelopment Properties are Green Acres Mall and Fashion District Philadelphia. For the comparison of the year ended December 31, 2023 to the year ended December 31, 2022, there are no Redevelopment Properties.</w:t>
      </w:r>
    </w:p>
    <w:p>
      <w:pPr>
        <w:spacing w:after="0" w:line="115" w:lineRule="exact"/>
        <w:rPr>
          <w:sz w:val="20"/>
          <w:szCs w:val="20"/>
          <w:color w:val="auto"/>
        </w:rPr>
      </w:pPr>
    </w:p>
    <w:p>
      <w:pPr>
        <w:ind w:right="20" w:firstLine="435"/>
        <w:spacing w:after="0" w:line="269" w:lineRule="auto"/>
        <w:rPr>
          <w:sz w:val="20"/>
          <w:szCs w:val="20"/>
          <w:color w:val="auto"/>
        </w:rPr>
      </w:pPr>
      <w:r>
        <w:rPr>
          <w:rFonts w:ascii="Times New Roman" w:cs="Times New Roman" w:eastAsia="Times New Roman" w:hAnsi="Times New Roman"/>
          <w:sz w:val="18"/>
          <w:szCs w:val="18"/>
          <w:color w:val="auto"/>
        </w:rPr>
        <w:t>For the comparison of the year ended December 31, 2024 to the year ended December 31, 2023, the JV Transition Centers are Arrowhead Towne Center, Chandler Fashion Center, Lakewood Center, Los Cerritos Center, Washington Square,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7" w:name="page48"/>
    <w:bookmarkEnd w:id="47"/>
    <w:p>
      <w:pPr>
        <w:ind w:right="40"/>
        <w:spacing w:after="0" w:line="252" w:lineRule="auto"/>
        <w:rPr>
          <w:sz w:val="20"/>
          <w:szCs w:val="20"/>
          <w:color w:val="auto"/>
        </w:rPr>
      </w:pPr>
      <w:r>
        <w:rPr>
          <w:rFonts w:ascii="Times New Roman" w:cs="Times New Roman" w:eastAsia="Times New Roman" w:hAnsi="Times New Roman"/>
          <w:sz w:val="18"/>
          <w:szCs w:val="18"/>
          <w:color w:val="auto"/>
        </w:rPr>
        <w:t>South Plains Mall and the five former Sears parcels located at Chandler Fashion Center, Danbury Fair Mall, Freehold Raceway Mall, Los Cerritos Center and Washington Square (See "Acquisitions" in Management's Overview and Summary), and for the comparison of the year ended December 31, 2023 to the year ended December 31, 2022, the JV Transition Centers are the two former Sears parcels at Deptford Mall and Vintage Faire Mall, the five former Sears parcels at Chandler Fashion Center, Danbury Fair Mall, Freehold Raceway Mall, Los Cerritos Center and Washington Square.</w:t>
      </w:r>
    </w:p>
    <w:p>
      <w:pPr>
        <w:spacing w:after="0" w:line="106"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For the comparison of the year ended December 31, 2024 to the year ended December 31, 2023, the Disposition Properties are The Oaks, The Marketplace at Flagstaff, Southridge Mall, Superstition Springs Power Center, Towne Mall and a former department store parcel at Valle Vista Mall (See "Dispositions" in Management's Overview and Summary), and for the comparison of the year ended December 31, 2023 to the year ended December 31, 2022, the Disposition Properties are The Marketplace at Flagstaff, Superstition Springs Power Center and Towne Mall.</w:t>
      </w:r>
    </w:p>
    <w:p>
      <w:pPr>
        <w:spacing w:after="0" w:line="119"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102" w:lineRule="exact"/>
        <w:rPr>
          <w:sz w:val="20"/>
          <w:szCs w:val="20"/>
          <w:color w:val="auto"/>
        </w:rPr>
      </w:pPr>
    </w:p>
    <w:p>
      <w:pPr>
        <w:ind w:right="300" w:firstLine="435"/>
        <w:spacing w:after="0" w:line="252"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06" w:lineRule="exact"/>
        <w:rPr>
          <w:sz w:val="20"/>
          <w:szCs w:val="20"/>
          <w:color w:val="auto"/>
        </w:rPr>
      </w:pPr>
    </w:p>
    <w:p>
      <w:pPr>
        <w:ind w:right="20" w:firstLine="435"/>
        <w:spacing w:after="0" w:line="249" w:lineRule="auto"/>
        <w:rPr>
          <w:sz w:val="20"/>
          <w:szCs w:val="20"/>
          <w:color w:val="auto"/>
        </w:rPr>
      </w:pPr>
      <w:r>
        <w:rPr>
          <w:rFonts w:ascii="Times New Roman" w:cs="Times New Roman" w:eastAsia="Times New Roman" w:hAnsi="Times New Roman"/>
          <w:sz w:val="18"/>
          <w:szCs w:val="18"/>
          <w:color w:val="auto"/>
        </w:rPr>
        <w:t>During the trailing twelve months ended December 31, 2024, comparable tenant sales for spaces less than 10,000 square feet across the portfolio decreased by 0.4% relative to the twelve months ended December 31, 2023. The leased occupancy rate of 94.1% at December 31, 2024 represented a 0.6% increase from 93.5% at December 31, 2023 and a 0.4% sequential increase compared to the 93.7% occupancy rate at September 30, 2024. Releasing spreads increased as the Company executed leases at an average rent of $67.74 for new and renewal leases executed compared to $62.27 on leases expiring, resulting in a releasing spread increase of $5.47 per square foot, or 8.8%, for the trailing twelve months ended December 31, 2024. This was the Company's thirteenth consecutive quarter of positive base rent leasing spreads.</w:t>
      </w:r>
    </w:p>
    <w:p>
      <w:pPr>
        <w:spacing w:after="0" w:line="121"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The Company continues to renew or replace leases that are scheduled to expire in 2025, however, due to a variety of factors, the Company cannot be certain of its ability to sign, renew or replace leases expiring in 2025 or beyond. These leases that are scheduled to expire represent approximately 1.4 million square feet of the Centers, accounting for 23.25% of the GLA of mall stores and freestanding stores, for spaces 10,000 square feet and under, as of December 31, 2024. These calculations exclude Centers under development or redevelopment and property dispositions (See “Acquisitions,” "Dispositions" and "Redevelopment and Development Activities" in Management's Overview and Summary), and include square footage of Centers owned by joint ventures at the Company’s share.</w:t>
      </w:r>
    </w:p>
    <w:p>
      <w:pPr>
        <w:spacing w:after="0" w:line="121" w:lineRule="exact"/>
        <w:rPr>
          <w:sz w:val="20"/>
          <w:szCs w:val="20"/>
          <w:color w:val="auto"/>
        </w:rPr>
      </w:pPr>
    </w:p>
    <w:p>
      <w:pPr>
        <w:ind w:right="80" w:firstLine="435"/>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has executed renewal leases or commitments on 47% of its square footage expiring in 2025, which leases are expected to commence throughout 2025 and 2026 and another 32% of such expiring space is in the letter of intent stage. Excluding those leases, the remaining leases expiring in 2025, which represent approximately 600,000 square feet of the Centers, are in the prospecting stage.</w:t>
      </w:r>
    </w:p>
    <w:p>
      <w:pPr>
        <w:spacing w:after="0" w:line="102"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The Company has entered into 91 leases for new stores totaling approximately 0.9 million square feet that have opened or are planned for opening in 2025, and another 13 leases for new stores totaling approximately 300,000 square feet opening after 2025. In total, through 2028, new store leases are expected to produce total rent of approximately $66 million (at the Company's pro-rata share) in excess of the rent generated from prior uses in those same spaces. While there may be additional new space openings in 2025, any such leases are not yet executed.</w:t>
      </w:r>
    </w:p>
    <w:p>
      <w:pPr>
        <w:spacing w:after="0" w:line="119" w:lineRule="exact"/>
        <w:rPr>
          <w:sz w:val="20"/>
          <w:szCs w:val="20"/>
          <w:color w:val="auto"/>
        </w:rPr>
      </w:pPr>
    </w:p>
    <w:p>
      <w:pPr>
        <w:ind w:right="80" w:firstLine="435"/>
        <w:spacing w:after="0" w:line="332" w:lineRule="auto"/>
        <w:rPr>
          <w:sz w:val="20"/>
          <w:szCs w:val="20"/>
          <w:color w:val="auto"/>
        </w:rPr>
      </w:pPr>
      <w:r>
        <w:rPr>
          <w:rFonts w:ascii="Times New Roman" w:cs="Times New Roman" w:eastAsia="Times New Roman" w:hAnsi="Times New Roman"/>
          <w:sz w:val="16"/>
          <w:szCs w:val="16"/>
          <w:color w:val="auto"/>
        </w:rPr>
        <w:t>During the trailing twelve months ended December 31, 2024, the Company signed 229 new leases and 651 renewal leases comprising approximately 3.7 million square feet of GLA, of which 2.2 million square feet is related to the consolidated Centers. The average tenant allowance was $17.02 per square foot.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38" w:lineRule="exact"/>
        <w:rPr>
          <w:sz w:val="20"/>
          <w:szCs w:val="20"/>
          <w:color w:val="auto"/>
        </w:rPr>
      </w:pPr>
    </w:p>
    <w:p>
      <w:pPr>
        <w:ind w:right="160" w:firstLine="435"/>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ectPr>
          <w:pgSz w:w="11900" w:h="16838" w:orient="portrait"/>
          <w:cols w:equalWidth="0" w:num="1">
            <w:col w:w="11240"/>
          </w:cols>
          <w:pgMar w:left="320" w:top="1017" w:right="339" w:bottom="1440" w:gutter="0" w:footer="0" w:header="0"/>
        </w:sect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hanging="4"/>
        <w:spacing w:after="0" w:line="269" w:lineRule="auto"/>
        <w:rPr>
          <w:sz w:val="20"/>
          <w:szCs w:val="20"/>
          <w:color w:val="auto"/>
        </w:rPr>
      </w:pPr>
      <w:r>
        <w:rPr>
          <w:rFonts w:ascii="Times New Roman" w:cs="Times New Roman" w:eastAsia="Times New Roman" w:hAnsi="Times New Roman"/>
          <w:sz w:val="18"/>
          <w:szCs w:val="18"/>
          <w:color w:val="auto"/>
        </w:rPr>
        <w:t>Deleverage the capital structure, with a focus on reducing the Company’s Net Debt to Adjusted EBITDA leverage four years;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ratio over the next three to</w:t>
      </w:r>
    </w:p>
    <w:p>
      <w:pPr>
        <w:spacing w:after="0" w:line="382" w:lineRule="exact"/>
        <w:rPr>
          <w:sz w:val="20"/>
          <w:szCs w:val="20"/>
          <w:color w:val="auto"/>
        </w:rPr>
      </w:pPr>
    </w:p>
    <w:p>
      <w:pPr>
        <w:sectPr>
          <w:pgSz w:w="11900" w:h="16838" w:orient="portrait"/>
          <w:cols w:equalWidth="0" w:num="3">
            <w:col w:w="700" w:space="260"/>
            <w:col w:w="8020" w:space="380"/>
            <w:col w:w="1880"/>
          </w:cols>
          <w:pgMar w:left="320" w:top="1017"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Invest in and fortify the Company’s key assets in the portfolio;</w:t>
      </w:r>
    </w:p>
    <w:p>
      <w:pPr>
        <w:spacing w:after="0" w:line="200" w:lineRule="exact"/>
        <w:rPr>
          <w:sz w:val="20"/>
          <w:szCs w:val="20"/>
          <w:color w:val="auto"/>
        </w:rPr>
      </w:pPr>
    </w:p>
    <w:p>
      <w:pPr>
        <w:sectPr>
          <w:pgSz w:w="11900" w:h="16838" w:orient="portrait"/>
          <w:cols w:equalWidth="0" w:num="2">
            <w:col w:w="700" w:space="240"/>
            <w:col w:w="10300"/>
          </w:cols>
          <w:pgMar w:left="320" w:top="1017"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48" w:name="page49"/>
    <w:bookmarkEnd w:id="48"/>
    <w:p>
      <w:pPr>
        <w:ind w:left="940" w:hanging="302"/>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consolidate selected joint venture assets over time that are core to the Company’s overall strategy;</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post-deleveraging Funds From Operations (“FFO”) launch point goal over the next three to four years;</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outstanding operational results through rigorous internal process improvements;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the Company to take an offensive stance on acquisitions, reinvestment and selected development.</w:t>
      </w:r>
    </w:p>
    <w:p>
      <w:pPr>
        <w:spacing w:after="0" w:line="149" w:lineRule="exact"/>
        <w:rPr>
          <w:sz w:val="20"/>
          <w:szCs w:val="20"/>
          <w:color w:val="auto"/>
        </w:rPr>
      </w:pPr>
    </w:p>
    <w:p>
      <w:pPr>
        <w:ind w:right="100" w:firstLine="435"/>
        <w:spacing w:after="0" w:line="289" w:lineRule="auto"/>
        <w:rPr>
          <w:sz w:val="20"/>
          <w:szCs w:val="20"/>
          <w:color w:val="auto"/>
        </w:rPr>
      </w:pPr>
      <w:r>
        <w:rPr>
          <w:rFonts w:ascii="Times New Roman" w:cs="Times New Roman" w:eastAsia="Times New Roman" w:hAnsi="Times New Roman"/>
          <w:sz w:val="16"/>
          <w:szCs w:val="16"/>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183"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Further, the Company has a long-term four-pronged business strategy that focuses on the acquisition, leasing and management, redevelopment and development of regional retail centers. Although the majority of the key performance indicators at the Centers continued to improve during 2024, operating results have been and are expected to continue to be negatively impacted by certain external factors, including sustained inflation and elevated interest rates, as well as the impact from the 2024 bankruptcy of Express and any future tenant bankruptcies.</w:t>
      </w:r>
    </w:p>
    <w:p>
      <w:pPr>
        <w:spacing w:after="0" w:line="21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Traffic levels at the Company’s Centers for 2024 increased 1.6% over 2023 levels. Comparable tenant sales from spaces less than 10,000 square feet across the portfolio for the trailing twelve months ended December 31, 2024 decreased by 0.4% compared to the same period in 2023. Portfolio tenant sales per square foot for spaces less than 10,000 square feet for the trailing twelve months ended December 31, 2024 were $837 compared to $836 for the twelve months ended December 31, 2023.</w:t>
      </w:r>
    </w:p>
    <w:p>
      <w:pPr>
        <w:spacing w:after="0" w:line="211" w:lineRule="exact"/>
        <w:rPr>
          <w:sz w:val="20"/>
          <w:szCs w:val="20"/>
          <w:color w:val="auto"/>
        </w:rPr>
      </w:pPr>
    </w:p>
    <w:p>
      <w:pPr>
        <w:jc w:val="both"/>
        <w:ind w:right="40" w:firstLine="435"/>
        <w:spacing w:after="0" w:line="256" w:lineRule="auto"/>
        <w:rPr>
          <w:sz w:val="20"/>
          <w:szCs w:val="20"/>
          <w:color w:val="auto"/>
        </w:rPr>
      </w:pPr>
      <w:r>
        <w:rPr>
          <w:rFonts w:ascii="Times New Roman" w:cs="Times New Roman" w:eastAsia="Times New Roman" w:hAnsi="Times New Roman"/>
          <w:sz w:val="18"/>
          <w:szCs w:val="18"/>
          <w:color w:val="auto"/>
        </w:rPr>
        <w:t>During 2024, the Company signed 880 new and renewal leases for approximately 3.7 million square feet, compared to 763 leases and 3.8 million square feet signed during 2023. This leasing volume represented a 15.3% increase in the number of leases and a 3.9% decrease in the amount of square footage leased compared to the same period in 2023 on a comparable basis.</w:t>
      </w:r>
    </w:p>
    <w:p>
      <w:pPr>
        <w:spacing w:after="0" w:line="207" w:lineRule="exact"/>
        <w:rPr>
          <w:sz w:val="20"/>
          <w:szCs w:val="20"/>
          <w:color w:val="auto"/>
        </w:rPr>
      </w:pPr>
    </w:p>
    <w:p>
      <w:pPr>
        <w:ind w:right="60" w:firstLine="435"/>
        <w:spacing w:after="0" w:line="250"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year ended December 31, 2024, the Company signed leases for new stores with new-to-Macerich portfolio uses for over 225,000 square feet, with another 200,000 square feet of such new-to-Macerich portfolio leases currently in negotiation as of the date of this Annual Report on Form 10-K.</w:t>
      </w:r>
    </w:p>
    <w:p>
      <w:pPr>
        <w:spacing w:after="0" w:line="213" w:lineRule="exact"/>
        <w:rPr>
          <w:sz w:val="20"/>
          <w:szCs w:val="20"/>
          <w:color w:val="auto"/>
        </w:rPr>
      </w:pPr>
    </w:p>
    <w:p>
      <w:pPr>
        <w:ind w:right="120" w:firstLine="435"/>
        <w:spacing w:after="0" w:line="254" w:lineRule="auto"/>
        <w:rPr>
          <w:sz w:val="20"/>
          <w:szCs w:val="20"/>
          <w:color w:val="auto"/>
        </w:rPr>
      </w:pPr>
      <w:r>
        <w:rPr>
          <w:rFonts w:ascii="Times New Roman" w:cs="Times New Roman" w:eastAsia="Times New Roman" w:hAnsi="Times New Roman"/>
          <w:sz w:val="18"/>
          <w:szCs w:val="18"/>
          <w:color w:val="auto"/>
        </w:rPr>
        <w:t>As of December 31, 2024, the leased occupancy rate increased to 94.1%, a 0.6% increase compared to the leased occupancy rate of 93.5% at December 31, 2023 and a 0.4% sequential increase compared to the leased occupancy rate of 93.7% at September 30, 2024.</w:t>
      </w:r>
    </w:p>
    <w:p>
      <w:pPr>
        <w:spacing w:after="0" w:line="1" w:lineRule="exact"/>
        <w:rPr>
          <w:sz w:val="20"/>
          <w:szCs w:val="20"/>
          <w:color w:val="auto"/>
        </w:rPr>
      </w:pPr>
    </w:p>
    <w:p>
      <w:pPr>
        <w:ind w:right="80" w:firstLine="435"/>
        <w:spacing w:after="0" w:line="246" w:lineRule="auto"/>
        <w:rPr>
          <w:sz w:val="20"/>
          <w:szCs w:val="20"/>
          <w:color w:val="auto"/>
        </w:rPr>
      </w:pPr>
      <w:r>
        <w:rPr>
          <w:rFonts w:ascii="Times New Roman" w:cs="Times New Roman" w:eastAsia="Times New Roman" w:hAnsi="Times New Roman"/>
          <w:sz w:val="18"/>
          <w:szCs w:val="18"/>
          <w:color w:val="auto"/>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215" w:lineRule="exact"/>
        <w:rPr>
          <w:sz w:val="20"/>
          <w:szCs w:val="20"/>
          <w:color w:val="auto"/>
        </w:rPr>
      </w:pPr>
    </w:p>
    <w:p>
      <w:pPr>
        <w:ind w:right="100" w:firstLine="435"/>
        <w:spacing w:after="0" w:line="250" w:lineRule="auto"/>
        <w:rPr>
          <w:sz w:val="20"/>
          <w:szCs w:val="20"/>
          <w:color w:val="auto"/>
        </w:rPr>
      </w:pPr>
      <w:r>
        <w:rPr>
          <w:rFonts w:ascii="Times New Roman" w:cs="Times New Roman" w:eastAsia="Times New Roman" w:hAnsi="Times New Roman"/>
          <w:sz w:val="18"/>
          <w:szCs w:val="18"/>
          <w:color w:val="auto"/>
        </w:rPr>
        <w:t>The pace of bankruptcy filings involving the Company’s tenants has remained steady in recent years but is substantially lower than 2021 levels. For the year ended December 31, 2024, there were 13 bankruptcy filings involving the Company’s tenants, including the bankruptcy of Express announced on April 22, 2024, totaling 54 leases and representing approximately 369,000 square feet of leased space and $21.7 million of annual leasing revenue at the Company’s share. Based on current information and market data, the Company expects that the pace of bankruptcy filings in 2025 will continue to be lower than the average bankruptcy rate over the last decade.</w:t>
      </w:r>
    </w:p>
    <w:p>
      <w:pPr>
        <w:spacing w:after="0" w:line="213" w:lineRule="exact"/>
        <w:rPr>
          <w:sz w:val="20"/>
          <w:szCs w:val="20"/>
          <w:color w:val="auto"/>
        </w:rPr>
      </w:pPr>
    </w:p>
    <w:p>
      <w:pPr>
        <w:ind w:right="80" w:firstLine="435"/>
        <w:spacing w:after="0" w:line="252" w:lineRule="auto"/>
        <w:rPr>
          <w:sz w:val="20"/>
          <w:szCs w:val="20"/>
          <w:color w:val="auto"/>
        </w:rPr>
      </w:pPr>
      <w:r>
        <w:rPr>
          <w:rFonts w:ascii="Times New Roman" w:cs="Times New Roman" w:eastAsia="Times New Roman" w:hAnsi="Times New Roman"/>
          <w:sz w:val="18"/>
          <w:szCs w:val="18"/>
          <w:color w:val="auto"/>
        </w:rPr>
        <w:t>During 2025, the Company expects to generate positive cash flow after recurring operating capital expenditures, leasing capital expenditures and payment of dividends. This assumption does not include any potential capital generated from dispositions, refinancings or issuances of common stock. To the extent available, any excess cash flow may be used to fund the Company's development and redevelopment pipeline and/or to de-lever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49" w:name="page50"/>
    <w:bookmarkEnd w:id="49"/>
    <w:p>
      <w:pPr>
        <w:ind w:firstLine="435"/>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eight completed transactions since the beginning of 2024. Since January 1, 2024, the Company has refinanced or extended eight loans totaling approximately $1.4 billion, or approximately $1.2 billion at the Company’s pro rata share. For additional information on the Company’s financing transactions in 2024 through the date of this Annual Report on Form 10-K, see “Financing Activities” and "Liquidity and Capital Resources".</w:t>
      </w:r>
    </w:p>
    <w:p>
      <w:pPr>
        <w:spacing w:after="0" w:line="211"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and the Company is in negotiations with the lender on the terms of this non-recourse loan.</w:t>
      </w:r>
    </w:p>
    <w:p>
      <w:pPr>
        <w:spacing w:after="0" w:line="195" w:lineRule="exact"/>
        <w:rPr>
          <w:sz w:val="20"/>
          <w:szCs w:val="20"/>
          <w:color w:val="auto"/>
        </w:rPr>
      </w:pPr>
    </w:p>
    <w:p>
      <w:pPr>
        <w:ind w:right="40" w:firstLine="435"/>
        <w:spacing w:after="0" w:line="248" w:lineRule="auto"/>
        <w:rPr>
          <w:sz w:val="20"/>
          <w:szCs w:val="20"/>
          <w:color w:val="auto"/>
        </w:rPr>
      </w:pPr>
      <w:r>
        <w:rPr>
          <w:rFonts w:ascii="Times New Roman" w:cs="Times New Roman" w:eastAsia="Times New Roman" w:hAnsi="Times New Roman"/>
          <w:sz w:val="18"/>
          <w:szCs w:val="18"/>
          <w:color w:val="auto"/>
        </w:rPr>
        <w:t>Elevated interest rates have increased, and may continue to increase, the cost of the Company’s borrowings due to its outstanding floating-rate debt and have led, and may continue to lead, to higher interest rates on new fixed-rate debt. While interest rates have begun to decrease, they remain elevated and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1" w:lineRule="exact"/>
        <w:rPr>
          <w:sz w:val="20"/>
          <w:szCs w:val="20"/>
          <w:color w:val="auto"/>
        </w:rPr>
      </w:pPr>
    </w:p>
    <w:p>
      <w:pPr>
        <w:ind w:right="80" w:firstLine="435"/>
        <w:spacing w:after="0" w:line="284" w:lineRule="auto"/>
        <w:rPr>
          <w:sz w:val="20"/>
          <w:szCs w:val="20"/>
          <w:color w:val="auto"/>
        </w:rPr>
      </w:pPr>
      <w:r>
        <w:rPr>
          <w:rFonts w:ascii="Times New Roman" w:cs="Times New Roman" w:eastAsia="Times New Roman" w:hAnsi="Times New Roman"/>
          <w:sz w:val="16"/>
          <w:szCs w:val="16"/>
          <w:color w:val="auto"/>
        </w:rPr>
        <w:t>Leasing revenue increased by $41.4 million, or 5.1%, from 2023 to 2024. The increase in leasing revenue is attributed to increases of $61.3 million from the JV Transition Centers offset in part by decreases of $7.1 million from the Disposition Properties and $12.3 million from the Redevelopment Properties. Leasing revenue includes the amortization of above and below-market leases, the amortization of straight-line rents, lease termination income, percentage rent and the recovery of bad debts. The amortization of above and below-market leases increased from $3.1 million in 2023 to $5.3 million in 2024. The amortization of straight-line rents increased from $(4.6) million in 2023 to $(0.8) million in 2024. Lease termination income decreased from $10.5 million in 2023 to $2.9 million in 2024. Percentage rent decreased from $38.2 million in 2023 to $34.3 million in 2024 primarily from conversions from variable rent to fixed rent structures on lease renewals of expiring space. (Provisions for) recovery of bad debts increased from $2.7 million in 2023 to $(6.2) million in 2024.</w:t>
      </w:r>
    </w:p>
    <w:p>
      <w:pPr>
        <w:spacing w:after="0" w:line="96"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Other income decreased from $44.9 million in 2023 to $37.9 million in 2024. This decrease is primarily due to a decrease in parking income related to the Same Centers and other non-recurring income in 2023 compared to 2024.</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51" w:lineRule="exact"/>
        <w:rPr>
          <w:sz w:val="20"/>
          <w:szCs w:val="20"/>
          <w:color w:val="auto"/>
        </w:rPr>
      </w:pPr>
    </w:p>
    <w:p>
      <w:pPr>
        <w:ind w:right="60" w:firstLine="435"/>
        <w:spacing w:after="0" w:line="252" w:lineRule="auto"/>
        <w:rPr>
          <w:sz w:val="20"/>
          <w:szCs w:val="20"/>
          <w:color w:val="auto"/>
        </w:rPr>
      </w:pPr>
      <w:r>
        <w:rPr>
          <w:rFonts w:ascii="Times New Roman" w:cs="Times New Roman" w:eastAsia="Times New Roman" w:hAnsi="Times New Roman"/>
          <w:sz w:val="18"/>
          <w:szCs w:val="18"/>
          <w:color w:val="auto"/>
        </w:rPr>
        <w:t>Shopping center and operating expenses increased $18.5 million, or 6.4%, from 2023 to 2024. The increase in shopping center and operating expenses is attributed to increases of $12.1 million from the JV Transition Centers and $8.3 million from the Same Centers, which is primarily due to increased insurance, maintenance, utilities and snow removal costs, offset in part by decreases of $2.0 million from the Disposition Properties and $1.6 million from the Redevelopment Properties. Additionally, $1.7 million of the increase is attributable to Santa Monica Place.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$36.4 million in 2023 to $41.3 million in 2024 due to an increase in compensation expense.</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51" w:lineRule="exact"/>
        <w:rPr>
          <w:sz w:val="20"/>
          <w:szCs w:val="20"/>
          <w:color w:val="auto"/>
        </w:rPr>
      </w:pPr>
    </w:p>
    <w:p>
      <w:pPr>
        <w:ind w:right="720" w:firstLine="435"/>
        <w:spacing w:after="0" w:line="269" w:lineRule="auto"/>
        <w:rPr>
          <w:sz w:val="20"/>
          <w:szCs w:val="20"/>
          <w:color w:val="auto"/>
        </w:rPr>
      </w:pPr>
      <w:r>
        <w:rPr>
          <w:rFonts w:ascii="Times New Roman" w:cs="Times New Roman" w:eastAsia="Times New Roman" w:hAnsi="Times New Roman"/>
          <w:sz w:val="18"/>
          <w:szCs w:val="18"/>
          <w:color w:val="auto"/>
        </w:rPr>
        <w:t>Management Companies' operating expenses increased $12.0 million from 2023 to 2024 due to an increase in compensation expense, including employee severance costs of $5.5 million.</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decreased by $1.1 million due primarily to a decrease in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38" w:lineRule="exact"/>
        <w:rPr>
          <w:sz w:val="20"/>
          <w:szCs w:val="20"/>
          <w:color w:val="auto"/>
        </w:rPr>
      </w:pPr>
    </w:p>
    <w:p>
      <w:pPr>
        <w:jc w:val="both"/>
        <w:ind w:right="380" w:firstLine="435"/>
        <w:spacing w:after="0" w:line="303" w:lineRule="auto"/>
        <w:rPr>
          <w:sz w:val="20"/>
          <w:szCs w:val="20"/>
          <w:color w:val="auto"/>
        </w:rPr>
      </w:pPr>
      <w:r>
        <w:rPr>
          <w:rFonts w:ascii="Times New Roman" w:cs="Times New Roman" w:eastAsia="Times New Roman" w:hAnsi="Times New Roman"/>
          <w:sz w:val="16"/>
          <w:szCs w:val="16"/>
          <w:color w:val="auto"/>
        </w:rPr>
        <w:t>Depreciation and amortization increased $12.4 million from 2023 to 2024. The increase in depreciation and amortization is attributed to increases of $21.8 million from the JV Transition Centers and $1.0 million from the Redevelopment Centers offset in part by decreases of $7.6 million from the Same Centers and $6.1 million from the Disposition Properties. Additionally, $3.3 million of the increase is attributable to Santa Monica Place.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1"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Interest expense increased $47.1 million from 2023 to 2024. The increase in interest expense is attributed to increases of $31.3 million from the JV Transition Centers, $12.9 million from the financing arrangement (See Note 12—Financing Arrangement in the Company's Notes to the Consolidated Financial Statements), $2.5 million from the Same Centers and $0.4 million from higher interest rates and outstanding balances on the Company's revolving line of credit, offset in part by a decrease of $7.8 million from the Redevelopment Centers. Additionally, $7.8 million of the increase is attributable to Santa Monica Place, which includes default interest expense of $8.9 million. The decrease in interest income from the financing arrangement is primarily due to the change in fair value of the underlying properties and the mortgage notes payable on the underlying properties and Chandler Freehold no longer being accounted for as a financing arrangement (See Note 12—Financing Arrangement in the Company's Notes to the Consolidated Financial Statements).</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interest expense items are net of capitalized interest, which increased from $20.5 million in 2023 to $22.6 million in 2024.</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51" w:lineRule="exact"/>
        <w:rPr>
          <w:sz w:val="20"/>
          <w:szCs w:val="20"/>
          <w:color w:val="auto"/>
        </w:rPr>
      </w:pPr>
    </w:p>
    <w:p>
      <w:pPr>
        <w:ind w:right="40" w:firstLine="435"/>
        <w:spacing w:after="0" w:line="250" w:lineRule="auto"/>
        <w:rPr>
          <w:sz w:val="20"/>
          <w:szCs w:val="20"/>
          <w:color w:val="auto"/>
        </w:rPr>
      </w:pPr>
      <w:r>
        <w:rPr>
          <w:rFonts w:ascii="Times New Roman" w:cs="Times New Roman" w:eastAsia="Times New Roman" w:hAnsi="Times New Roman"/>
          <w:sz w:val="18"/>
          <w:szCs w:val="18"/>
          <w:color w:val="auto"/>
        </w:rPr>
        <w:t>Equity in loss of unconsolidated joint ventures increased $40.4 million from 2023 to 2024. The increase in equity in loss of unconsolidated joint ventures is primarily due to the write-down of the Company's investment in Los Angeles Premium Outlets of $57.7 million in 2024 and impairment losses of $121.1 million recognized in 2024 as a result of the shortening of holding periods on certain joint venture assets as compared to impairment losses in 2023 of $51.4 million at MS Portfolio LLC and $107.7 million at Country Club Plaza, as a result of the reduction in the estimated holding periods (See Note 4—Investments in Unconsolidated Joint Ventures in the Company’s Notes to the Consolidated Financial Statements).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Gain (Loss) on Sale or Write Down of Assets, net:</w:t>
      </w:r>
    </w:p>
    <w:p>
      <w:pPr>
        <w:spacing w:after="0" w:line="151"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color w:val="auto"/>
        </w:rPr>
        <w:t>Gain (loss) on sale or write down of assets, net increased $173.5 million from 2023 to 2024. The increase is primarily due to the gains recognized in 2024 of $334.3 million relating to the Company no longer accounting for its investment in Chandler Fashion Center as a financing arrangement (See Note 12 – Financing Arrangement and Note 16 – Dispositions in the Company’s Notes to the Consolidated Financial Statements) and $42.8 million from the sale of the Company's ownership interest in Biltmore Fashion Park offset in part by impairment losses in 2024 of $334.3 million recognized as a result of the reduction in the estimated holding periods of certain properties, including Fashion District Philadelphia, The Oaks, Santa Monica Place and Wilton Mall, as compared to an impairment loss of $144.7 million recognized in 2023 as a result of the reduction in the estimated holding period of Fashion Outlets of Niagara Falls.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38" w:lineRule="exact"/>
        <w:rPr>
          <w:sz w:val="20"/>
          <w:szCs w:val="20"/>
          <w:color w:val="auto"/>
        </w:rPr>
      </w:pPr>
    </w:p>
    <w:p>
      <w:pPr>
        <w:ind w:right="100" w:firstLine="435"/>
        <w:spacing w:after="0" w:line="250" w:lineRule="auto"/>
        <w:rPr>
          <w:sz w:val="20"/>
          <w:szCs w:val="20"/>
          <w:color w:val="auto"/>
        </w:rPr>
      </w:pPr>
      <w:r>
        <w:rPr>
          <w:rFonts w:ascii="Times New Roman" w:cs="Times New Roman" w:eastAsia="Times New Roman" w:hAnsi="Times New Roman"/>
          <w:sz w:val="18"/>
          <w:szCs w:val="18"/>
          <w:color w:val="auto"/>
        </w:rPr>
        <w:t>Net loss decreased $80.4 million from 2023 to 2024. The decrease in net loss is primarily due to the gain on sale of assets discussed above offset in part by impairment losses recognized as a result of the reduction in the estimated holding periods of certain consolidated properties and properties held by unconsolidated joint ventures, including Fashion District Philadelphia, Santa Monica Place, Los Angeles Premium Outlets, The Oaks and Wilton Mall in 2024 and by the 2023 write-down of assets as a result of the reduction in the estimated holding period at MS Portfolio LLC and Country Club Plaza, along with the other variances noted above.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51"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gain or loss on extinguishment of debt, net, accrued default interest expense and loss on non-real estate investments decreased 11.6% from $413.2 million in 2023 to $365.3 million in 2024. For a reconciliation of net (loss) income attributable to the Company, the most directly comparable GAAP financial measure, to FFO attributable to common stockholders and unit holders–basic and diluted, and FFO attributable to common stockholders and unit holders, excluding financing expense in connection with Chandler Freehold, (gain) loss on extinguishment of debt, net, accrued default interest expense and loss (gain) on non-real estate investments–diluted, see "Funds From Operations ("FFO")"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38"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Cash provided by operating activities decreased $12.1 million from 2023 to 2024. The decrease is primarily due to the changes in assets and liabilities and the results, as discussed above.</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51"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Cash provided by investing activities decreased $32.8 million from 2023 to 2024. The decrease in cash provided by investing activities is primarily attributed to a decrease in distributions from unconsolidated joint ventures of $206.9 million, increases in the acquisitions of property of $124.1 million and development, redevelopment and renovation of $31.4 million offset in part by increases in proceeds from the sale of assets of $246.6 million and $49.0 million in cash acquired from acquisitions of unconsolidated joint ventures, and decreases in contributions to unconsolidated joint ventures of $32.2 million and property improvements of $16.2 million. The decrease in distributions from unconsolidated joint ventures is primarily due to the distribution of net loan proceeds from the Scottsdale Fashion Square refinance in 2023 (See “Financing Activities” in Management’s Overview and Summary).</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51" w:lineRule="exact"/>
        <w:rPr>
          <w:sz w:val="20"/>
          <w:szCs w:val="20"/>
          <w:color w:val="auto"/>
        </w:rPr>
      </w:pPr>
    </w:p>
    <w:p>
      <w:pPr>
        <w:ind w:right="220" w:firstLine="435"/>
        <w:spacing w:after="0" w:line="303" w:lineRule="auto"/>
        <w:rPr>
          <w:sz w:val="20"/>
          <w:szCs w:val="20"/>
          <w:color w:val="auto"/>
        </w:rPr>
      </w:pPr>
      <w:r>
        <w:rPr>
          <w:rFonts w:ascii="Times New Roman" w:cs="Times New Roman" w:eastAsia="Times New Roman" w:hAnsi="Times New Roman"/>
          <w:sz w:val="16"/>
          <w:szCs w:val="16"/>
          <w:color w:val="auto"/>
        </w:rPr>
        <w:t>Cash used in financing activities decreased $22.8 million from 2023 to 2024. The decrease in cash used in financing activities is primarily due to increases in proceeds from stock offerings of $657.0 million and proceeds from mortgages, bank and other notes payable of $506.0 million and a decrease in deferred financing costs of $20.1 million offset in part by an increase in payments on mortgages, bank and other notes payable of $1.2 billion.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2022</w:t>
      </w:r>
    </w:p>
    <w:p>
      <w:pPr>
        <w:spacing w:after="0" w:line="138" w:lineRule="exact"/>
        <w:rPr>
          <w:sz w:val="20"/>
          <w:szCs w:val="20"/>
          <w:color w:val="auto"/>
        </w:rPr>
      </w:pPr>
    </w:p>
    <w:p>
      <w:pPr>
        <w:ind w:right="400" w:firstLine="435"/>
        <w:spacing w:after="0" w:line="256" w:lineRule="auto"/>
        <w:rPr>
          <w:sz w:val="20"/>
          <w:szCs w:val="20"/>
          <w:color w:val="auto"/>
        </w:rPr>
      </w:pPr>
      <w:r>
        <w:rPr>
          <w:rFonts w:ascii="Times New Roman" w:cs="Times New Roman" w:eastAsia="Times New Roman" w:hAnsi="Times New Roman"/>
          <w:sz w:val="18"/>
          <w:szCs w:val="18"/>
          <w:color w:val="auto"/>
        </w:rPr>
        <w:t>Discussion of the year ended December 31, 2023 compared to the year ended December 31, 2022 was included in the Company's Annual Report on Form 10-K for the year ended December 31, 2023 on page 48 under Part II, Item 7, "Management's Discussion and Analysis of Financial Condition and Results of Operations", which was filed with the SEC on February 26,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1" w:lineRule="exact"/>
        <w:rPr>
          <w:sz w:val="20"/>
          <w:szCs w:val="20"/>
          <w:color w:val="auto"/>
        </w:rPr>
      </w:pPr>
    </w:p>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loan facility.</w:t>
      </w:r>
    </w:p>
    <w:p>
      <w:pPr>
        <w:spacing w:after="0" w:line="102"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Additionally, the Company is focused on implementing the Path Forward Plan, including its goal to reduce its Net Debt to Adjusted EBITDA leverage ratio to a lower level over the next three to four years. The Company may achieve this goal, and other goals set in connection with the Path Forward Plan,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38" w:lineRule="exact"/>
        <w:rPr>
          <w:sz w:val="20"/>
          <w:szCs w:val="20"/>
          <w:color w:val="auto"/>
        </w:rPr>
      </w:pPr>
    </w:p>
    <w:p>
      <w:pPr>
        <w:ind w:right="220" w:firstLine="435"/>
        <w:spacing w:after="0" w:line="263" w:lineRule="auto"/>
        <w:rPr>
          <w:sz w:val="20"/>
          <w:szCs w:val="20"/>
          <w:color w:val="auto"/>
        </w:rPr>
      </w:pPr>
      <w:r>
        <w:rPr>
          <w:rFonts w:ascii="Times New Roman" w:cs="Times New Roman" w:eastAsia="Times New Roman" w:hAnsi="Times New Roman"/>
          <w:sz w:val="18"/>
          <w:szCs w:val="18"/>
          <w:color w:val="auto"/>
        </w:rPr>
        <w:t>The following tables summarize capital expenditures and lease acquisition costs incurred at the Centers (at the Company's pro rata share)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214,059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49,459</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55,493</w:t>
            </w: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 (at the Company's pro rata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74,592</w:t>
            </w: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108,628</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 w:lineRule="exact"/>
        <w:rPr>
          <w:sz w:val="20"/>
          <w:szCs w:val="20"/>
          <w:color w:val="auto"/>
        </w:rPr>
      </w:pPr>
    </w:p>
    <w:p>
      <w:pPr>
        <w:ind w:left="800" w:hanging="399"/>
        <w:spacing w:after="0" w:line="249" w:lineRule="auto"/>
        <w:tabs>
          <w:tab w:leader="none" w:pos="6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twelve months ended December 31, 2024, this includes cash paid of $129.0 million, excluding the assumption of the partner's share of certain cash balances, on October 24, 2024, for the Company's acquisition of its joint venture partner's 40% interest in Lakewood Center, Los Cerritos Center and Washington Square. The total purchase price also included the assumption of the partner's share of debt. The Company now owns 100% of these regional retail centers. In addition, for the twelve months ended December 31, 2024, this includes cash paid of $36.4 million on May 14, 2024, for the Company's acquisition of its joint venture partner's 40% interest in Arrowhead Towne Center and South Plains Mall. The total purchase price also included the assumption of the partner's share of debt. The Company now owns 100% of these regional retail centers.</w:t>
      </w:r>
    </w:p>
    <w:p>
      <w:pPr>
        <w:spacing w:after="0" w:line="222" w:lineRule="exact"/>
        <w:rPr>
          <w:sz w:val="20"/>
          <w:szCs w:val="20"/>
          <w:color w:val="auto"/>
        </w:rPr>
      </w:pPr>
    </w:p>
    <w:p>
      <w:pPr>
        <w:ind w:left="800" w:right="60" w:hanging="394"/>
        <w:spacing w:after="0" w:line="264" w:lineRule="auto"/>
        <w:rPr>
          <w:sz w:val="20"/>
          <w:szCs w:val="20"/>
          <w:color w:val="auto"/>
        </w:rPr>
      </w:pPr>
      <w:r>
        <w:rPr>
          <w:rFonts w:ascii="Times New Roman" w:cs="Times New Roman" w:eastAsia="Times New Roman" w:hAnsi="Times New Roman"/>
          <w:sz w:val="16"/>
          <w:szCs w:val="16"/>
          <w:color w:val="auto"/>
        </w:rPr>
        <w:t>For the twelve months ended December 31, 2023, this includes the Company's acquisition of its joint venture partner's (Seritage) 50% interest in five former Sears parcels on May 18, 2023, for $46.7 million. The Company now owns 100% of these five parcels located at Chandler Fashion Center, Danbury Faire Mall, Freehold Raceway Mall, Los Cerritos Center and Washington Square.</w:t>
      </w:r>
    </w:p>
    <w:p>
      <w:pPr>
        <w:spacing w:after="0" w:line="100" w:lineRule="exact"/>
        <w:rPr>
          <w:sz w:val="20"/>
          <w:szCs w:val="20"/>
          <w:color w:val="auto"/>
        </w:rPr>
      </w:pPr>
    </w:p>
    <w:p>
      <w:pPr>
        <w:ind w:right="160" w:firstLine="435"/>
        <w:spacing w:after="0" w:line="247"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approximately $50.0 million to $75.0 million. The Company expects to incur approximately $250.0 million to $300.0 million during 2025 for development, redevelopment, expansion and renovations, which includes Scottsdale Fashion Square, Green Acres Mall and FlatIron Crossing (See "Redevelopment and Development Activities" in Management’s Overview and Summary). Capital for these expenditures, developments and/or redevelopments has been, and is expected to continue to be, obtained from a combination of cash on hand, cash generated from operations, asset sales, debt or equity financings, which may include borrowings under the Company's revolving loan facility and sales of common stock,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51" w:lineRule="exact"/>
        <w:rPr>
          <w:sz w:val="20"/>
          <w:szCs w:val="20"/>
          <w:color w:val="auto"/>
        </w:rPr>
      </w:pPr>
    </w:p>
    <w:p>
      <w:pPr>
        <w:ind w:right="40" w:firstLine="435"/>
        <w:spacing w:after="0" w:line="247"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For example, since implementing the Path Forward Plan in the second quarter of 2024, the Company’s joint venture sold Country Club Plaza in Kansas City, Missouri on June 28, 2024 and the Company sold its 50% interest in Biltmore Fashion Park in Phoenix, Arizona on July 31, 2024. Additionally, on November 25, 2024, the Company sold Southridge Mall in Des Moines, Iowa and on December 10, 2024, the Company sold The Oaks in Thousand Oaks, California. The Company used its share of proceeds from these transactions to pay down its revolving loan facility and other debt obligations. In addition, the Company is under contract to sell Wilton Mall, which is expected to close in the first half of 2025, subject to customary closing conditions. During the year ended December 31, 2024, the Company and certain joint venture partners sold various land parcels in separate transactions for aggregate proceeds of $6.1 million (at the Company's share), which the Company used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53" w:name="page54"/>
    <w:bookmarkEnd w:id="53"/>
    <w:p>
      <w:pPr>
        <w:ind w:right="40" w:firstLine="435"/>
        <w:spacing w:after="0" w:line="269" w:lineRule="auto"/>
        <w:rPr>
          <w:sz w:val="20"/>
          <w:szCs w:val="20"/>
          <w:color w:val="auto"/>
        </w:rPr>
      </w:pPr>
      <w:r>
        <w:rPr>
          <w:rFonts w:ascii="Times New Roman" w:cs="Times New Roman" w:eastAsia="Times New Roman" w:hAnsi="Times New Roman"/>
          <w:sz w:val="18"/>
          <w:szCs w:val="18"/>
          <w:color w:val="auto"/>
        </w:rPr>
        <w:t>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89" w:lineRule="exact"/>
        <w:rPr>
          <w:sz w:val="20"/>
          <w:szCs w:val="20"/>
          <w:color w:val="auto"/>
        </w:rPr>
      </w:pPr>
    </w:p>
    <w:p>
      <w:pPr>
        <w:ind w:firstLine="435"/>
        <w:spacing w:after="0" w:line="294" w:lineRule="auto"/>
        <w:rPr>
          <w:sz w:val="20"/>
          <w:szCs w:val="20"/>
          <w:color w:val="auto"/>
        </w:rPr>
      </w:pPr>
      <w:r>
        <w:rPr>
          <w:rFonts w:ascii="Times New Roman" w:cs="Times New Roman" w:eastAsia="Times New Roman" w:hAnsi="Times New Roman"/>
          <w:sz w:val="16"/>
          <w:szCs w:val="16"/>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87" w:lineRule="exact"/>
        <w:rPr>
          <w:sz w:val="20"/>
          <w:szCs w:val="20"/>
          <w:color w:val="auto"/>
        </w:rPr>
      </w:pPr>
    </w:p>
    <w:p>
      <w:pPr>
        <w:ind w:right="100" w:firstLine="435"/>
        <w:spacing w:after="0" w:line="248" w:lineRule="auto"/>
        <w:rPr>
          <w:sz w:val="20"/>
          <w:szCs w:val="20"/>
          <w:color w:val="auto"/>
        </w:rPr>
      </w:pPr>
      <w:r>
        <w:rPr>
          <w:rFonts w:ascii="Times New Roman" w:cs="Times New Roman" w:eastAsia="Times New Roman" w:hAnsi="Times New Roman"/>
          <w:sz w:val="18"/>
          <w:szCs w:val="18"/>
          <w:color w:val="auto"/>
        </w:rPr>
        <w:t>On each of March 26, 2021 and November 12, 2024, the Company registered separate “at the market” offering programs, pursuant to which the Company may issue and sell shares of its common stock having an aggregate offering price of up to $500.0 million under each of the 2021 ATM Program and the 2024 ATM Program, in each case, in amounts and at times to be determined by the Company. The 2021 ATM Program was fully utilized as of September 30, 2024 and is no longer active. During the twelve months ended December 31, 2023, no shares were issued under the ATM Programs. During the twelve months ended December 31, 2024, 13.1 million shares of common stock were issued under the ATM Programs. As of December 31, 2024, the Company had approximately $429.3 million of gross sales of its common stock available under the 2024 ATM Program. The following table sets forth certain information with respect to issuances made under each of the ATM Programs as of December 31, 2024.</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and shares in thousands)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 ATM Program</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2024 ATM Program</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Sales Commissions</w:t>
            </w:r>
          </w:p>
        </w:tc>
        <w:tc>
          <w:tcPr>
            <w:tcW w:w="128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6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Sales Commissions</w:t>
            </w:r>
          </w:p>
        </w:tc>
        <w:tc>
          <w:tcPr>
            <w:tcW w:w="0" w:type="dxa"/>
            <w:vAlign w:val="bottom"/>
          </w:tcPr>
          <w:p>
            <w:pPr>
              <w:spacing w:after="0"/>
              <w:rPr>
                <w:sz w:val="1"/>
                <w:szCs w:val="1"/>
                <w:color w:val="auto"/>
              </w:rPr>
            </w:pPr>
          </w:p>
        </w:tc>
      </w:tr>
      <w:tr>
        <w:trPr>
          <w:trHeight w:val="191"/>
        </w:trPr>
        <w:tc>
          <w:tcPr>
            <w:tcW w:w="272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42"/>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right="60" w:firstLine="435"/>
        <w:spacing w:after="0" w:line="252"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06" w:lineRule="exact"/>
        <w:rPr>
          <w:sz w:val="20"/>
          <w:szCs w:val="20"/>
          <w:color w:val="auto"/>
        </w:rPr>
      </w:pPr>
    </w:p>
    <w:p>
      <w:pPr>
        <w:ind w:right="40" w:firstLine="435"/>
        <w:spacing w:after="0" w:line="250" w:lineRule="auto"/>
        <w:rPr>
          <w:sz w:val="20"/>
          <w:szCs w:val="20"/>
          <w:color w:val="auto"/>
        </w:rPr>
      </w:pPr>
      <w:r>
        <w:rPr>
          <w:rFonts w:ascii="Times New Roman" w:cs="Times New Roman" w:eastAsia="Times New Roman" w:hAnsi="Times New Roman"/>
          <w:sz w:val="18"/>
          <w:szCs w:val="18"/>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121" w:lineRule="exact"/>
        <w:rPr>
          <w:sz w:val="20"/>
          <w:szCs w:val="20"/>
          <w:color w:val="auto"/>
        </w:rPr>
      </w:pPr>
    </w:p>
    <w:p>
      <w:pPr>
        <w:ind w:right="220" w:firstLine="435"/>
        <w:spacing w:after="0" w:line="289" w:lineRule="auto"/>
        <w:rPr>
          <w:sz w:val="20"/>
          <w:szCs w:val="20"/>
          <w:color w:val="auto"/>
        </w:rPr>
      </w:pPr>
      <w:r>
        <w:rPr>
          <w:rFonts w:ascii="Times New Roman" w:cs="Times New Roman" w:eastAsia="Times New Roman" w:hAnsi="Times New Roman"/>
          <w:sz w:val="16"/>
          <w:szCs w:val="16"/>
          <w:color w:val="auto"/>
        </w:rPr>
        <w:t>The Company's total outstanding loan indebtedness, which includes mortgages and other notes payable, at December 31, 2024 was $6.65 billion (consisting of $4.99 billion of consolidated debt, less $0.03 billion of noncontrolling interests, plus $1.69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loan facility or cash on hand, with the exception of Santa Monica Place (See “—Financing Activities” in Management’s Overview and Summary).</w:t>
      </w:r>
    </w:p>
    <w:p>
      <w:pPr>
        <w:spacing w:after="0" w:line="91" w:lineRule="exact"/>
        <w:rPr>
          <w:sz w:val="20"/>
          <w:szCs w:val="20"/>
          <w:color w:val="auto"/>
        </w:rPr>
      </w:pPr>
    </w:p>
    <w:p>
      <w:pPr>
        <w:ind w:right="20" w:firstLine="435"/>
        <w:spacing w:after="0" w:line="248"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54" w:name="page55"/>
    <w:bookmarkEnd w:id="54"/>
    <w:p>
      <w:pPr>
        <w:jc w:val="both"/>
        <w:ind w:right="140" w:firstLine="435"/>
        <w:spacing w:after="0" w:line="332" w:lineRule="auto"/>
        <w:rPr>
          <w:sz w:val="20"/>
          <w:szCs w:val="20"/>
          <w:color w:val="auto"/>
        </w:rPr>
      </w:pPr>
      <w:r>
        <w:rPr>
          <w:rFonts w:ascii="Times New Roman" w:cs="Times New Roman" w:eastAsia="Times New Roman" w:hAnsi="Times New Roman"/>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44" w:lineRule="exact"/>
        <w:rPr>
          <w:sz w:val="20"/>
          <w:szCs w:val="20"/>
          <w:color w:val="auto"/>
        </w:rPr>
      </w:pPr>
    </w:p>
    <w:p>
      <w:pPr>
        <w:ind w:right="280" w:firstLine="435"/>
        <w:spacing w:after="0" w:line="256" w:lineRule="auto"/>
        <w:rPr>
          <w:sz w:val="20"/>
          <w:szCs w:val="20"/>
          <w:color w:val="auto"/>
        </w:rPr>
      </w:pPr>
      <w:r>
        <w:rPr>
          <w:rFonts w:ascii="Times New Roman" w:cs="Times New Roman" w:eastAsia="Times New Roman" w:hAnsi="Times New Roman"/>
          <w:sz w:val="18"/>
          <w:szCs w:val="18"/>
          <w:color w:val="auto"/>
        </w:rPr>
        <w:t>Additionally, as of December 31, 2024, the Company was contingently liable for $6.1 million in letters of credit guaranteeing performance by the Company of certain obligations relating to the Centers. As of December 31, 2024, $5.9 million of these letters of credit were secured by restricted cash. The Company does not believe that these letters of credit will result in a liability to the Company.</w:t>
      </w:r>
    </w:p>
    <w:p>
      <w:pPr>
        <w:spacing w:after="0" w:line="115"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eight completed transactions since the beginning of 2024. Since January 1, 2024, the Company has refinanced or extended eight loans totaling approximately $1.4 billion, or approximately $1.2 billion at the Company’s pro rata share. For additional information on the Company’s financing transactions in 2024 through the date of this Annual Report on Form 10-K, see “Financing Activities” in Management’s Overview and Summary.</w:t>
      </w:r>
    </w:p>
    <w:p>
      <w:pPr>
        <w:spacing w:after="0" w:line="119" w:lineRule="exact"/>
        <w:rPr>
          <w:sz w:val="20"/>
          <w:szCs w:val="20"/>
          <w:color w:val="auto"/>
        </w:rPr>
      </w:pPr>
    </w:p>
    <w:p>
      <w:pPr>
        <w:ind w:right="20" w:firstLine="435"/>
        <w:spacing w:after="0" w:line="246" w:lineRule="auto"/>
        <w:rPr>
          <w:sz w:val="20"/>
          <w:szCs w:val="20"/>
          <w:color w:val="auto"/>
        </w:rPr>
      </w:pPr>
      <w:r>
        <w:rPr>
          <w:rFonts w:ascii="Times New Roman" w:cs="Times New Roman" w:eastAsia="Times New Roman" w:hAnsi="Times New Roman"/>
          <w:sz w:val="18"/>
          <w:szCs w:val="18"/>
          <w:color w:val="auto"/>
        </w:rPr>
        <w:t>On September 11, 2023, the Company and the Operating Partnership entered into an amended and restated credit agreement, which amended and restated their prior credit agreement, and provides for an aggregate $650.0 million revolving loan facility that matures on February 1, 2027, with a one-year extension option. The revolving loan facility can be expanded up to $950.0 million, subject to receipt of lender commitments and other conditions. Concurrently with the entry into the amended and restated credit agreement, the Company drew $152.0 million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December 31, 2024, the borrowing rate was SOFR plus a spread of 2.35%. As of December 31, 2024, borrowings under the credit facility were $110.0 million less unamortized deferred finance costs of $11.7 million for the revolving loan facility at a total effective interest rate of 7.59%. As of December 31, 2024, the Company’s availability under the revolving loan facility for additional borrowings was $539.8 million.</w:t>
      </w:r>
    </w:p>
    <w:p>
      <w:pPr>
        <w:spacing w:after="0" w:line="115"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Cash dividends and distributions for the twelve months ended December 31, 2024 were $161.3 million (including distributions from consolidated joint ventures of $2.8 million), which were funded by operations.</w:t>
      </w:r>
    </w:p>
    <w:p>
      <w:pPr>
        <w:spacing w:after="0" w:line="102" w:lineRule="exact"/>
        <w:rPr>
          <w:sz w:val="20"/>
          <w:szCs w:val="20"/>
          <w:color w:val="auto"/>
        </w:rPr>
      </w:pPr>
    </w:p>
    <w:p>
      <w:pPr>
        <w:ind w:left="400" w:right="2840" w:firstLine="40"/>
        <w:spacing w:after="0" w:line="407" w:lineRule="auto"/>
        <w:rPr>
          <w:sz w:val="20"/>
          <w:szCs w:val="20"/>
          <w:color w:val="auto"/>
        </w:rPr>
      </w:pPr>
      <w:r>
        <w:rPr>
          <w:rFonts w:ascii="Times New Roman" w:cs="Times New Roman" w:eastAsia="Times New Roman" w:hAnsi="Times New Roman"/>
          <w:sz w:val="18"/>
          <w:szCs w:val="18"/>
          <w:color w:val="auto"/>
        </w:rPr>
        <w:t xml:space="preserve">At December 31, 2024, the Company was in compliance with all applicable loan covenants under its agreements. At December 31, 2024, the Company had cash and cash equivalents of $89.9 million. </w:t>
      </w:r>
      <w:r>
        <w:rPr>
          <w:rFonts w:ascii="Times New Roman" w:cs="Times New Roman" w:eastAsia="Times New Roman" w:hAnsi="Times New Roman"/>
          <w:sz w:val="18"/>
          <w:szCs w:val="18"/>
          <w:i w:val="1"/>
          <w:iCs w:val="1"/>
          <w:color w:val="auto"/>
        </w:rPr>
        <w:t>Material Cash Commitments:</w:t>
      </w:r>
    </w:p>
    <w:p>
      <w:pPr>
        <w:spacing w:after="0" w:line="1" w:lineRule="exact"/>
        <w:rPr>
          <w:sz w:val="20"/>
          <w:szCs w:val="20"/>
          <w:color w:val="auto"/>
        </w:rPr>
      </w:pPr>
    </w:p>
    <w:p>
      <w:pPr>
        <w:ind w:right="400" w:firstLine="435"/>
        <w:spacing w:after="0" w:line="269"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December 31, 2024 for the Consolidated Centers over the periods in which they are expected to be paid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6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00" w:type="dxa"/>
            <w:vAlign w:val="bottom"/>
          </w:tcPr>
          <w:p>
            <w:pPr>
              <w:jc w:val="right"/>
              <w:ind w:right="379"/>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40" w:type="dxa"/>
            <w:vAlign w:val="bottom"/>
          </w:tcPr>
          <w:p>
            <w:pPr>
              <w:spacing w:after="0"/>
              <w:rPr>
                <w:sz w:val="11"/>
                <w:szCs w:val="11"/>
                <w:color w:val="auto"/>
              </w:rPr>
            </w:pPr>
          </w:p>
        </w:tc>
        <w:tc>
          <w:tcPr>
            <w:tcW w:w="1200" w:type="dxa"/>
            <w:vAlign w:val="bottom"/>
          </w:tcPr>
          <w:p>
            <w:pPr>
              <w:jc w:val="right"/>
              <w:ind w:right="339"/>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29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70"/>
        </w:trPr>
        <w:tc>
          <w:tcPr>
            <w:tcW w:w="280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Long-term debt obligations (includes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interest payments)(1)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6,001,289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774,167</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1,794,323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1,240,766</w:t>
            </w:r>
          </w:p>
        </w:tc>
        <w:tc>
          <w:tcPr>
            <w:tcW w:w="0" w:type="dxa"/>
            <w:vAlign w:val="bottom"/>
          </w:tcPr>
          <w:p>
            <w:pPr>
              <w:spacing w:after="0"/>
              <w:rPr>
                <w:sz w:val="1"/>
                <w:szCs w:val="1"/>
                <w:color w:val="auto"/>
              </w:rPr>
            </w:pPr>
          </w:p>
        </w:tc>
      </w:tr>
      <w:tr>
        <w:trPr>
          <w:trHeight w:val="224"/>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0" w:type="dxa"/>
            <w:vAlign w:val="bottom"/>
          </w:tcPr>
          <w:p>
            <w:pPr>
              <w:spacing w:after="0"/>
              <w:rPr>
                <w:sz w:val="1"/>
                <w:szCs w:val="1"/>
                <w:color w:val="auto"/>
              </w:rPr>
            </w:pPr>
          </w:p>
        </w:tc>
      </w:tr>
      <w:tr>
        <w:trPr>
          <w:trHeight w:val="242"/>
        </w:trPr>
        <w:tc>
          <w:tcPr>
            <w:tcW w:w="2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6,124,335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2,207,723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1,310,713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 w:lineRule="exact"/>
        <w:rPr>
          <w:sz w:val="20"/>
          <w:szCs w:val="20"/>
          <w:color w:val="auto"/>
        </w:rPr>
      </w:pPr>
    </w:p>
    <w:p>
      <w:pPr>
        <w:ind w:left="800" w:hanging="399"/>
        <w:spacing w:after="0"/>
        <w:tabs>
          <w:tab w:leader="none" w:pos="8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December 31, 2024.</w:t>
      </w:r>
    </w:p>
    <w:p>
      <w:pPr>
        <w:spacing w:after="0" w:line="15" w:lineRule="exact"/>
        <w:rPr>
          <w:rFonts w:ascii="Times New Roman" w:cs="Times New Roman" w:eastAsia="Times New Roman" w:hAnsi="Times New Roman"/>
          <w:sz w:val="16"/>
          <w:szCs w:val="16"/>
          <w:color w:val="auto"/>
        </w:rPr>
      </w:pPr>
    </w:p>
    <w:p>
      <w:pPr>
        <w:ind w:left="800" w:hanging="399"/>
        <w:spacing w:after="0"/>
        <w:tabs>
          <w:tab w:leader="none" w:pos="8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38" w:lineRule="exact"/>
        <w:rPr>
          <w:sz w:val="20"/>
          <w:szCs w:val="20"/>
          <w:color w:val="auto"/>
        </w:rPr>
      </w:pPr>
    </w:p>
    <w:p>
      <w:pPr>
        <w:ind w:right="200" w:firstLine="435"/>
        <w:spacing w:after="0" w:line="249" w:lineRule="auto"/>
        <w:rPr>
          <w:sz w:val="20"/>
          <w:szCs w:val="20"/>
          <w:color w:val="auto"/>
        </w:rPr>
      </w:pPr>
      <w:r>
        <w:rPr>
          <w:rFonts w:ascii="Times New Roman" w:cs="Times New Roman" w:eastAsia="Times New Roman" w:hAnsi="Times New Roman"/>
          <w:sz w:val="18"/>
          <w:szCs w:val="18"/>
          <w:color w:val="auto"/>
        </w:rPr>
        <w:t>The Company uses FFO in addition to net (loss) income to report its operating and financial results and considers FFO and FFO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(loss) income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1" w:lineRule="exact"/>
        <w:rPr>
          <w:sz w:val="20"/>
          <w:szCs w:val="20"/>
          <w:color w:val="auto"/>
        </w:rPr>
      </w:pPr>
    </w:p>
    <w:p>
      <w:pPr>
        <w:ind w:right="20" w:firstLine="435"/>
        <w:spacing w:after="0" w:line="281" w:lineRule="auto"/>
        <w:rPr>
          <w:sz w:val="20"/>
          <w:szCs w:val="20"/>
          <w:color w:val="auto"/>
        </w:rPr>
      </w:pPr>
      <w:r>
        <w:rPr>
          <w:rFonts w:ascii="Times New Roman" w:cs="Times New Roman" w:eastAsia="Times New Roman" w:hAnsi="Times New Roman"/>
          <w:sz w:val="16"/>
          <w:szCs w:val="16"/>
          <w:color w:val="auto"/>
        </w:rPr>
        <w:t>Prior to June 13, 2024, the Company accounted for its joint venture in Chandler Freehold as a financing arrangement. In connection with this treatment, the Company recognized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On June 13, 2024, the partnership agreement between the Company and its partner was amended. As a result, the Company no longer accounts for its investment in Chandler Fashion Center as a financing arrangement. Effective June 13, 2024, the Company accounts for its investment in Chandler Fashion Center under the equity method of accounting (See Note 12 – Financing Arrangement and Note 16 – Dispositions in the Notes to the Consolidated Financial Statements). References to Chandler Freehold for the period November 16, 2023 through June 13, 2024 shall be deemed to only refer to Chandler Fashion Center.</w:t>
      </w:r>
    </w:p>
    <w:p>
      <w:pPr>
        <w:spacing w:after="0" w:line="314" w:lineRule="exact"/>
        <w:rPr>
          <w:sz w:val="20"/>
          <w:szCs w:val="20"/>
          <w:color w:val="auto"/>
        </w:rPr>
      </w:pPr>
    </w:p>
    <w:p>
      <w:pPr>
        <w:ind w:right="320" w:firstLine="435"/>
        <w:spacing w:after="0" w:line="269"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or loss on extinguishment of debt, accrued default interest expense and gain or loss on non-real estate investments.</w:t>
      </w:r>
    </w:p>
    <w:p>
      <w:pPr>
        <w:spacing w:after="0" w:line="89" w:lineRule="exact"/>
        <w:rPr>
          <w:sz w:val="20"/>
          <w:szCs w:val="20"/>
          <w:color w:val="auto"/>
        </w:rPr>
      </w:pPr>
    </w:p>
    <w:p>
      <w:pPr>
        <w:ind w:firstLine="435"/>
        <w:spacing w:after="0" w:line="279" w:lineRule="auto"/>
        <w:rPr>
          <w:sz w:val="20"/>
          <w:szCs w:val="20"/>
          <w:color w:val="auto"/>
        </w:rPr>
      </w:pPr>
      <w:r>
        <w:rPr>
          <w:rFonts w:ascii="Times New Roman" w:cs="Times New Roman" w:eastAsia="Times New Roman" w:hAnsi="Times New Roman"/>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Effective April 9, 2024, default interest expense has been accrued on the non-recourse loan on Santa Monica Place. GAAP requires that the Company accrue default interest expense, which is not expected to be paid and is expected to be reversed once a loan is modified or once title to the mortgaged loan collateral is transferred. The Company believes that the accrual of default interest on non-recourse loans, and the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 In the first quarter of 2024, the Company updated its presentation to exclude gain or loss on non-real estate investments for the reasons noted above. The Company recast the presentation for prior periods to reflect this change.</w:t>
      </w:r>
    </w:p>
    <w:p>
      <w:pPr>
        <w:spacing w:after="0" w:line="312" w:lineRule="exact"/>
        <w:rPr>
          <w:sz w:val="20"/>
          <w:szCs w:val="20"/>
          <w:color w:val="auto"/>
        </w:rPr>
      </w:pPr>
    </w:p>
    <w:p>
      <w:pPr>
        <w:ind w:right="80" w:firstLine="435"/>
        <w:spacing w:after="0" w:line="25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(loss)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115" w:lineRule="exact"/>
        <w:rPr>
          <w:sz w:val="20"/>
          <w:szCs w:val="20"/>
          <w:color w:val="auto"/>
        </w:rPr>
      </w:pPr>
    </w:p>
    <w:p>
      <w:pPr>
        <w:ind w:right="80" w:firstLine="435"/>
        <w:spacing w:after="0" w:line="248"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income to FFO and FFO—diluted. Management believes that to further understand the Company's performance, FFO should be compared with the Company's reported net (loss) income and considered in addition to cash flows in accordance with GAAP, as presented in the Company's consolidated financial statements. The following reconciles net (loss) income attributable to the Company to FFO attributable to common stockholders and unit holders—basic and diluted and FFO attributable to common stockholders and unit holders—basic and diluted, excluding financing expense in connection with Chandler Freehold, (gain) loss on extinguishment of debt, net, accrued default interest expense and loss (gain) on non-real estate investments for the years ended December 31, 2024, 2023, 2022, 2021 and 2020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6" w:name="page57"/>
    <w:bookmarkEnd w:id="56"/>
    <w:tbl>
      <w:tblPr>
        <w:tblLayout w:type="fixed"/>
        <w:tblInd w:w="4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the Company</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 to</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or write down of consolidated assets,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remeasurement of consolidated assets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Add: gain on undepreciated asset sales or write-down from consolidated</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19,461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8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Less: loss on write-down of non-real estate sales or write-down of assets</w:t>
            </w:r>
          </w:p>
        </w:tc>
        <w:tc>
          <w:tcPr>
            <w:tcW w:w="2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Add: noncontrolling interests share of gain (loss) on sale or write-down</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9,732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assets—consolidated assets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8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Loss (gain) on sale or write down of assets—unconsolidated joint</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180,089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136,377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Add: gain on sale of undepreciated assets—unconsolidated joint</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7,102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on consolidated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282,361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311,129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Less: noncontrolling interests in depreciation and amortization—</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(21,592)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182,956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40"/>
        </w:trPr>
        <w:tc>
          <w:tcPr>
            <w:tcW w:w="48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373,684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431,112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404,632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423,145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40"/>
        </w:trPr>
        <w:tc>
          <w:tcPr>
            <w:tcW w:w="48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financing expense in connection with Chandler Freehold—basic and</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360,855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404,801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437,534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422,190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extinguishment of debt, net—consolidated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(gain) on non-real estate investments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40"/>
        </w:trPr>
        <w:tc>
          <w:tcPr>
            <w:tcW w:w="48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financing expense in connection with Chandler Freehold, (gain) loss on</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extinguishment of debt, net, accrued default interest expense and loss</w:t>
            </w:r>
          </w:p>
        </w:tc>
        <w:tc>
          <w:tcPr>
            <w:tcW w:w="2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365,335</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413,213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447,094</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403,039</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non-real estate investments—diluted</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for the impact of dilutive securities in computing FFO—</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and unit-based compensation plans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holders—diluted(3)</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231,864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224,501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207,991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419" w:right="239" w:bottom="1440" w:gutter="0" w:footer="0" w:header="0"/>
        </w:sectPr>
      </w:pPr>
    </w:p>
    <w:bookmarkStart w:id="57" w:name="page58"/>
    <w:bookmarkEnd w:id="57"/>
    <w:p>
      <w:pPr>
        <w:ind w:left="800" w:hanging="399"/>
        <w:spacing w:after="0"/>
        <w:tabs>
          <w:tab w:leader="none" w:pos="8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assets are presented at the Company's pro rata share.</w:t>
      </w:r>
    </w:p>
    <w:p>
      <w:pPr>
        <w:spacing w:after="0" w:line="145" w:lineRule="exact"/>
        <w:rPr>
          <w:rFonts w:ascii="Times New Roman" w:cs="Times New Roman" w:eastAsia="Times New Roman" w:hAnsi="Times New Roman"/>
          <w:sz w:val="16"/>
          <w:szCs w:val="16"/>
          <w:color w:val="auto"/>
        </w:rPr>
      </w:pPr>
    </w:p>
    <w:p>
      <w:pPr>
        <w:ind w:left="800" w:right="200" w:hanging="399"/>
        <w:spacing w:after="0" w:line="270" w:lineRule="auto"/>
        <w:tabs>
          <w:tab w:leader="none" w:pos="8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During the years ended December 31, 2024, 2023, 2022, 2021 and 2020, there were 10.0 million, 9.0 million, 8.6 million, 9.9 million and 10.7 million OP Units outstanding, respectively.</w:t>
      </w:r>
    </w:p>
    <w:p>
      <w:pPr>
        <w:spacing w:after="0" w:line="99" w:lineRule="exact"/>
        <w:rPr>
          <w:rFonts w:ascii="Times New Roman" w:cs="Times New Roman" w:eastAsia="Times New Roman" w:hAnsi="Times New Roman"/>
          <w:sz w:val="16"/>
          <w:szCs w:val="16"/>
          <w:color w:val="auto"/>
        </w:rPr>
      </w:pPr>
    </w:p>
    <w:p>
      <w:pPr>
        <w:ind w:left="800" w:right="360" w:hanging="399"/>
        <w:spacing w:after="0" w:line="264" w:lineRule="auto"/>
        <w:tabs>
          <w:tab w:leader="none" w:pos="8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1" w:lineRule="exact"/>
        <w:rPr>
          <w:sz w:val="20"/>
          <w:szCs w:val="20"/>
          <w:color w:val="auto"/>
        </w:rPr>
      </w:pPr>
    </w:p>
    <w:p>
      <w:pPr>
        <w:ind w:right="180" w:firstLine="5"/>
        <w:spacing w:after="0" w:line="245"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12" w:lineRule="exact"/>
        <w:rPr>
          <w:sz w:val="20"/>
          <w:szCs w:val="20"/>
          <w:color w:val="auto"/>
        </w:rPr>
      </w:pPr>
    </w:p>
    <w:p>
      <w:pPr>
        <w:ind w:firstLine="435"/>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concerning the Company's long 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Expected Maturity Date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7"/>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debt: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241,392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949,264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484,098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733,318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1,138,441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1,145,982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4,692,495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4,426,227</w:t>
            </w:r>
          </w:p>
        </w:tc>
        <w:tc>
          <w:tcPr>
            <w:tcW w:w="0" w:type="dxa"/>
            <w:vAlign w:val="bottom"/>
          </w:tcPr>
          <w:p>
            <w:pPr>
              <w:spacing w:after="0"/>
              <w:rPr>
                <w:sz w:val="1"/>
                <w:szCs w:val="1"/>
                <w:color w:val="auto"/>
              </w:rPr>
            </w:pPr>
          </w:p>
        </w:tc>
      </w:tr>
      <w:tr>
        <w:trPr>
          <w:trHeight w:val="190"/>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410,963</w:t>
            </w:r>
          </w:p>
        </w:tc>
        <w:tc>
          <w:tcPr>
            <w:tcW w:w="0" w:type="dxa"/>
            <w:vAlign w:val="bottom"/>
          </w:tcPr>
          <w:p>
            <w:pPr>
              <w:spacing w:after="0"/>
              <w:rPr>
                <w:sz w:val="1"/>
                <w:szCs w:val="1"/>
                <w:color w:val="auto"/>
              </w:rPr>
            </w:pPr>
          </w:p>
        </w:tc>
      </w:tr>
      <w:tr>
        <w:trPr>
          <w:trHeight w:val="191"/>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debt—Consolidated Centers</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541,392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949,264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484,098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843,318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1,138,441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1,145,982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5,102,495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4,837,190</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UNCONSOLIDATED JOINT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CENTERS: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Long term debt (at the Company's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 rata share):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155,970</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97,138</w:t>
            </w:r>
          </w:p>
        </w:tc>
        <w:tc>
          <w:tcPr>
            <w:tcW w:w="100" w:type="dxa"/>
            <w:vAlign w:val="bottom"/>
          </w:tcPr>
          <w:p>
            <w:pPr>
              <w:spacing w:after="0"/>
              <w:rPr>
                <w:sz w:val="16"/>
                <w:szCs w:val="16"/>
                <w:color w:val="auto"/>
              </w:rPr>
            </w:pPr>
          </w:p>
        </w:tc>
        <w:tc>
          <w:tcPr>
            <w:tcW w:w="2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810,883</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239,570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245,607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1,561,934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1,522,992</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rate(1)</w:t>
            </w:r>
          </w:p>
        </w:tc>
        <w:tc>
          <w:tcPr>
            <w:tcW w:w="20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86,467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33,719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132,922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133,770</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1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debt—Unconsolidated Joint</w:t>
            </w:r>
          </w:p>
        </w:tc>
        <w:tc>
          <w:tcPr>
            <w:tcW w:w="20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99,233</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189,689</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97,874</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822,883</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239,570</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245,607</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1,694,856</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1,656,762</w:t>
            </w:r>
          </w:p>
        </w:tc>
        <w:tc>
          <w:tcPr>
            <w:tcW w:w="0" w:type="dxa"/>
            <w:vAlign w:val="bottom"/>
          </w:tcPr>
          <w:p>
            <w:pPr>
              <w:spacing w:after="0"/>
              <w:rPr>
                <w:sz w:val="1"/>
                <w:szCs w:val="1"/>
                <w:color w:val="auto"/>
              </w:rPr>
            </w:pPr>
          </w:p>
        </w:tc>
      </w:tr>
      <w:tr>
        <w:trPr>
          <w:trHeight w:val="172"/>
        </w:trPr>
        <w:tc>
          <w:tcPr>
            <w:tcW w:w="2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Venture Centers</w:t>
            </w:r>
          </w:p>
        </w:tc>
        <w:tc>
          <w:tcPr>
            <w:tcW w:w="2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37" w:lineRule="exact"/>
        <w:rPr>
          <w:sz w:val="20"/>
          <w:szCs w:val="20"/>
          <w:color w:val="auto"/>
        </w:rPr>
      </w:pPr>
    </w:p>
    <w:p>
      <w:pPr>
        <w:jc w:val="both"/>
        <w:ind w:left="800" w:right="120" w:hanging="399"/>
        <w:spacing w:after="0" w:line="246" w:lineRule="auto"/>
        <w:tabs>
          <w:tab w:leader="none" w:pos="8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7, 2025, the Company’s joint venture in FlatIron Crossing repaid $29.1 million ($14.8 million at the Company's pro rata share) on the mortgage loan and obtained a 90-day extension on the remaining $140.5 million ($71.6 million at the Company's pro rata share) loan (See “Financing Activity” in Management’s Overview and Summary).</w:t>
      </w:r>
    </w:p>
    <w:p>
      <w:pPr>
        <w:spacing w:after="0" w:line="352"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The Consolidated Centers' total fixed rate debt at December 31, 2024 and 2023 was $4.7 billion and $3.8 billion, respectively. The average interest rate on such fixed rate debt at December 31, 2024 and 2023 was 4.40% and 4.29%, respectively. The Consolidated Centers' total floating rate debt at December 31, 2024 and 2023 was $0.4 billion and $0.5 billion, respectively. The average interest rate on such floating rate debt at December 31, 2024 and 2023 was 6.21% and 7.43%, respectively.</w:t>
      </w:r>
    </w:p>
    <w:p>
      <w:pPr>
        <w:spacing w:after="0" w:line="119" w:lineRule="exact"/>
        <w:rPr>
          <w:sz w:val="20"/>
          <w:szCs w:val="20"/>
          <w:color w:val="auto"/>
        </w:rPr>
      </w:pPr>
    </w:p>
    <w:p>
      <w:pPr>
        <w:ind w:right="60" w:firstLine="435"/>
        <w:spacing w:after="0" w:line="252"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December 31, 2024 and 2023 was $1.6 billion and $2.8 billion, respectively. The average interest rate on such fixed rate debt at December 31, 2024 and 2023 was 5.28% and 5.06%, respectively. The Company's pro rata share of the Unconsolidated Joint Venture Centers' floating rate debt at December 31, 2024 and 2023 was $132.9 million and $45.2 million, respectively. The average interest rate on such floating rate debt at December 31, 2024 and 2023 was 8.29% and 9.00%, respectively.</w:t>
      </w:r>
    </w:p>
    <w:p>
      <w:pPr>
        <w:spacing w:after="0" w:line="106" w:lineRule="exact"/>
        <w:rPr>
          <w:sz w:val="20"/>
          <w:szCs w:val="20"/>
          <w:color w:val="auto"/>
        </w:rPr>
      </w:pPr>
    </w:p>
    <w:p>
      <w:pPr>
        <w:jc w:val="both"/>
        <w:ind w:right="100" w:firstLine="435"/>
        <w:spacing w:after="0" w:line="256"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58" w:name="page59"/>
    <w:bookmarkEnd w:id="58"/>
    <w:p>
      <w:pPr>
        <w:ind w:right="20"/>
        <w:spacing w:after="0" w:line="248" w:lineRule="auto"/>
        <w:rPr>
          <w:sz w:val="20"/>
          <w:szCs w:val="20"/>
          <w:color w:val="auto"/>
        </w:rPr>
      </w:pPr>
      <w:r>
        <w:rPr>
          <w:rFonts w:ascii="Times New Roman" w:cs="Times New Roman" w:eastAsia="Times New Roman" w:hAnsi="Times New Roman"/>
          <w:sz w:val="18"/>
          <w:szCs w:val="18"/>
          <w:color w:val="auto"/>
        </w:rPr>
        <w:t>replace a floating rate on the notional amount with a fixed rate as noted above. As of December 31, 2024, the Company has interest rate cap agreements in place (See Note 4—Investments in Unconsolidated Joint Ventures and Note 5—Derivative Instruments and Hedging Activities in the Company's Notes to the Consolidated Financial Statements). The respective loans each require an interest rate cap agreement to be in place at all times, which limits how high the prevailing floating loan rate index (i.e., SOFR) for the loans can rise. As of the date of this Annual Report on Form 10-K, SOFR for each of these loans exceeded the strike interest rate (the "Strike Rate") within the required interest rate cap agreement. If SOFR does exceed the Strike Rate, each of these loans would then be considered fixed rate debt. If SOFR for these respective loans thereafter no longer exceeds the Strike Rate, then these loans would once again be considered floating rate debt.</w:t>
      </w:r>
    </w:p>
    <w:p>
      <w:pPr>
        <w:spacing w:after="0" w:line="110" w:lineRule="exact"/>
        <w:rPr>
          <w:sz w:val="20"/>
          <w:szCs w:val="20"/>
          <w:color w:val="auto"/>
        </w:rPr>
      </w:pPr>
    </w:p>
    <w:p>
      <w:pPr>
        <w:ind w:right="320" w:firstLine="435"/>
        <w:spacing w:after="0" w:line="269"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$5.4 million per year based on $542.9 million of floating rate debt outstanding at December 31, 2024.</w:t>
      </w:r>
    </w:p>
    <w:p>
      <w:pPr>
        <w:spacing w:after="0" w:line="102" w:lineRule="exact"/>
        <w:rPr>
          <w:sz w:val="20"/>
          <w:szCs w:val="20"/>
          <w:color w:val="auto"/>
        </w:rPr>
      </w:pPr>
    </w:p>
    <w:p>
      <w:pPr>
        <w:ind w:right="160" w:firstLine="435"/>
        <w:spacing w:after="0" w:line="252"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Financial Statements and Financial Statement Schedules for the required information appearing in Item 15.</w:t>
      </w:r>
    </w:p>
    <w:p>
      <w:pPr>
        <w:spacing w:after="0" w:line="14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Conclusion Regarding Effectiveness of Disclosure Controls and Procedures</w:t>
      </w:r>
    </w:p>
    <w:p>
      <w:pPr>
        <w:spacing w:after="0" w:line="151"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2024,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51" w:lineRule="exact"/>
        <w:rPr>
          <w:sz w:val="20"/>
          <w:szCs w:val="20"/>
          <w:color w:val="auto"/>
        </w:rPr>
      </w:pPr>
    </w:p>
    <w:p>
      <w:pPr>
        <w:ind w:right="100" w:firstLine="435"/>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2024. In making this assessment, the Company's management used the criteria set forth by the Committee of Sponsoring Organizations of the Treadway Commission in Internal Control—Integrated Framework (2013). The Company's management concluded that, as of December 31, 2024, its internal control over financial reporting was effective based on this assessment.</w:t>
      </w:r>
    </w:p>
    <w:p>
      <w:pPr>
        <w:spacing w:after="0" w:line="121" w:lineRule="exact"/>
        <w:rPr>
          <w:sz w:val="20"/>
          <w:szCs w:val="20"/>
          <w:color w:val="auto"/>
        </w:rPr>
      </w:pPr>
    </w:p>
    <w:p>
      <w:pPr>
        <w:ind w:right="500" w:firstLine="435"/>
        <w:spacing w:after="0" w:line="269"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Company's 2024 consolidated financial statements included in this Annual Report on Form 10-K, has issued a report on the Company's internal control over financial reporting which follows below.</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51"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December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51" w:lineRule="exact"/>
        <w:rPr>
          <w:sz w:val="20"/>
          <w:szCs w:val="20"/>
          <w:color w:val="auto"/>
        </w:rPr>
      </w:pPr>
    </w:p>
    <w:p>
      <w:pPr>
        <w:ind w:right="120" w:firstLine="435"/>
        <w:spacing w:after="0" w:line="294" w:lineRule="auto"/>
        <w:rPr>
          <w:sz w:val="20"/>
          <w:szCs w:val="20"/>
          <w:color w:val="auto"/>
        </w:rPr>
      </w:pPr>
      <w:r>
        <w:rPr>
          <w:rFonts w:ascii="Times New Roman" w:cs="Times New Roman" w:eastAsia="Times New Roman" w:hAnsi="Times New Roman"/>
          <w:sz w:val="16"/>
          <w:szCs w:val="16"/>
          <w:color w:val="auto"/>
        </w:rPr>
        <w:t>We have audited The Macerich Company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73" w:lineRule="exact"/>
        <w:rPr>
          <w:sz w:val="20"/>
          <w:szCs w:val="20"/>
          <w:color w:val="auto"/>
        </w:rPr>
      </w:pPr>
    </w:p>
    <w:p>
      <w:pPr>
        <w:ind w:right="100" w:firstLine="435"/>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equity, and cash flows for each of the years in the three-year period ended December 31, 2024, and the related notes and financial statement Schedule III - Real Estate and Accumulated Depreciation (collectively, the consolidated financial statements), and our report dated February 28, 2025 expressed an unqualified opinion on those consolidated financial statements.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51"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51"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3"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60" w:name="page61"/>
    <w:bookmarkEnd w:id="60"/>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38" w:lineRule="exact"/>
        <w:rPr>
          <w:sz w:val="20"/>
          <w:szCs w:val="20"/>
          <w:color w:val="auto"/>
        </w:rPr>
      </w:pPr>
    </w:p>
    <w:p>
      <w:pPr>
        <w:ind w:right="540" w:firstLine="435"/>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51" w:lineRule="exact"/>
        <w:rPr>
          <w:sz w:val="20"/>
          <w:szCs w:val="20"/>
          <w:color w:val="auto"/>
        </w:rPr>
      </w:pPr>
    </w:p>
    <w:p>
      <w:pPr>
        <w:ind w:right="480" w:firstLine="435"/>
        <w:spacing w:after="0" w:line="269" w:lineRule="auto"/>
        <w:rPr>
          <w:sz w:val="20"/>
          <w:szCs w:val="20"/>
          <w:color w:val="auto"/>
        </w:rPr>
      </w:pPr>
      <w:r>
        <w:rPr>
          <w:rFonts w:ascii="Times New Roman" w:cs="Times New Roman" w:eastAsia="Times New Roman" w:hAnsi="Times New Roman"/>
          <w:sz w:val="18"/>
          <w:szCs w:val="18"/>
          <w:color w:val="auto"/>
        </w:rPr>
        <w:t>The other information required by Item 10 will be included in the Company’s definitive proxy statement to be filed for its 2025 Annual Meeting of Stockholders and is incorporated by reference herein.</w:t>
      </w:r>
    </w:p>
    <w:p>
      <w:pPr>
        <w:spacing w:after="0" w:line="89" w:lineRule="exact"/>
        <w:rPr>
          <w:sz w:val="20"/>
          <w:szCs w:val="20"/>
          <w:color w:val="auto"/>
        </w:rPr>
      </w:pPr>
    </w:p>
    <w:p>
      <w:pPr>
        <w:ind w:right="80" w:firstLine="435"/>
        <w:spacing w:after="0" w:line="250"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of the Company's directors, officers, employees and other covered persons. The Company believes that its insider trading policy is reasonably designed to promote compliance with insider trading laws, rules and regulations, and listing standards applicable to the Company. In addition, with regard to the Company's trading in its own securities, it is the Company's policy to comply with insider trading laws, rules and regulations and applicable exchange listing standards. A copy of the Company’s insider trading policy is filed as Exhibit 19 to this Annual Report on Form 10-K.</w:t>
      </w:r>
    </w:p>
    <w:p>
      <w:pPr>
        <w:spacing w:after="0" w:line="121" w:lineRule="exact"/>
        <w:rPr>
          <w:sz w:val="20"/>
          <w:szCs w:val="20"/>
          <w:color w:val="auto"/>
        </w:rPr>
      </w:pPr>
    </w:p>
    <w:p>
      <w:pPr>
        <w:ind w:firstLine="435"/>
        <w:spacing w:after="0" w:line="282" w:lineRule="auto"/>
        <w:rPr>
          <w:sz w:val="20"/>
          <w:szCs w:val="20"/>
          <w:color w:val="auto"/>
        </w:rPr>
      </w:pPr>
      <w:r>
        <w:rPr>
          <w:rFonts w:ascii="Times New Roman" w:cs="Times New Roman" w:eastAsia="Times New Roman" w:hAnsi="Times New Roman"/>
          <w:sz w:val="16"/>
          <w:szCs w:val="16"/>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Times New Roman" w:cs="Times New Roman" w:eastAsia="Times New Roman" w:hAnsi="Times New Roman"/>
          <w:sz w:val="16"/>
          <w:szCs w:val="16"/>
          <w:i w:val="1"/>
          <w:iCs w:val="1"/>
          <w:color w:val="auto"/>
        </w:rPr>
        <w:t>www.macerich.com</w:t>
      </w:r>
      <w:r>
        <w:rPr>
          <w:rFonts w:ascii="Times New Roman" w:cs="Times New Roman" w:eastAsia="Times New Roman" w:hAnsi="Times New Roman"/>
          <w:sz w:val="16"/>
          <w:szCs w:val="16"/>
          <w:color w:val="auto"/>
        </w:rPr>
        <w:t xml:space="preserve"> under "Investors—Corporate Governance—Code of Ethics." Each of these Codes of Conduct is available on the Company’s website at </w:t>
      </w:r>
      <w:r>
        <w:rPr>
          <w:rFonts w:ascii="Times New Roman" w:cs="Times New Roman" w:eastAsia="Times New Roman" w:hAnsi="Times New Roman"/>
          <w:sz w:val="16"/>
          <w:szCs w:val="16"/>
          <w:i w:val="1"/>
          <w:iCs w:val="1"/>
          <w:color w:val="auto"/>
        </w:rPr>
        <w:t>www.macerich.com</w:t>
      </w:r>
      <w:r>
        <w:rPr>
          <w:rFonts w:ascii="Times New Roman" w:cs="Times New Roman" w:eastAsia="Times New Roman" w:hAnsi="Times New Roman"/>
          <w:sz w:val="16"/>
          <w:szCs w:val="16"/>
          <w:color w:val="auto"/>
        </w:rPr>
        <w:t xml:space="preserve"> under "Investors—Corporate Governance."</w:t>
      </w:r>
    </w:p>
    <w:p>
      <w:pPr>
        <w:spacing w:after="0" w:line="96"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During 2024, there were no material changes to the procedures described in the Company's proxy statement relating to the 2025 Annual Meeting of Stockholders by which stockholders may recommend director nominees to the Company.</w:t>
      </w:r>
    </w:p>
    <w:p>
      <w:pPr>
        <w:spacing w:after="0" w:line="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51" w:lineRule="exact"/>
        <w:rPr>
          <w:sz w:val="20"/>
          <w:szCs w:val="20"/>
          <w:color w:val="auto"/>
        </w:rPr>
      </w:pPr>
    </w:p>
    <w:p>
      <w:pPr>
        <w:ind w:right="90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11 will be included in the Company’s definitive proxy statement to be filed for its 2025 Annual Meeting of Stockholders and is incorporated by reference herein.</w:t>
      </w:r>
    </w:p>
    <w:p>
      <w:pPr>
        <w:spacing w:after="0" w:line="100"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88" w:lineRule="exact"/>
        <w:rPr>
          <w:sz w:val="20"/>
          <w:szCs w:val="20"/>
          <w:color w:val="auto"/>
        </w:rPr>
      </w:pPr>
    </w:p>
    <w:p>
      <w:pPr>
        <w:ind w:right="88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Company’s definitive proxy statement to be filed for its 2025 Annual Meeting of Stockholders and is incorporated by reference herein.</w:t>
      </w:r>
    </w:p>
    <w:p>
      <w:pPr>
        <w:spacing w:after="0" w:line="1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51" w:lineRule="exact"/>
        <w:rPr>
          <w:sz w:val="20"/>
          <w:szCs w:val="20"/>
          <w:color w:val="auto"/>
        </w:rPr>
      </w:pPr>
    </w:p>
    <w:p>
      <w:pPr>
        <w:ind w:right="88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Company’s definitive proxy statement to be filed for its 2025 Annual Meeting of Stockholders and is incorporated by reference herein.</w:t>
      </w:r>
    </w:p>
    <w:p>
      <w:pPr>
        <w:spacing w:after="0" w:line="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51" w:lineRule="exact"/>
        <w:rPr>
          <w:sz w:val="20"/>
          <w:szCs w:val="20"/>
          <w:color w:val="auto"/>
        </w:rPr>
      </w:pPr>
    </w:p>
    <w:p>
      <w:pPr>
        <w:ind w:right="88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Company’s definitive proxy statement to be filed for its 2025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8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 and (c)</w:t>
            </w:r>
          </w:p>
        </w:tc>
        <w:tc>
          <w:tcPr>
            <w:tcW w:w="9020" w:type="dxa"/>
            <w:vAlign w:val="bottom"/>
            <w:gridSpan w:val="11"/>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Financial Statements</w:t>
            </w: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200" w:type="dxa"/>
            <w:vAlign w:val="bottom"/>
            <w:vMerge w:val="continue"/>
          </w:tcPr>
          <w:p>
            <w:pPr>
              <w:spacing w:after="0"/>
              <w:rPr>
                <w:sz w:val="18"/>
                <w:szCs w:val="18"/>
                <w:color w:val="auto"/>
              </w:rPr>
            </w:pPr>
          </w:p>
        </w:tc>
        <w:tc>
          <w:tcPr>
            <w:tcW w:w="9020" w:type="dxa"/>
            <w:vAlign w:val="bottom"/>
            <w:gridSpan w:val="11"/>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(KPMG LLP, Los Angeles, CA, PCAOB Auditor Firm</w:t>
            </w:r>
          </w:p>
        </w:tc>
        <w:tc>
          <w:tcPr>
            <w:tcW w:w="7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top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94"/>
              </w:rPr>
              <w:t>ID:185)</w:t>
            </w:r>
          </w:p>
        </w:tc>
        <w:tc>
          <w:tcPr>
            <w:tcW w:w="7440" w:type="dxa"/>
            <w:vAlign w:val="bottom"/>
            <w:tcBorders>
              <w:top w:val="single" w:sz="8" w:color="0000FF"/>
            </w:tcBorders>
            <w:gridSpan w:val="8"/>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2024 and 2023</w:t>
            </w:r>
          </w:p>
        </w:tc>
        <w:tc>
          <w:tcPr>
            <w:tcW w:w="3960" w:type="dxa"/>
            <w:vAlign w:val="bottom"/>
            <w:gridSpan w:val="5"/>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2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2024, 2023 and 2022</w:t>
            </w:r>
          </w:p>
        </w:tc>
        <w:tc>
          <w:tcPr>
            <w:tcW w:w="1820" w:type="dxa"/>
            <w:vAlign w:val="bottom"/>
            <w:gridSpan w:val="3"/>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4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2024, 2023 and 2022</w:t>
            </w: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2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equity for the years ended December 31, 2024, 2023 and 2022</w:t>
            </w:r>
          </w:p>
        </w:tc>
        <w:tc>
          <w:tcPr>
            <w:tcW w:w="94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4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6"/>
              </w:rPr>
              <w:t>Notes to consolidated financial statements</w:t>
            </w:r>
          </w:p>
        </w:tc>
        <w:tc>
          <w:tcPr>
            <w:tcW w:w="3660" w:type="dxa"/>
            <w:vAlign w:val="bottom"/>
            <w:gridSpan w:val="4"/>
          </w:tcPr>
          <w:p>
            <w:pPr>
              <w:spacing w:after="0"/>
              <w:rPr>
                <w:sz w:val="17"/>
                <w:szCs w:val="17"/>
                <w:color w:val="auto"/>
              </w:rPr>
            </w:pPr>
          </w:p>
        </w:tc>
        <w:tc>
          <w:tcPr>
            <w:tcW w:w="1820" w:type="dxa"/>
            <w:vAlign w:val="bottom"/>
            <w:gridSpan w:val="3"/>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00" w:type="dxa"/>
            <w:vAlign w:val="bottom"/>
          </w:tcPr>
          <w:p>
            <w:pPr>
              <w:spacing w:after="0"/>
              <w:rPr>
                <w:sz w:val="20"/>
                <w:szCs w:val="20"/>
                <w:color w:val="auto"/>
              </w:rPr>
            </w:pPr>
          </w:p>
        </w:tc>
        <w:tc>
          <w:tcPr>
            <w:tcW w:w="9020" w:type="dxa"/>
            <w:vAlign w:val="bottom"/>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Financial Statement Schedule</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6"/>
              </w:rPr>
              <w:t>Schedule III—Real estate and accumulated depreciation</w:t>
            </w:r>
          </w:p>
        </w:tc>
        <w:tc>
          <w:tcPr>
            <w:tcW w:w="450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1"/>
              </w:rPr>
              <w:t>108</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w:t>
            </w: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Exhibit Index</w:t>
            </w:r>
          </w:p>
        </w:tc>
        <w:tc>
          <w:tcPr>
            <w:tcW w:w="2980" w:type="dxa"/>
            <w:vAlign w:val="bottom"/>
            <w:gridSpan w:val="2"/>
          </w:tcPr>
          <w:p>
            <w:pPr>
              <w:spacing w:after="0"/>
              <w:rPr>
                <w:sz w:val="24"/>
                <w:szCs w:val="24"/>
                <w:color w:val="auto"/>
              </w:rPr>
            </w:pPr>
          </w:p>
        </w:tc>
        <w:tc>
          <w:tcPr>
            <w:tcW w:w="45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1"/>
              </w:rPr>
              <w:t>111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015" w:right="57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51" w:lineRule="exact"/>
        <w:rPr>
          <w:sz w:val="20"/>
          <w:szCs w:val="20"/>
          <w:color w:val="auto"/>
        </w:rPr>
      </w:pPr>
    </w:p>
    <w:p>
      <w:pPr>
        <w:ind w:right="240" w:firstLine="435"/>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Macerich Company and subsidiaries (Company) as of December 31, 2024 and 2023, the related consolidated statements of operations, comprehensive loss, equity, and cash flows for each of the years in the three-year period ended December 31, 2024, and the related notes and financial statement Schedule III - Real Estate and Accumulated Depreciation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21"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28, 2025 expressed an unqualified opinion on the effectiveness of the Company’s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5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20" w:firstLine="435"/>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51"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Evaluation of the fair value of the Chandler Freehold financing arrangement obligation and related gain on sale upon deconsolidation</w:t>
      </w:r>
    </w:p>
    <w:p>
      <w:pPr>
        <w:spacing w:after="0" w:line="138" w:lineRule="exact"/>
        <w:rPr>
          <w:sz w:val="20"/>
          <w:szCs w:val="20"/>
          <w:color w:val="auto"/>
        </w:rPr>
      </w:pPr>
    </w:p>
    <w:p>
      <w:pPr>
        <w:ind w:left="720" w:right="160"/>
        <w:spacing w:after="0" w:line="247" w:lineRule="auto"/>
        <w:rPr>
          <w:sz w:val="20"/>
          <w:szCs w:val="20"/>
          <w:color w:val="auto"/>
        </w:rPr>
      </w:pPr>
      <w:r>
        <w:rPr>
          <w:rFonts w:ascii="Times New Roman" w:cs="Times New Roman" w:eastAsia="Times New Roman" w:hAnsi="Times New Roman"/>
          <w:sz w:val="18"/>
          <w:szCs w:val="18"/>
          <w:color w:val="auto"/>
        </w:rPr>
        <w:t>As discussed in Notes 4, 10, 12, and 16 to the consolidated financial statements, the Company amended the partnership agreement between the Company and its joint venture partner resulting in the derecognition of the related financing arrangement obligation and the recording of a gain on sale of assets. The fair value of the derecognized financing arrangement obligation and corresponding gain recognized upon deconsolidation was determined primarily based upon the fair value of the underlying shopping center owned by the Chandler Freehold joint venture, Chandler Fashion Center, which was previously consolidated through the date of the amended partnership agreement. The fair value of the shopping center was estimated using a discounted cash flow approach. Subsequent changes in the fair value of the financing arrangement obligation were recorded as interest expense through the date the partnership agreement was amended, at which time the financing arrangement was derecognized and recorded in gain on sale of assets. During 2024, the Company recognized a gain on sale of assets of $334,285 thousand related to the deconsolidation of the Chandler Freehold joint venture, net of interest expense of $13,795 thousand related to the current year change in the fair value of the financing arrangement. The gain on sale included $88,721 thousand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63" w:name="page64"/>
    <w:bookmarkEnd w:id="63"/>
    <w:p>
      <w:pPr>
        <w:ind w:right="120"/>
        <w:spacing w:after="0" w:line="269" w:lineRule="auto"/>
        <w:rPr>
          <w:sz w:val="20"/>
          <w:szCs w:val="20"/>
          <w:color w:val="auto"/>
        </w:rPr>
      </w:pPr>
      <w:r>
        <w:rPr>
          <w:rFonts w:ascii="Times New Roman" w:cs="Times New Roman" w:eastAsia="Times New Roman" w:hAnsi="Times New Roman"/>
          <w:sz w:val="18"/>
          <w:szCs w:val="18"/>
          <w:color w:val="auto"/>
        </w:rPr>
        <w:t>related to the reversal of the financing arrangement obligation and a $141,291 thousand gain on sale based upon the fair value of the deconsolidated property.</w:t>
      </w:r>
    </w:p>
    <w:p>
      <w:pPr>
        <w:spacing w:after="0" w:line="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color w:val="auto"/>
        </w:rPr>
        <w:t>We identified the evaluation of the fair value of the Chandler Freehold financing arrangement obligation and the related gain on sale recorded upon deconsolidation as a critical audit matter. A high degree of auditor judgment was required to evaluate the key assumptions used in the discounted cash flow approach, including the market rental rates, discount rate, and terminal capitalization rate. The analysis was sensitive to reasonably possible changes to these key assumptions, which could have had a significant effect on the determination of fair value of the financing arrangement obligation, specifically the underlying shopping center, and related gain on sale recognized upon deconsolidation. The evaluation of these key assumptions required significant audit effort, including the involvement of valuation professionals with specialized skills and knowledge.</w:t>
      </w:r>
    </w:p>
    <w:p>
      <w:pPr>
        <w:spacing w:after="0" w:line="94"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over the Company’s fair value determination process for the financing arrangement obligation and related gain on sale upon deconsolidation, including controls over the development of the key assumptions used in the discounted cash flow analysis.</w:t>
      </w:r>
    </w:p>
    <w:p>
      <w:pPr>
        <w:spacing w:after="0" w:line="80"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8"/>
          <w:szCs w:val="18"/>
          <w:color w:val="auto"/>
        </w:rPr>
        <w:t>With the assistance of our valuation professionals with specialized skills and knowledge, we evaluated the key assumptions used in the discounted cash flow analysis by comparing the market rental rates, discount rate, and terminal capitalization rate used by the Company to publicly available market data for comparable properties in a similar geographic region.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impairment of property, net and investments in unconsolidated joint ventures</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discussed in Notes 2, 4, and 6 to the consolidated financial statements, the Company evaluates its consolidated property and investments in unconsolidated joint ventures (which own and operate properties) for impairment whenever there are indicators that the carrying value of the property may not be recoverable or where there may be an other-than-temporary impairment of investments in unconsolidated joint ventures. The Company considers property operating performance, expected holding periods, capitalization rates, and other market factors in making this evaluation. If the carrying value of a property exceeds the estimate of its undiscounted cash flows, an impairment loss is recognized equal to the excess of the carrying value over its fair value. The fair value of property is determined through either a sales approach or a discounted cash flow approach. Impairment of properties held in an unconsolidated joint venture follows a similar method. Due to a reduction in the expected holding period of certain consolidated properties, the Company determined the properties’ carrying values were impaired and recorded impairment charges of $334,375 thousand during 2024, of which a portion was recorded based on the discounted cash flow approach and included in gain (loss) on sale or write down of assets, net on the consolidated statement of operations. In addition due to a reduction in the expected holding period on certain joint venture properties, the Company recorded impairment losses of $179,960 thousand during 2024, of which a portion was recorded based on the discounted cash flow approach and included in equity in loss of unconsolidated joint ventures on the consolidated statement of operations. As of December 31, 2024, property, net was $7,097,113 thousand and investments in unconsolidated joint ventures was $654,667 thousand.</w:t>
      </w:r>
    </w:p>
    <w:p>
      <w:pPr>
        <w:spacing w:after="0" w:line="30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identified the assessment of impairment of property, net and investments in unconsolidated joint ventures as a critical audit matter. Subjective auditor judgment was required to assess the relevant events or changes in circumstances that Company officials considered when evaluating expected holding periods. A shortening of a property’s expected holding period could indicate a potential impairment. In addition, the evaluation of the fair value as determined through a discounted cash flow approach, in particular the key assumptions over the property’s market rental rates, discount rate, and terminal capitalization rate, required a high degree of auditor judgment. The evaluation of these key assumptions required significant audit effort, including the involvement of valuation professionals with specialized skills and knowledge.</w:t>
      </w:r>
    </w:p>
    <w:p>
      <w:pPr>
        <w:spacing w:after="0" w:line="10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property impairment process, including controls over the Company’s evaluation of the expected holding period and the development of the key assumptions used in the discounted cash flow analysis. We evaluated the relevant events or changes in circumstances that the Company considered when evaluating expected holding periods by:</w:t>
      </w:r>
    </w:p>
    <w:p>
      <w:pPr>
        <w:spacing w:after="0" w:line="119" w:lineRule="exact"/>
        <w:rPr>
          <w:sz w:val="20"/>
          <w:szCs w:val="20"/>
          <w:color w:val="auto"/>
        </w:rPr>
      </w:pPr>
    </w:p>
    <w:p>
      <w:pPr>
        <w:ind w:left="400" w:right="140" w:hanging="8"/>
        <w:spacing w:after="0" w:line="269" w:lineRule="auto"/>
        <w:tabs>
          <w:tab w:leader="none" w:pos="5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minutes of the meetings of the Company’s Board of Directors and obtaining written representations regarding potential plans, if any, to dispose of certain real estate properties or investments in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68580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00"/>
          </w:cols>
          <w:pgMar w:left="1040" w:top="1017" w:right="359" w:bottom="1440" w:gutter="0" w:footer="0" w:header="0"/>
        </w:sectPr>
      </w:pPr>
    </w:p>
    <w:bookmarkStart w:id="64" w:name="page65"/>
    <w:bookmarkEnd w:id="64"/>
    <w:p>
      <w:pPr>
        <w:ind w:left="1220" w:hanging="108"/>
        <w:spacing w:after="0"/>
        <w:tabs>
          <w:tab w:leader="none" w:pos="12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inquiring about the Company’s plans with those in the organization responsible for, and having authority over, potential disposition activities</w:t>
      </w:r>
    </w:p>
    <w:p>
      <w:pPr>
        <w:spacing w:after="0" w:line="158" w:lineRule="exact"/>
        <w:rPr>
          <w:rFonts w:ascii="Times New Roman" w:cs="Times New Roman" w:eastAsia="Times New Roman" w:hAnsi="Times New Roman"/>
          <w:sz w:val="16"/>
          <w:szCs w:val="16"/>
          <w:color w:val="auto"/>
        </w:rPr>
      </w:pPr>
    </w:p>
    <w:p>
      <w:pPr>
        <w:ind w:left="1220" w:hanging="108"/>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external communications with investors and analysts</w:t>
      </w:r>
    </w:p>
    <w:p>
      <w:pPr>
        <w:spacing w:after="0" w:line="148" w:lineRule="exact"/>
        <w:rPr>
          <w:rFonts w:ascii="Times New Roman" w:cs="Times New Roman" w:eastAsia="Times New Roman" w:hAnsi="Times New Roman"/>
          <w:sz w:val="18"/>
          <w:szCs w:val="18"/>
          <w:color w:val="auto"/>
        </w:rPr>
      </w:pPr>
    </w:p>
    <w:p>
      <w:pPr>
        <w:ind w:left="1220" w:hanging="108"/>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documents prepared by the Company regarding proposed real estate transactions</w:t>
      </w:r>
    </w:p>
    <w:p>
      <w:pPr>
        <w:spacing w:after="0" w:line="148" w:lineRule="exact"/>
        <w:rPr>
          <w:rFonts w:ascii="Times New Roman" w:cs="Times New Roman" w:eastAsia="Times New Roman" w:hAnsi="Times New Roman"/>
          <w:sz w:val="18"/>
          <w:szCs w:val="18"/>
          <w:color w:val="auto"/>
        </w:rPr>
      </w:pPr>
    </w:p>
    <w:p>
      <w:pPr>
        <w:ind w:left="1220" w:hanging="108"/>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Company’s plans for properties with mortgages maturing within one year.</w:t>
      </w:r>
    </w:p>
    <w:p>
      <w:pPr>
        <w:spacing w:after="0" w:line="136" w:lineRule="exact"/>
        <w:rPr>
          <w:sz w:val="20"/>
          <w:szCs w:val="20"/>
          <w:color w:val="auto"/>
        </w:rPr>
      </w:pPr>
    </w:p>
    <w:p>
      <w:pPr>
        <w:ind w:left="720" w:right="40"/>
        <w:spacing w:after="0" w:line="256" w:lineRule="auto"/>
        <w:rPr>
          <w:sz w:val="20"/>
          <w:szCs w:val="20"/>
          <w:color w:val="auto"/>
        </w:rPr>
      </w:pPr>
      <w:r>
        <w:rPr>
          <w:rFonts w:ascii="Times New Roman" w:cs="Times New Roman" w:eastAsia="Times New Roman" w:hAnsi="Times New Roman"/>
          <w:sz w:val="18"/>
          <w:szCs w:val="18"/>
          <w:color w:val="auto"/>
        </w:rPr>
        <w:t>With the assistance of our valuation professionals with specialized skills and knowledge, we evaluated the significant assumptions used in the discounted cash flow analysis by comparing the market rental rates, discount rate, and terminal capitalization rate used by the Company to publicly available market data for comparable properties in a similar geographic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017" w:right="47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7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7,097,113</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5,900,489</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94,936</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95,358</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183,478</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118,664</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852,764</w:t>
            </w:r>
          </w:p>
        </w:tc>
      </w:tr>
      <w:tr>
        <w:trPr>
          <w:trHeight w:val="217"/>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8,567,039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4,894,525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4,136,136</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89,548</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64,194</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83,989</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334,742</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102,516</w:t>
            </w:r>
          </w:p>
        </w:tc>
      </w:tr>
      <w:tr>
        <w:trPr>
          <w:trHeight w:val="217"/>
        </w:trPr>
        <w:tc>
          <w:tcPr>
            <w:tcW w:w="77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5,724,614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4,985,911</w:t>
            </w:r>
          </w:p>
        </w:tc>
      </w:tr>
      <w:tr>
        <w:trPr>
          <w:trHeight w:val="204"/>
        </w:trPr>
        <w:tc>
          <w:tcPr>
            <w:tcW w:w="77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1"/>
        </w:trPr>
        <w:tc>
          <w:tcPr>
            <w:tcW w:w="77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$0.01 par value, 500,000,000 shares authorized at December 31, 2024 and 2023,</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77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252,925,496 and 215,976,614 shares issued and outstanding at December 31, 2024 and 2023,</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7"/>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4"/>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6,160,780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5,509,603</w:t>
            </w:r>
          </w:p>
        </w:tc>
      </w:tr>
      <w:tr>
        <w:trPr>
          <w:trHeight w:val="224"/>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(3,063,789)</w:t>
            </w:r>
          </w:p>
        </w:tc>
      </w:tr>
      <w:tr>
        <w:trPr>
          <w:trHeight w:val="224"/>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17"/>
        </w:trPr>
        <w:tc>
          <w:tcPr>
            <w:tcW w:w="7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2,756,487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2,447,020</w:t>
            </w:r>
          </w:p>
        </w:tc>
      </w:tr>
      <w:tr>
        <w:trPr>
          <w:trHeight w:val="224"/>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80,581</w:t>
            </w:r>
          </w:p>
        </w:tc>
      </w:tr>
      <w:tr>
        <w:trPr>
          <w:trHeight w:val="217"/>
        </w:trPr>
        <w:tc>
          <w:tcPr>
            <w:tcW w:w="7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2,842,425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2,527,601</w:t>
            </w:r>
          </w:p>
        </w:tc>
      </w:tr>
      <w:tr>
        <w:trPr>
          <w:trHeight w:val="217"/>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8,567,039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80" w:top="1015" w:right="59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850,453</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809,023</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800,548</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30,104</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28,512</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884,068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859,164</w:t>
            </w:r>
          </w:p>
        </w:tc>
        <w:tc>
          <w:tcPr>
            <w:tcW w:w="0" w:type="dxa"/>
            <w:vAlign w:val="bottom"/>
          </w:tcPr>
          <w:p>
            <w:pPr>
              <w:spacing w:after="0"/>
              <w:rPr>
                <w:sz w:val="1"/>
                <w:szCs w:val="1"/>
                <w:color w:val="auto"/>
              </w:rPr>
            </w:pPr>
          </w:p>
        </w:tc>
      </w:tr>
      <w:tr>
        <w:trPr>
          <w:trHeight w:val="167"/>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289,884</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67,799</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27,164</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294,780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282,361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291,612</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753,192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706,489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709,129</w:t>
            </w:r>
          </w:p>
        </w:tc>
        <w:tc>
          <w:tcPr>
            <w:tcW w:w="0" w:type="dxa"/>
            <w:vAlign w:val="bottom"/>
          </w:tcPr>
          <w:p>
            <w:pPr>
              <w:spacing w:after="0"/>
              <w:rPr>
                <w:sz w:val="1"/>
                <w:szCs w:val="1"/>
                <w:color w:val="auto"/>
              </w:rPr>
            </w:pPr>
          </w:p>
        </w:tc>
      </w:tr>
      <w:tr>
        <w:trPr>
          <w:trHeight w:val="17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Related parties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34,735</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197,126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182,116</w:t>
            </w:r>
          </w:p>
        </w:tc>
        <w:tc>
          <w:tcPr>
            <w:tcW w:w="0" w:type="dxa"/>
            <w:vAlign w:val="bottom"/>
          </w:tcPr>
          <w:p>
            <w:pPr>
              <w:spacing w:after="0"/>
              <w:rPr>
                <w:sz w:val="1"/>
                <w:szCs w:val="1"/>
                <w:color w:val="auto"/>
              </w:rPr>
            </w:pPr>
          </w:p>
        </w:tc>
      </w:tr>
      <w:tr>
        <w:trPr>
          <w:trHeight w:val="190"/>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216,851</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958,776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871,201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925,980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(156,937)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0" w:type="dxa"/>
            <w:vAlign w:val="bottom"/>
          </w:tcPr>
          <w:p>
            <w:pPr>
              <w:spacing w:after="0"/>
              <w:rPr>
                <w:sz w:val="1"/>
                <w:szCs w:val="1"/>
                <w:color w:val="auto"/>
              </w:rPr>
            </w:pP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sale or write down of assets, net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0" w:type="dxa"/>
            <w:vAlign w:val="bottom"/>
          </w:tcPr>
          <w:p>
            <w:pPr>
              <w:spacing w:after="0"/>
              <w:rPr>
                <w:sz w:val="1"/>
                <w:szCs w:val="1"/>
                <w:color w:val="auto"/>
              </w:rPr>
            </w:pPr>
          </w:p>
        </w:tc>
      </w:t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(278,099)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(65,079)</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(274,065)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(66,068)</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 attributable to common stockholders:</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221,845,000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215,548,000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215,031,000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221,845,000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215,548,000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215,031,000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896" w:right="55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(65,079)</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(279,683)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(64,423)</w:t>
            </w: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r>
      <w:tr>
        <w:trPr>
          <w:trHeight w:val="198"/>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(193,202)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(275,649)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(65,412)</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5" w:right="5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3"/>
        </w:trPr>
        <w:tc>
          <w:tcPr>
            <w:tcW w:w="3360" w:type="dxa"/>
            <w:vAlign w:val="bottom"/>
          </w:tcPr>
          <w:p>
            <w:pPr>
              <w:spacing w:after="0"/>
              <w:rPr>
                <w:sz w:val="21"/>
                <w:szCs w:val="21"/>
                <w:color w:val="auto"/>
              </w:rPr>
            </w:pPr>
          </w:p>
        </w:tc>
        <w:tc>
          <w:tcPr>
            <w:tcW w:w="15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19"/>
        </w:trPr>
        <w:tc>
          <w:tcPr>
            <w:tcW w:w="3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2"/>
                <w:szCs w:val="12"/>
                <w:b w:val="1"/>
                <w:bCs w:val="1"/>
                <w:color w:val="auto"/>
              </w:rPr>
              <w:t>Par</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0"/>
                <w:szCs w:val="10"/>
                <w:color w:val="auto"/>
              </w:rPr>
            </w:pPr>
          </w:p>
        </w:tc>
        <w:tc>
          <w:tcPr>
            <w:tcW w:w="600" w:type="dxa"/>
            <w:vAlign w:val="bottom"/>
          </w:tcPr>
          <w:p>
            <w:pPr>
              <w:jc w:val="right"/>
              <w:ind w:right="179"/>
              <w:spacing w:after="0" w:line="11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8"/>
        </w:trPr>
        <w:tc>
          <w:tcPr>
            <w:tcW w:w="3360" w:type="dxa"/>
            <w:vAlign w:val="bottom"/>
          </w:tcPr>
          <w:p>
            <w:pPr>
              <w:spacing w:after="0"/>
              <w:rPr>
                <w:sz w:val="15"/>
                <w:szCs w:val="15"/>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214,797,057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5,488,440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(2,443,696)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3,046,867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129,282</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3,176,149</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(65,079)</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cap/swap agreements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22,119</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179,723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declared ($0.62) per share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(133,330)</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(52,998)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(52,998)</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from noncontrolling interests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Conversion of noncontrolling interests to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noncontrolling interests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 of noncontrolling interests in Operating Partnership</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5"/>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215,241,129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5,506,084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(2,643,094)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2,865,773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2,949,349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5"/>
        </w:trPr>
        <w:tc>
          <w:tcPr>
            <w:tcW w:w="3240" w:type="dxa"/>
            <w:vAlign w:val="bottom"/>
          </w:tcPr>
          <w:p>
            <w:pPr>
              <w:spacing w:after="0"/>
              <w:rPr>
                <w:sz w:val="12"/>
                <w:szCs w:val="12"/>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53"/>
        </w:trPr>
        <w:tc>
          <w:tcPr>
            <w:tcW w:w="32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00" w:type="dxa"/>
            <w:vAlign w:val="bottom"/>
          </w:tcPr>
          <w:p>
            <w:pPr>
              <w:spacing w:after="0"/>
              <w:rPr>
                <w:sz w:val="4"/>
                <w:szCs w:val="4"/>
                <w:color w:val="auto"/>
              </w:rPr>
            </w:pPr>
          </w:p>
        </w:tc>
        <w:tc>
          <w:tcPr>
            <w:tcW w:w="98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3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2"/>
                <w:szCs w:val="12"/>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8"/>
        </w:trPr>
        <w:tc>
          <w:tcPr>
            <w:tcW w:w="324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1"/>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215,241,129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5,506,084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(2,643,094)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2,865,773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83,576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2,949,349</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(278,099)</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16,065</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stock 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Stock offerings,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declared ($0.68) per share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(12,660)</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Conversion of noncontrolling interests to common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183,490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5,429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Redemption of noncontrolling interests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71"/>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 of noncontrolling interests in Operating Partnership</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0"/>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215,976,614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80,581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2,527,601</w:t>
            </w:r>
          </w:p>
        </w:tc>
      </w:tr>
      <w:tr>
        <w:trPr>
          <w:trHeight w:val="20"/>
        </w:trPr>
        <w:tc>
          <w:tcPr>
            <w:tcW w:w="3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423" w:right="3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1"/>
        </w:trPr>
        <w:tc>
          <w:tcPr>
            <w:tcW w:w="258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19"/>
        </w:trPr>
        <w:tc>
          <w:tcPr>
            <w:tcW w:w="2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Par</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0"/>
                <w:szCs w:val="10"/>
                <w:color w:val="auto"/>
              </w:rPr>
            </w:pPr>
          </w:p>
        </w:tc>
        <w:tc>
          <w:tcPr>
            <w:tcW w:w="700" w:type="dxa"/>
            <w:vAlign w:val="bottom"/>
          </w:tcPr>
          <w:p>
            <w:pPr>
              <w:jc w:val="right"/>
              <w:ind w:right="239"/>
              <w:spacing w:after="0" w:line="11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8"/>
        </w:trPr>
        <w:tc>
          <w:tcPr>
            <w:tcW w:w="258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60" w:type="dxa"/>
            <w:vAlign w:val="bottom"/>
          </w:tcPr>
          <w:p>
            <w:pPr>
              <w:spacing w:after="0"/>
              <w:rPr>
                <w:sz w:val="15"/>
                <w:szCs w:val="15"/>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215,976,614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80,581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2,527,601</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(197,665)</w:t>
            </w:r>
          </w:p>
        </w:tc>
      </w:tr>
      <w:tr>
        <w:trPr>
          <w:trHeight w:val="17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13,988</w:t>
            </w:r>
          </w:p>
        </w:tc>
      </w:tr>
      <w:tr>
        <w:trPr>
          <w:trHeight w:val="17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1,847</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36,110,918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656,664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657,025</w:t>
            </w:r>
          </w:p>
        </w:tc>
      </w:tr>
      <w:tr>
        <w:trPr>
          <w:trHeight w:val="17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declared ($0.68) per share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(148,877)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(148,877)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(148,877)</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(12,412)</w:t>
            </w:r>
          </w:p>
        </w:tc>
      </w:tr>
      <w:tr>
        <w:trPr>
          <w:trHeight w:val="124"/>
        </w:trPr>
        <w:tc>
          <w:tcPr>
            <w:tcW w:w="25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Conversion of noncontrolling interests to</w:t>
            </w: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84"/>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common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9"/>
        </w:trPr>
        <w:tc>
          <w:tcPr>
            <w:tcW w:w="258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Adjustment of noncontrolling interests in</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78"/>
        </w:trPr>
        <w:tc>
          <w:tcPr>
            <w:tcW w:w="25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Operating Partnership</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6"/>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252,925,496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6,160,780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(3,406,786)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2,756,487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2,842,425</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80"/>
          </w:cols>
          <w:pgMar w:left="700" w:top="1423" w:right="71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(197,665)</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(278,099)</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(65,079)</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(Gain) loss on sale or write down of assets,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302,480</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Amortization of net discount on mortgage notes payable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Amortization of share and unit-based plans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17,638</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Straight-line rent and amortization of above and below market leases,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Provision for (recovery of) doubtful accounts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 in fair value of financing arrangement obligation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24,233</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Distributions of income from unconsolidated joint ventures</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Changes in assets and liabilities, net of acquisitions and dispositions: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0"/>
        </w:trPr>
        <w:tc>
          <w:tcPr>
            <w:tcW w:w="6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w:t>
            </w:r>
          </w:p>
        </w:tc>
      </w:tr>
      <w:tr>
        <w:trPr>
          <w:trHeight w:val="205"/>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(13,246)</w:t>
            </w:r>
          </w:p>
        </w:tc>
      </w:tr>
      <w:tr>
        <w:trPr>
          <w:trHeight w:val="190"/>
        </w:trPr>
        <w:tc>
          <w:tcPr>
            <w:tcW w:w="6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from affiliates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w:t>
            </w:r>
          </w:p>
        </w:tc>
      </w:tr>
      <w:tr>
        <w:trPr>
          <w:trHeight w:val="205"/>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91"/>
        </w:trPr>
        <w:tc>
          <w:tcPr>
            <w:tcW w:w="69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71,014</w:t>
            </w: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337,510</w:t>
            </w:r>
          </w:p>
        </w:tc>
      </w:tr>
      <w:tr>
        <w:trPr>
          <w:trHeight w:val="167"/>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property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(24,544)</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redevelopment, expansion and renovation of properties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(42,153)</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improvements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(52,640)</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collection of notes receivable</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leasing costs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from unconsolidated joint ventures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131,306</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 to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(81,718)</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restricted cash acquired from acquisition of previously unconsolidated joint venture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Derecognition of cash previously held by a consolidated joint venture to an unconsolidated joint venture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collection of receivable in connection with sale of joint venture property</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282,148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50,458</w:t>
            </w:r>
          </w:p>
        </w:tc>
      </w:tr>
      <w:tr>
        <w:trPr>
          <w:trHeight w:val="184"/>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w:t>
            </w:r>
          </w:p>
        </w:tc>
      </w:tr>
    </w:tbl>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5" w:right="55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mortgages, bank and other notes payable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on mortgages, bank and other notes payable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(406,075)</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on finance arrangement obligation</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share and unit-based plans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(costs) from stock offerings,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of noncontrolling interests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(159,290)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(186,328)</w:t>
            </w:r>
          </w:p>
        </w:tc>
        <w:tc>
          <w:tcPr>
            <w:tcW w:w="0" w:type="dxa"/>
            <w:vAlign w:val="bottom"/>
          </w:tcPr>
          <w:p>
            <w:pPr>
              <w:spacing w:after="0"/>
              <w:rPr>
                <w:sz w:val="1"/>
                <w:szCs w:val="1"/>
                <w:color w:val="auto"/>
              </w:rPr>
            </w:pPr>
          </w:p>
        </w:tc>
      </w:tr>
      <w:tr>
        <w:trPr>
          <w:trHeight w:val="184"/>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(316,050)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(338,888)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(321,940)</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14,168</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year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190,294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181,139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166,971</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year</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181,139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payments for interest, net of amounts capitalized</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186,345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180,321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development costs included in accounts payable and accrued expenses and other accrued liabilities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Derecognition of previously consolidated property and related liabilities to investment in unconsolidated joint venture</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347,290</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Operating Partnership Units to common stock</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 acquired from unconsolidated joint ventures</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2,124,511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46,713</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 assumed from unconsolidated joint ventures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1,867,749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5" w:right="5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38" w:lineRule="exact"/>
        <w:rPr>
          <w:sz w:val="20"/>
          <w:szCs w:val="20"/>
          <w:color w:val="auto"/>
        </w:rPr>
      </w:pPr>
    </w:p>
    <w:p>
      <w:pPr>
        <w:ind w:right="180" w:firstLine="435"/>
        <w:spacing w:after="0" w:line="269"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102" w:lineRule="exact"/>
        <w:rPr>
          <w:sz w:val="20"/>
          <w:szCs w:val="20"/>
          <w:color w:val="auto"/>
        </w:rPr>
      </w:pPr>
    </w:p>
    <w:p>
      <w:pPr>
        <w:ind w:right="260" w:firstLine="435"/>
        <w:spacing w:after="0" w:line="25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December 31, 2024,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15"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51" w:lineRule="exact"/>
        <w:rPr>
          <w:sz w:val="20"/>
          <w:szCs w:val="20"/>
          <w:color w:val="auto"/>
        </w:rPr>
      </w:pPr>
    </w:p>
    <w:p>
      <w:pPr>
        <w:ind w:right="40" w:firstLine="435"/>
        <w:spacing w:after="0" w:line="269"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of America ("GAAP").</w:t>
      </w:r>
    </w:p>
    <w:p>
      <w:pPr>
        <w:spacing w:after="0" w:line="89"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Investments in entities in which the Company has a controlling financial interest or entities that meet the definition of a variable interest entity ("VIE") in accordance with Accounting Standards Codification Topic 810, "Consolidation",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121"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 including SanTan Village Regional Center.</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Partnership's VIEs included the following assets and liabilities: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122,102</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128,673</w:t>
            </w:r>
          </w:p>
        </w:tc>
      </w:tr>
      <w:tr>
        <w:trPr>
          <w:trHeight w:val="22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r>
      <w:tr>
        <w:trPr>
          <w:trHeight w:val="217"/>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219,506</w:t>
            </w:r>
          </w:p>
        </w:tc>
      </w:tr>
      <w:tr>
        <w:trPr>
          <w:trHeight w:val="22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78,794</w:t>
            </w:r>
          </w:p>
        </w:tc>
      </w:tr>
      <w:tr>
        <w:trPr>
          <w:trHeight w:val="217"/>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290,863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298,300</w:t>
            </w: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Basis of Presentation: (Continued)</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year and end of year cash and cash equivalents and restricted cash reported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54,517</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100,320</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and Cash Equivalents and Restricted Cash:</w:t>
      </w:r>
    </w:p>
    <w:p>
      <w:pPr>
        <w:spacing w:after="0" w:line="151" w:lineRule="exact"/>
        <w:rPr>
          <w:sz w:val="20"/>
          <w:szCs w:val="20"/>
          <w:color w:val="auto"/>
        </w:rPr>
      </w:pPr>
    </w:p>
    <w:p>
      <w:pPr>
        <w:ind w:right="40" w:firstLine="435"/>
        <w:spacing w:after="0" w:line="332" w:lineRule="auto"/>
        <w:rPr>
          <w:sz w:val="20"/>
          <w:szCs w:val="20"/>
          <w:color w:val="auto"/>
        </w:rPr>
      </w:pPr>
      <w:r>
        <w:rPr>
          <w:rFonts w:ascii="Times New Roman" w:cs="Times New Roman" w:eastAsia="Times New Roman" w:hAnsi="Times New Roman"/>
          <w:sz w:val="16"/>
          <w:szCs w:val="16"/>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and other agreements.</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38"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Leasing revenue includes minimum rents, percentage rents, tenant recoveries and other leasing income. Minimum rental revenues are recognized on a straight-line basis over the terms of the related leases. The difference between the amount of rent due in a year and the amount recorded as rental income is referred to as the "straight-line rent adjustment." Minimum rents were decreased by $759, $4,624 and $777 due to the straight-line rent adjustment during the years ended December 31, 2024, 2023 and 2022, respectively.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123" w:lineRule="exact"/>
        <w:rPr>
          <w:sz w:val="20"/>
          <w:szCs w:val="20"/>
          <w:color w:val="auto"/>
        </w:rPr>
      </w:pPr>
    </w:p>
    <w:p>
      <w:pPr>
        <w:ind w:right="200" w:firstLine="435"/>
        <w:spacing w:after="0" w:line="256" w:lineRule="auto"/>
        <w:rPr>
          <w:sz w:val="20"/>
          <w:szCs w:val="20"/>
          <w:color w:val="auto"/>
        </w:rPr>
      </w:pPr>
      <w:r>
        <w:rPr>
          <w:rFonts w:ascii="Times New Roman" w:cs="Times New Roman" w:eastAsia="Times New Roman" w:hAnsi="Times New Roman"/>
          <w:sz w:val="18"/>
          <w:szCs w:val="18"/>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4.0% of the gross monthly rental revenue of the properties managed.</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Property:</w:t>
      </w:r>
    </w:p>
    <w:p>
      <w:pPr>
        <w:spacing w:after="0" w:line="138"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 Gains on the disposition of real estate are recognized when the Company transfers control as well as the risks and rewards of ownership to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is recorded at cost and is depreciated using a straight-line method over the estimated useful lives of the assets as follows:</w:t>
      </w:r>
    </w:p>
    <w:p>
      <w:pPr>
        <w:spacing w:after="0" w:line="193" w:lineRule="exact"/>
        <w:rPr>
          <w:sz w:val="20"/>
          <w:szCs w:val="20"/>
          <w:color w:val="auto"/>
        </w:rPr>
      </w:pPr>
    </w:p>
    <w:tbl>
      <w:tblPr>
        <w:tblLayout w:type="fixed"/>
        <w:tblInd w:w="1240" w:type="dxa"/>
        <w:tblCellMar>
          <w:top w:w="0" w:type="dxa"/>
          <w:left w:w="0" w:type="dxa"/>
          <w:bottom w:w="0" w:type="dxa"/>
          <w:right w:w="0" w:type="dxa"/>
        </w:tblCellMar>
      </w:tblPr>
      <w:tr>
        <w:trPr>
          <w:trHeight w:val="22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2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furnishings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bl>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Capitalization of Costs:</w:t>
      </w:r>
    </w:p>
    <w:p>
      <w:pPr>
        <w:spacing w:after="0" w:line="151" w:lineRule="exact"/>
        <w:rPr>
          <w:sz w:val="20"/>
          <w:szCs w:val="20"/>
          <w:color w:val="auto"/>
        </w:rPr>
      </w:pPr>
    </w:p>
    <w:p>
      <w:pPr>
        <w:ind w:right="40" w:firstLine="435"/>
        <w:spacing w:after="0" w:line="247" w:lineRule="auto"/>
        <w:rPr>
          <w:sz w:val="20"/>
          <w:szCs w:val="20"/>
          <w:color w:val="auto"/>
        </w:rPr>
      </w:pPr>
      <w:r>
        <w:rPr>
          <w:rFonts w:ascii="Times New Roman" w:cs="Times New Roman" w:eastAsia="Times New Roman" w:hAnsi="Times New Roman"/>
          <w:sz w:val="18"/>
          <w:szCs w:val="18"/>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Investment in Unconsolidated Joint Ventures:</w:t>
      </w:r>
    </w:p>
    <w:p>
      <w:pPr>
        <w:spacing w:after="0" w:line="138" w:lineRule="exact"/>
        <w:rPr>
          <w:sz w:val="20"/>
          <w:szCs w:val="20"/>
          <w:color w:val="auto"/>
        </w:rPr>
      </w:pPr>
    </w:p>
    <w:p>
      <w:pPr>
        <w:ind w:right="100" w:firstLine="435"/>
        <w:spacing w:after="0" w:line="286" w:lineRule="auto"/>
        <w:rPr>
          <w:sz w:val="20"/>
          <w:szCs w:val="20"/>
          <w:color w:val="auto"/>
        </w:rPr>
      </w:pPr>
      <w:r>
        <w:rPr>
          <w:rFonts w:ascii="Times New Roman" w:cs="Times New Roman" w:eastAsia="Times New Roman" w:hAnsi="Times New Roman"/>
          <w:sz w:val="16"/>
          <w:szCs w:val="16"/>
          <w:color w:val="auto"/>
        </w:rPr>
        <w:t>The Company accounts for its investments in joint ventures using the equity method of accounting unless the Company has a controlling financial interest in the joint venture or the joint venture meets the definition of a VIE in which the Company is the primary beneficiary through both its power to direct activities that most significantly impact the economic performance of the VIE and the obligation to absorb losses or the right to receive benefits that could potentially be significant to the VIE. Although the Company has a greater than 50% interest in Corte Madera Village, LLC, Macerich HHF Centers LLC and Freehold Chandler Holdings LP,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94"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Equity method investments are typically recorded on the balance sheet at cost and are subsequently adjusted to reflect the Company’s proportionate share of net earnings and losses, distributions received, additional contributions and certain other adjustments, as appropriate. The Company ceases recognizing its proportionate share of net losses when such losses reduce the investment to zero and the Company has no obligation to guarantee the joint venture’s obligations and is not otherwise committed to provide further financial support to the joint venture.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38" w:lineRule="exact"/>
        <w:rPr>
          <w:sz w:val="20"/>
          <w:szCs w:val="20"/>
          <w:color w:val="auto"/>
        </w:rPr>
      </w:pPr>
    </w:p>
    <w:p>
      <w:pPr>
        <w:ind w:right="60" w:firstLine="435"/>
        <w:spacing w:after="0" w:line="283"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6"/>
          <w:szCs w:val="16"/>
          <w:color w:val="auto"/>
        </w:rPr>
        <w:t>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w:t>
      </w:r>
    </w:p>
    <w:p>
      <w:pPr>
        <w:spacing w:after="0" w:line="1" w:lineRule="exact"/>
        <w:rPr>
          <w:sz w:val="20"/>
          <w:szCs w:val="20"/>
          <w:color w:val="auto"/>
        </w:rPr>
      </w:pPr>
    </w:p>
    <w:p>
      <w:pPr>
        <w:ind w:right="20" w:firstLine="5"/>
        <w:spacing w:after="0" w:line="244"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31" w:lineRule="exact"/>
        <w:rPr>
          <w:sz w:val="20"/>
          <w:szCs w:val="20"/>
          <w:color w:val="auto"/>
        </w:rPr>
      </w:pPr>
    </w:p>
    <w:p>
      <w:pPr>
        <w:ind w:right="60" w:firstLine="435"/>
        <w:spacing w:after="0" w:line="252" w:lineRule="auto"/>
        <w:rPr>
          <w:sz w:val="20"/>
          <w:szCs w:val="20"/>
          <w:color w:val="auto"/>
        </w:rPr>
      </w:pPr>
      <w:r>
        <w:rPr>
          <w:rFonts w:ascii="Times New Roman" w:cs="Times New Roman" w:eastAsia="Times New Roman" w:hAnsi="Times New Roman"/>
          <w:sz w:val="18"/>
          <w:szCs w:val="18"/>
          <w:color w:val="auto"/>
        </w:rPr>
        <w:t>Remeasurement gains are recognized when the Company becomes the primary beneficiary of an existing equity method investment that is a VIE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Deferred Charges:</w:t>
      </w:r>
    </w:p>
    <w:p>
      <w:pPr>
        <w:spacing w:after="0" w:line="138"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Direct 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200" w:lineRule="exact"/>
        <w:rPr>
          <w:sz w:val="20"/>
          <w:szCs w:val="20"/>
          <w:color w:val="auto"/>
        </w:rPr>
      </w:pP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The range of the terms of the agreements is as follows:</w:t>
            </w:r>
          </w:p>
        </w:tc>
        <w:tc>
          <w:tcPr>
            <w:tcW w:w="32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costs</w:t>
            </w:r>
          </w:p>
        </w:tc>
        <w:tc>
          <w:tcPr>
            <w:tcW w:w="320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1 - 20 years</w:t>
            </w:r>
          </w:p>
        </w:tc>
      </w:tr>
      <w:tr>
        <w:trPr>
          <w:trHeight w:val="22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1 - 15 years</w:t>
            </w:r>
          </w:p>
        </w:tc>
      </w:tr>
    </w:tbl>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Accounting for Impairment:</w:t>
      </w:r>
    </w:p>
    <w:p>
      <w:pPr>
        <w:spacing w:after="0" w:line="151"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83" w:lineRule="exact"/>
        <w:rPr>
          <w:sz w:val="20"/>
          <w:szCs w:val="20"/>
          <w:color w:val="auto"/>
        </w:rPr>
      </w:pPr>
    </w:p>
    <w:p>
      <w:pPr>
        <w:ind w:right="380" w:firstLine="435"/>
        <w:spacing w:after="0" w:line="25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435"/>
        <w:spacing w:after="0" w:line="250"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 and Unit-based Compensation Plans:</w:t>
      </w:r>
    </w:p>
    <w:p>
      <w:pPr>
        <w:spacing w:after="0" w:line="151" w:lineRule="exact"/>
        <w:rPr>
          <w:sz w:val="20"/>
          <w:szCs w:val="20"/>
          <w:color w:val="auto"/>
        </w:rPr>
      </w:pPr>
    </w:p>
    <w:p>
      <w:pPr>
        <w:ind w:right="20" w:firstLine="435"/>
        <w:spacing w:after="0" w:line="269" w:lineRule="auto"/>
        <w:rPr>
          <w:sz w:val="20"/>
          <w:szCs w:val="20"/>
          <w:color w:val="auto"/>
        </w:rPr>
      </w:pPr>
      <w:r>
        <w:rPr>
          <w:rFonts w:ascii="Times New Roman" w:cs="Times New Roman" w:eastAsia="Times New Roman" w:hAnsi="Times New Roman"/>
          <w:sz w:val="18"/>
          <w:szCs w:val="18"/>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51"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Amounts paid (received) as a result of interest rate agreements are recorded as an addition (reduction) to (of) interest expense.</w:t>
      </w:r>
    </w:p>
    <w:p>
      <w:pPr>
        <w:spacing w:after="0" w:line="136"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If any derivative instrument used for risk management does not meet the hedging criteria, it is marked-to-market each period with the change in value included in the consolidated statements of operations.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51"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110" w:lineRule="exact"/>
        <w:rPr>
          <w:sz w:val="20"/>
          <w:szCs w:val="20"/>
          <w:color w:val="auto"/>
        </w:rPr>
      </w:pPr>
    </w:p>
    <w:p>
      <w:pPr>
        <w:ind w:right="220" w:firstLine="435"/>
        <w:spacing w:after="0" w:line="256" w:lineRule="auto"/>
        <w:rPr>
          <w:sz w:val="20"/>
          <w:szCs w:val="20"/>
          <w:color w:val="auto"/>
        </w:rPr>
      </w:pPr>
      <w:r>
        <w:rPr>
          <w:rFonts w:ascii="Times New Roman" w:cs="Times New Roman" w:eastAsia="Times New Roman" w:hAnsi="Times New Roman"/>
          <w:sz w:val="18"/>
          <w:szCs w:val="18"/>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115" w:lineRule="exact"/>
        <w:rPr>
          <w:sz w:val="20"/>
          <w:szCs w:val="20"/>
          <w:color w:val="auto"/>
        </w:rPr>
      </w:pPr>
    </w:p>
    <w:p>
      <w:pPr>
        <w:ind w:firstLine="435"/>
        <w:spacing w:after="0" w:line="286"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51"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02" w:lineRule="exact"/>
        <w:rPr>
          <w:sz w:val="20"/>
          <w:szCs w:val="20"/>
          <w:color w:val="auto"/>
        </w:rPr>
      </w:pPr>
    </w:p>
    <w:p>
      <w:pPr>
        <w:ind w:firstLine="435"/>
        <w:spacing w:after="0" w:line="283" w:lineRule="auto"/>
        <w:rPr>
          <w:sz w:val="20"/>
          <w:szCs w:val="20"/>
          <w:color w:val="auto"/>
        </w:rPr>
      </w:pPr>
      <w:r>
        <w:rPr>
          <w:rFonts w:ascii="Times New Roman" w:cs="Times New Roman" w:eastAsia="Times New Roman" w:hAnsi="Times New Roman"/>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2"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15" w:lineRule="exact"/>
        <w:rPr>
          <w:sz w:val="20"/>
          <w:szCs w:val="20"/>
          <w:color w:val="auto"/>
        </w:rPr>
      </w:pPr>
    </w:p>
    <w:p>
      <w:pPr>
        <w:ind w:right="40" w:firstLine="435"/>
        <w:spacing w:after="0" w:line="286" w:lineRule="auto"/>
        <w:rPr>
          <w:sz w:val="20"/>
          <w:szCs w:val="20"/>
          <w:color w:val="auto"/>
        </w:rPr>
      </w:pPr>
      <w:r>
        <w:rPr>
          <w:rFonts w:ascii="Times New Roman" w:cs="Times New Roman" w:eastAsia="Times New Roman" w:hAnsi="Times New Roman"/>
          <w:sz w:val="16"/>
          <w:szCs w:val="16"/>
          <w:color w:val="auto"/>
        </w:rPr>
        <w:t>The fair values of interest rate agreements are determined using the market standard methodology of discounting the future expected cash payments or receipts that would occur if variable interest rates fell below or rose above the strike rate of the interest rate agreements. The variable interest rates used in the calculation of projected receipts on the interest rate agreements are based on 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94" w:lineRule="exact"/>
        <w:rPr>
          <w:sz w:val="20"/>
          <w:szCs w:val="20"/>
          <w:color w:val="auto"/>
        </w:rPr>
      </w:pPr>
    </w:p>
    <w:p>
      <w:pPr>
        <w:ind w:right="220" w:firstLine="435"/>
        <w:spacing w:after="0" w:line="294" w:lineRule="auto"/>
        <w:rPr>
          <w:sz w:val="20"/>
          <w:szCs w:val="20"/>
          <w:color w:val="auto"/>
        </w:rPr>
      </w:pPr>
      <w:r>
        <w:rPr>
          <w:rFonts w:ascii="Times New Roman" w:cs="Times New Roman" w:eastAsia="Times New Roman" w:hAnsi="Times New Roman"/>
          <w:sz w:val="16"/>
          <w:szCs w:val="16"/>
          <w:color w:val="auto"/>
        </w:rPr>
        <w:t>The Company recorded its financing arrangement obligation at fair value on a recurring basis with changes in fair value being recorded as interest expense in the Company’s consolidated statements of operations. The fair value was determined based on a discounted cash flow model, with the significant unobservable inputs including the discount rate, terminal capitalization rate and market rents. The fair value of the financing arrangement obligation was sensitive to these significant unobservable inputs and a change in these inputs would have resulted in a significantly higher or lower fair value measurement.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Concentration of Risk:</w:t>
      </w:r>
    </w:p>
    <w:p>
      <w:pPr>
        <w:spacing w:after="0" w:line="151"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102" w:lineRule="exact"/>
        <w:rPr>
          <w:sz w:val="20"/>
          <w:szCs w:val="20"/>
          <w:color w:val="auto"/>
        </w:rPr>
      </w:pPr>
    </w:p>
    <w:p>
      <w:pPr>
        <w:ind w:right="260" w:firstLine="435"/>
        <w:spacing w:after="0" w:line="256" w:lineRule="auto"/>
        <w:rPr>
          <w:sz w:val="20"/>
          <w:szCs w:val="20"/>
          <w:color w:val="auto"/>
        </w:rPr>
      </w:pPr>
      <w:r>
        <w:rPr>
          <w:rFonts w:ascii="Times New Roman" w:cs="Times New Roman" w:eastAsia="Times New Roman" w:hAnsi="Times New Roman"/>
          <w:sz w:val="18"/>
          <w:szCs w:val="18"/>
          <w:color w:val="auto"/>
        </w:rPr>
        <w:t>No Center or tenant generated more than 10% of total revenues during the years ended December 31, 2024, 2023 or 2022, with the exception of one Center in New York which represented approximately 11%, 11% and 12% of the Company's consolidated revenues for the years ended December 31, 2024, 2023 and 2022, respectively.</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Management Estimates:</w:t>
      </w:r>
    </w:p>
    <w:p>
      <w:pPr>
        <w:spacing w:after="0" w:line="151" w:lineRule="exact"/>
        <w:rPr>
          <w:sz w:val="20"/>
          <w:szCs w:val="20"/>
          <w:color w:val="auto"/>
        </w:rPr>
      </w:pPr>
    </w:p>
    <w:p>
      <w:pPr>
        <w:ind w:right="160" w:firstLine="43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38" w:lineRule="exact"/>
        <w:rPr>
          <w:sz w:val="20"/>
          <w:szCs w:val="20"/>
          <w:color w:val="auto"/>
        </w:rPr>
      </w:pPr>
    </w:p>
    <w:p>
      <w:pPr>
        <w:ind w:right="460" w:firstLine="435"/>
        <w:spacing w:after="0" w:line="26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 Improvements to Reportable Segment Disclosures (“ASU 2023-07”), which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The Company adopted ASU 2023-07 beginning with its fiscal year ended December 31, 2024. The adoption of ASU 2023-07 did not have any material impact on the Company's consolidated financial statements as the primary change was the inclusion of additional disclosures related to the Company's single reportable segment (See Note 22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Segment Reporting).</w:t>
      </w:r>
    </w:p>
    <w:p>
      <w:pPr>
        <w:spacing w:after="0" w:line="125" w:lineRule="exact"/>
        <w:rPr>
          <w:sz w:val="20"/>
          <w:szCs w:val="20"/>
          <w:color w:val="auto"/>
        </w:rPr>
      </w:pPr>
    </w:p>
    <w:p>
      <w:pPr>
        <w:ind w:right="280" w:firstLine="435"/>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amendments in ASU 2024-03 apply to all public business entities and require disclosure of specified information about certain costs and expenses. ASU 2024-03 is effective for annual reporting periods beginning after December 15, 2026, and interim periods within fiscal years beginning after December 15, 2027, with early adoption permitted. The Company is currently evaluating the potential impact of adopting ASU 2024-03.</w:t>
      </w:r>
    </w:p>
    <w:p>
      <w:pPr>
        <w:spacing w:after="0" w:line="121" w:lineRule="exact"/>
        <w:rPr>
          <w:sz w:val="20"/>
          <w:szCs w:val="20"/>
          <w:color w:val="auto"/>
        </w:rPr>
      </w:pPr>
    </w:p>
    <w:p>
      <w:pPr>
        <w:ind w:right="340" w:firstLine="435"/>
        <w:spacing w:after="0" w:line="294" w:lineRule="auto"/>
        <w:rPr>
          <w:sz w:val="20"/>
          <w:szCs w:val="20"/>
          <w:color w:val="auto"/>
        </w:rPr>
      </w:pPr>
      <w:r>
        <w:rPr>
          <w:rFonts w:ascii="Times New Roman" w:cs="Times New Roman" w:eastAsia="Times New Roman" w:hAnsi="Times New Roman"/>
          <w:sz w:val="16"/>
          <w:szCs w:val="16"/>
          <w:color w:val="auto"/>
        </w:rPr>
        <w:t>In November 2024, the FASB issued ASU 2024-04, Debt - Debt with Conversion and Other Options (Subtopic 470-20): Induced Conversions of Convertible Debt Instruments ("ASU 2024-04"). The amendments in ASU 2024-04 clarify the requirements for determining whether certain settlements of convertible debt instruments should be accounted for as an induced conversion. The new guidance is effective for annual reporting periods beginning after December 15, 2025, and interim periods within those annual periods. The Company is currently evaluating the potential impact of adopting ASU 2024-04.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51" w:lineRule="exact"/>
        <w:rPr>
          <w:sz w:val="20"/>
          <w:szCs w:val="20"/>
          <w:color w:val="auto"/>
        </w:rPr>
      </w:pPr>
    </w:p>
    <w:p>
      <w:pPr>
        <w:ind w:left="240" w:right="60" w:firstLine="395"/>
        <w:spacing w:after="0" w:line="269"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earnings per share for the years ended December 31 (shares in thousands):</w:t>
      </w:r>
    </w:p>
    <w:p>
      <w:pPr>
        <w:spacing w:after="0" w:line="136"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(197,665)</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(278,099)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(65,079)</w:t>
            </w: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(66,068)</w:t>
            </w: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151"/>
        </w:trPr>
        <w:tc>
          <w:tcPr>
            <w:tcW w:w="622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Numerator for basic and diluted EPS—net income (loss) attributable to common</w:t>
            </w: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(195,026)</w:t>
            </w:r>
          </w:p>
        </w:tc>
        <w:tc>
          <w:tcPr>
            <w:tcW w:w="100" w:type="dxa"/>
            <w:vAlign w:val="bottom"/>
          </w:tcPr>
          <w:p>
            <w:pPr>
              <w:spacing w:after="0"/>
              <w:rPr>
                <w:sz w:val="13"/>
                <w:szCs w:val="13"/>
                <w:color w:val="auto"/>
              </w:rPr>
            </w:pP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(274,935)</w:t>
            </w:r>
          </w:p>
        </w:tc>
        <w:tc>
          <w:tcPr>
            <w:tcW w:w="100" w:type="dxa"/>
            <w:vAlign w:val="bottom"/>
          </w:tcPr>
          <w:p>
            <w:pPr>
              <w:spacing w:after="0"/>
              <w:rPr>
                <w:sz w:val="13"/>
                <w:szCs w:val="13"/>
                <w:color w:val="auto"/>
              </w:rPr>
            </w:pP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Denominator for basic and diluted EPS—weighted average number of common shares</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221,845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215,548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215,031</w:t>
            </w:r>
          </w:p>
        </w:tc>
        <w:tc>
          <w:tcPr>
            <w:tcW w:w="0" w:type="dxa"/>
            <w:vAlign w:val="bottom"/>
          </w:tcPr>
          <w:p>
            <w:pPr>
              <w:spacing w:after="0"/>
              <w:rPr>
                <w:sz w:val="1"/>
                <w:szCs w:val="1"/>
                <w:color w:val="auto"/>
              </w:rPr>
            </w:pPr>
          </w:p>
        </w:tc>
      </w:tr>
      <w:tr>
        <w:trPr>
          <w:trHeight w:val="21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income (loss) attributable to common stockholders: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51" w:lineRule="exact"/>
        <w:rPr>
          <w:sz w:val="20"/>
          <w:szCs w:val="20"/>
          <w:color w:val="auto"/>
        </w:rPr>
      </w:pPr>
    </w:p>
    <w:p>
      <w:pPr>
        <w:ind w:left="800" w:right="220" w:hanging="399"/>
        <w:spacing w:after="0" w:line="287" w:lineRule="auto"/>
        <w:tabs>
          <w:tab w:leader="none" w:pos="8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99,565, 99,565 and 99,565 convertible preferred units for the years ended December 31, 2024, 2023 and 2022, respectively, as their impact was antidilutive.</w:t>
      </w:r>
    </w:p>
    <w:p>
      <w:pPr>
        <w:spacing w:after="0" w:line="86" w:lineRule="exact"/>
        <w:rPr>
          <w:rFonts w:ascii="Times New Roman" w:cs="Times New Roman" w:eastAsia="Times New Roman" w:hAnsi="Times New Roman"/>
          <w:sz w:val="16"/>
          <w:szCs w:val="16"/>
          <w:color w:val="auto"/>
        </w:rPr>
      </w:pPr>
    </w:p>
    <w:p>
      <w:pPr>
        <w:ind w:left="800" w:right="44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10,017,081, 8,952,452 and 8,646,182 Operating Partnership units ("OP Units") for the years ended December 31, 2024, 2023 and 2022,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w:t>
      </w:r>
    </w:p>
    <w:p>
      <w:pPr>
        <w:spacing w:after="0" w:line="151" w:lineRule="exact"/>
        <w:rPr>
          <w:sz w:val="20"/>
          <w:szCs w:val="20"/>
          <w:color w:val="auto"/>
        </w:rPr>
      </w:pPr>
    </w:p>
    <w:p>
      <w:pPr>
        <w:ind w:right="180" w:firstLine="435"/>
        <w:spacing w:after="0" w:line="263" w:lineRule="auto"/>
        <w:rPr>
          <w:sz w:val="20"/>
          <w:szCs w:val="20"/>
          <w:color w:val="auto"/>
        </w:rPr>
      </w:pPr>
      <w:r>
        <w:rPr>
          <w:rFonts w:ascii="Times New Roman" w:cs="Times New Roman" w:eastAsia="Times New Roman" w:hAnsi="Times New Roman"/>
          <w:sz w:val="18"/>
          <w:szCs w:val="18"/>
          <w:color w:val="auto"/>
        </w:rPr>
        <w:t>The Company owns operating properties through various unconsolidated joint ventures with third parties. The Company's direct or indirect ownership interest in each joint venture as of December 31, 2024 was as follows:</w:t>
      </w:r>
    </w:p>
    <w:tbl>
      <w:tblPr>
        <w:tblLayout w:type="fixed"/>
        <w:tblInd w:w="0" w:type="dxa"/>
        <w:tblCellMar>
          <w:top w:w="0" w:type="dxa"/>
          <w:left w:w="0" w:type="dxa"/>
          <w:bottom w:w="0" w:type="dxa"/>
          <w:right w:w="0" w:type="dxa"/>
        </w:tblCellMar>
      </w:tblPr>
      <w:tr>
        <w:trPr>
          <w:trHeight w:val="158"/>
        </w:trPr>
        <w:tc>
          <w:tcPr>
            <w:tcW w:w="76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1580" w:type="dxa"/>
            <w:vAlign w:val="bottom"/>
          </w:tcPr>
          <w:p>
            <w:pPr>
              <w:jc w:val="right"/>
              <w:ind w:right="193"/>
              <w:spacing w:after="0" w:line="157" w:lineRule="exact"/>
              <w:rPr>
                <w:sz w:val="20"/>
                <w:szCs w:val="20"/>
                <w:color w:val="auto"/>
              </w:rPr>
            </w:pPr>
            <w:r>
              <w:rPr>
                <w:rFonts w:ascii="Times New Roman" w:cs="Times New Roman" w:eastAsia="Times New Roman" w:hAnsi="Times New Roman"/>
                <w:sz w:val="14"/>
                <w:szCs w:val="14"/>
                <w:b w:val="1"/>
                <w:bCs w:val="1"/>
                <w:color w:val="auto"/>
              </w:rPr>
              <w:t>Ownership %(1)</w:t>
            </w:r>
          </w:p>
        </w:tc>
      </w:tr>
      <w:tr>
        <w:trPr>
          <w:trHeight w:val="33"/>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 Tysons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Corte Madera Village,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Chandler Holdings LP - Chandler Fashion Center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Kierland Commons Investment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Macerich HHF Broadway Plaza LLC—Broadway Plaza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Macerich HHF Centers LLC—Various Properties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Propcor II Associates, LLC—Boulevard Shops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Paradise Valley - Various Entities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Scottsdale Fashion Square Partnership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TM TRS Holding Company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Tysons Corner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Tysons Corner Hotel I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Tysons Corner Property Holdings II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Tysons Corner Property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Acres Development, LLP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8"/>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WMAP, L.L.C.—Atlas Park, The Shops at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1200" w:hanging="562"/>
        <w:spacing w:after="0" w:line="268" w:lineRule="auto"/>
        <w:tabs>
          <w:tab w:leader="none" w:pos="12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w:t>
      </w:r>
    </w:p>
    <w:p>
      <w:pPr>
        <w:spacing w:after="0" w:line="2" w:lineRule="exact"/>
        <w:rPr>
          <w:rFonts w:ascii="Times New Roman" w:cs="Times New Roman" w:eastAsia="Times New Roman" w:hAnsi="Times New Roman"/>
          <w:sz w:val="15"/>
          <w:szCs w:val="15"/>
          <w:color w:val="auto"/>
        </w:rPr>
      </w:pPr>
    </w:p>
    <w:p>
      <w:pPr>
        <w:ind w:left="120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349" w:lineRule="exact"/>
        <w:rPr>
          <w:sz w:val="20"/>
          <w:szCs w:val="20"/>
          <w:color w:val="auto"/>
        </w:rPr>
      </w:pPr>
    </w:p>
    <w:p>
      <w:pPr>
        <w:jc w:val="both"/>
        <w:ind w:right="200" w:firstLine="435"/>
        <w:spacing w:after="0" w:line="269" w:lineRule="auto"/>
        <w:rPr>
          <w:sz w:val="20"/>
          <w:szCs w:val="20"/>
          <w:color w:val="auto"/>
        </w:rPr>
      </w:pPr>
      <w:r>
        <w:rPr>
          <w:rFonts w:ascii="Times New Roman" w:cs="Times New Roman" w:eastAsia="Times New Roman" w:hAnsi="Times New Roman"/>
          <w:sz w:val="18"/>
          <w:szCs w:val="18"/>
          <w:color w:val="auto"/>
        </w:rPr>
        <w:t>The Company has made the following investments, dispositions and financings in unconsolidated joint ventures during the years ended December 31, 2024, 2023 and 2022 and events subsequent to December 31, 2024:</w:t>
      </w:r>
    </w:p>
    <w:p>
      <w:pPr>
        <w:spacing w:after="0" w:line="102" w:lineRule="exact"/>
        <w:rPr>
          <w:sz w:val="20"/>
          <w:szCs w:val="20"/>
          <w:color w:val="auto"/>
        </w:rPr>
      </w:pPr>
    </w:p>
    <w:p>
      <w:pPr>
        <w:jc w:val="both"/>
        <w:ind w:right="200" w:firstLine="435"/>
        <w:spacing w:after="0" w:line="25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$197,011 loan on the property with a new $175,000 loan that bore interest at SOFR plus 3.70% and matured on February 9, 2025. The loan was covered by an interest rate cap agreement that effectively prevented SOFR from exceeding 4.0% through February 15, 2024 and 5.0% through February 9, 2025.</w:t>
      </w:r>
    </w:p>
    <w:p>
      <w:pPr>
        <w:spacing w:after="0" w:line="115"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MS Portfolio LLC, the Company's joint venture with Seritage Growth Properties ("Seritage"), for a total purchase price of approximately $24,544. As a result of this transaction and the shortening of holding periods on certain other assets in the joint venture, an impairment loss was recorded for the year ended December 31, 2022. The Company's share of the impairment loss was $27,054. Effective as of August 2, 2022, the Company now owns and has consolidated its 100% interest in these two former Sears parcels in its consolidated financial statements (See Note 15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Acquisitions).</w:t>
      </w:r>
    </w:p>
    <w:p>
      <w:pPr>
        <w:spacing w:after="0" w:line="108" w:lineRule="exact"/>
        <w:rPr>
          <w:sz w:val="20"/>
          <w:szCs w:val="20"/>
          <w:color w:val="auto"/>
        </w:rPr>
      </w:pPr>
    </w:p>
    <w:p>
      <w:pPr>
        <w:ind w:right="560" w:firstLine="435"/>
        <w:spacing w:after="0" w:line="269" w:lineRule="auto"/>
        <w:rPr>
          <w:sz w:val="20"/>
          <w:szCs w:val="20"/>
          <w:color w:val="auto"/>
        </w:rPr>
      </w:pPr>
      <w:r>
        <w:rPr>
          <w:rFonts w:ascii="Times New Roman" w:cs="Times New Roman" w:eastAsia="Times New Roman" w:hAnsi="Times New Roman"/>
          <w:sz w:val="18"/>
          <w:szCs w:val="18"/>
          <w:color w:val="auto"/>
        </w:rPr>
        <w:t>On November 14, 2022, the Company's joint venture in Washington Square closed on a four-year maturity date extension for the existing loan to November 1, 2026, including extension options. The Company's joint venture repaid $15,000 ($9,000 at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8"/>
          <w:szCs w:val="18"/>
          <w:color w:val="auto"/>
        </w:rPr>
        <w:t>the Company's pro rata share) of the outstanding loan balance at closing. The loan bore interest at SOFR plus 4.0% and was covered by an interest rate cap agreement that effectively prevented SOFR from exceeding 4.0% through November 1, 2024. On November 1, 2023, the Company's joint venture repaid an additional $15,000 ($9,000 at the Company's pro rata share) of the outstanding loan balance.</w:t>
      </w:r>
    </w:p>
    <w:p>
      <w:pPr>
        <w:spacing w:after="0" w:line="115" w:lineRule="exact"/>
        <w:rPr>
          <w:sz w:val="20"/>
          <w:szCs w:val="20"/>
          <w:color w:val="auto"/>
        </w:rPr>
      </w:pPr>
    </w:p>
    <w:p>
      <w:pPr>
        <w:ind w:right="500" w:firstLine="435"/>
        <w:spacing w:after="0" w:line="269"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spacing w:after="0" w:line="102" w:lineRule="exact"/>
        <w:rPr>
          <w:sz w:val="20"/>
          <w:szCs w:val="20"/>
          <w:color w:val="auto"/>
        </w:rPr>
      </w:pPr>
    </w:p>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spacing w:after="0" w:line="102" w:lineRule="exact"/>
        <w:rPr>
          <w:sz w:val="20"/>
          <w:szCs w:val="20"/>
          <w:color w:val="auto"/>
        </w:rPr>
      </w:pPr>
    </w:p>
    <w:p>
      <w:pPr>
        <w:ind w:right="80" w:firstLine="435"/>
        <w:spacing w:after="0" w:line="250"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$295,210 ($147,605 at the Company’s pro rata share) non-recourse loan on the property. The Company’s joint venture was in negotiations with the lender on the terms of this non-recourse loan. Accordingly, the joint venture shortened the holding period of the property due to the uncertainty as to the outcome of these discussions. As a result of shortening the holding period, the joint venture determined the fair value of the property was less than the carrying value and recorded an impairment loss during 2023. The Company recognized $100,997 as its share of the impairment which was limited to the extent of its investment which was reduced to zero.</w:t>
      </w:r>
    </w:p>
    <w:p>
      <w:pPr>
        <w:spacing w:after="0" w:line="121" w:lineRule="exact"/>
        <w:rPr>
          <w:sz w:val="20"/>
          <w:szCs w:val="20"/>
          <w:color w:val="auto"/>
        </w:rPr>
      </w:pPr>
    </w:p>
    <w:p>
      <w:pPr>
        <w:ind w:right="320" w:firstLine="435"/>
        <w:spacing w:after="0" w:line="250" w:lineRule="auto"/>
        <w:rPr>
          <w:sz w:val="20"/>
          <w:szCs w:val="20"/>
          <w:color w:val="auto"/>
        </w:rPr>
      </w:pPr>
      <w:r>
        <w:rPr>
          <w:rFonts w:ascii="Times New Roman" w:cs="Times New Roman" w:eastAsia="Times New Roman" w:hAnsi="Times New Roman"/>
          <w:sz w:val="18"/>
          <w:szCs w:val="18"/>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As a result of this transaction and the shortening of holding periods, an impairment loss was recorded by the joint venture. The Company’s share of the impairment loss was $51,363. Effective as of May 18, 2023, the Company now owns and has consolidated its 100% interest in these five former Sears parcels in its consolidated financial statements (See Note 15—Acquisitions).</w:t>
      </w:r>
    </w:p>
    <w:p>
      <w:pPr>
        <w:spacing w:after="0" w:line="108" w:lineRule="exact"/>
        <w:rPr>
          <w:sz w:val="20"/>
          <w:szCs w:val="20"/>
          <w:color w:val="auto"/>
        </w:rPr>
      </w:pPr>
    </w:p>
    <w:p>
      <w:pPr>
        <w:ind w:right="240" w:firstLine="435"/>
        <w:spacing w:after="0" w:line="254"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$666,465 mortgage loan on the property with a new $710,000 loan that bears interest at a fixed rate of 6.60%, is interest only during the entire loan term and matures on December 6, 2028.</w:t>
      </w:r>
    </w:p>
    <w:p>
      <w:pPr>
        <w:spacing w:after="0" w:line="89" w:lineRule="exact"/>
        <w:rPr>
          <w:sz w:val="20"/>
          <w:szCs w:val="20"/>
          <w:color w:val="auto"/>
        </w:rPr>
      </w:pPr>
    </w:p>
    <w:p>
      <w:pPr>
        <w:ind w:right="60" w:firstLine="435"/>
        <w:spacing w:after="0" w:line="238"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$700,000. The existing $324,632 loan on the property was repaid, and $77,643 of net proceeds were generated at the Company’s 25% ownership share, which were used to reduce the Company’s revolving loan facility. As a result of this transaction, the Company recognized its share of gain on sale of assets of $8,118.</w:t>
      </w:r>
    </w:p>
    <w:p>
      <w:pPr>
        <w:spacing w:after="0" w:line="114"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$23,000 mortgage loan on the property with a new $24,000 loan that bears interest at a variable rate of SOFR plus 2.50%, is interest only during the entire loan term and matures on December 5, 2028. The new loan has a required interest rate cap throughout the term of the loan at a strike rate of 7.5%.</w:t>
      </w:r>
    </w:p>
    <w:p>
      <w:pPr>
        <w:spacing w:after="0" w:line="115" w:lineRule="exact"/>
        <w:rPr>
          <w:sz w:val="20"/>
          <w:szCs w:val="20"/>
          <w:color w:val="auto"/>
        </w:rPr>
      </w:pPr>
    </w:p>
    <w:p>
      <w:pPr>
        <w:ind w:right="180" w:firstLine="435"/>
        <w:spacing w:after="0" w:line="250"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spacing w:after="0" w:line="121" w:lineRule="exact"/>
        <w:rPr>
          <w:sz w:val="20"/>
          <w:szCs w:val="20"/>
          <w:color w:val="auto"/>
        </w:rPr>
      </w:pPr>
    </w:p>
    <w:p>
      <w:pPr>
        <w:ind w:right="340" w:firstLine="435"/>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the remaining 40% ownership interest in Arrowhead Towne Center in the New River Associates LLC joint venture that it did not previously own for a total purchase price of $36,447 and the assumption of its joint venture partner's share of debt on the property. Effective as of May 14, 2024, the Company now owns and has consolidated its 100% interest in Arrowhead Towne Center (See Note 15—Acquisitions).</w:t>
      </w:r>
    </w:p>
    <w:p>
      <w:pPr>
        <w:spacing w:after="0" w:line="67" w:lineRule="exact"/>
        <w:rPr>
          <w:sz w:val="20"/>
          <w:szCs w:val="20"/>
          <w:color w:val="auto"/>
        </w:rPr>
      </w:pPr>
    </w:p>
    <w:p>
      <w:pPr>
        <w:jc w:val="both"/>
        <w:ind w:right="40" w:firstLine="435"/>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in the Pacific Premier Retail LLC joint venture that it did not previously own for no cash consideration and the assumption of its joint venture partner's share of debt on the property. Effective as of May 14, 2024, the Company now owns and has consolidated its 100% interest in South Plains Mall (See Note 15—Acquisitions).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60" w:firstLine="435"/>
        <w:spacing w:after="0" w:line="256"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w:t>
      </w:r>
    </w:p>
    <w:p>
      <w:pPr>
        <w:spacing w:after="0" w:line="115" w:lineRule="exact"/>
        <w:rPr>
          <w:sz w:val="20"/>
          <w:szCs w:val="20"/>
          <w:color w:val="auto"/>
        </w:rPr>
      </w:pPr>
    </w:p>
    <w:p>
      <w:pPr>
        <w:ind w:right="160" w:firstLine="435"/>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refinanced the existing $256,000 loan on the property with a $275,000 loan that bears interest at a fixed rate of 7.06%, is interest only during the entire loan term and matures on July 1, 2029. The Company received a distribution of $17,700 in connection with this transaction.</w:t>
      </w:r>
    </w:p>
    <w:p>
      <w:pPr>
        <w:spacing w:after="0" w:line="115" w:lineRule="exact"/>
        <w:rPr>
          <w:sz w:val="20"/>
          <w:szCs w:val="20"/>
          <w:color w:val="auto"/>
        </w:rPr>
      </w:pPr>
    </w:p>
    <w:p>
      <w:pPr>
        <w:ind w:right="320" w:firstLine="435"/>
        <w:spacing w:after="0" w:line="269" w:lineRule="auto"/>
        <w:rPr>
          <w:sz w:val="20"/>
          <w:szCs w:val="20"/>
          <w:color w:val="auto"/>
        </w:rPr>
      </w:pPr>
      <w:r>
        <w:rPr>
          <w:rFonts w:ascii="Times New Roman" w:cs="Times New Roman" w:eastAsia="Times New Roman" w:hAnsi="Times New Roman"/>
          <w:sz w:val="18"/>
          <w:szCs w:val="18"/>
          <w:color w:val="auto"/>
        </w:rPr>
        <w:t>On June 28, 2024, the Company's joint venture in Country Club Plaza sold the property for $175,600. Concurrent with the transaction, the remaining amount owed by the joint venture under the $295,470 loan ($147,735 at the Company's pro rata share) was forgiven by the lender.</w:t>
      </w:r>
    </w:p>
    <w:p>
      <w:pPr>
        <w:spacing w:after="0" w:line="89" w:lineRule="exact"/>
        <w:rPr>
          <w:sz w:val="20"/>
          <w:szCs w:val="20"/>
          <w:color w:val="auto"/>
        </w:rPr>
      </w:pPr>
    </w:p>
    <w:p>
      <w:pPr>
        <w:ind w:right="400" w:firstLine="435"/>
        <w:spacing w:after="0" w:line="256" w:lineRule="auto"/>
        <w:rPr>
          <w:sz w:val="20"/>
          <w:szCs w:val="20"/>
          <w:color w:val="auto"/>
        </w:rPr>
      </w:pPr>
      <w:r>
        <w:rPr>
          <w:rFonts w:ascii="Times New Roman" w:cs="Times New Roman" w:eastAsia="Times New Roman" w:hAnsi="Times New Roman"/>
          <w:sz w:val="18"/>
          <w:szCs w:val="18"/>
          <w:color w:val="auto"/>
        </w:rPr>
        <w:t>On July 31, 2024, the Company sold its 50% interest in Biltmore Fashion Park, a 611,000 square foot regional retail center in Phoenix, Arizona, for $110,000. The Company used the net proceeds to pay down debt. The Company recognized a gain of approximately $42,815 in connection with this transaction (See Note 6—Property, net).</w:t>
      </w:r>
    </w:p>
    <w:p>
      <w:pPr>
        <w:spacing w:after="0" w:line="115"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includes Los Cerritos Center, Washington Square and Lakewood Center, for a net purchase price of approximately $122,132, which includes the assumption of the partner's share of property level indebtedness. As a result of this transaction and the shortening of holding periods, an impairment loss was recorded by the joint venture. The Company's share of the impairment loss was $117,031. The Company now owns and consolidates its 100% interests in these properties (See Note 15— Acquisitions).</w:t>
      </w:r>
    </w:p>
    <w:p>
      <w:pPr>
        <w:spacing w:after="0" w:line="121"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On February 7, 2025, the Company's joint venture in Flatiron Crossing repaid in full the $14,532 mezzanine loan and $14,532 of the first mortgage, and obtained a 90-day extension for the remaining $140,480 of the first mortgage. The mezzanine loan had an interest rate of SOFR plus 12.25% and the first mortgage had an interest rate of SOFR plus 2.90% for a weighted average aggregate interest rate of SOFR plus 3.70%. The interest rate on the first mortgage is SOFR plus 2.90% during the extension period.</w:t>
      </w: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 as of December 31:</w:t>
      </w:r>
    </w:p>
    <w:p>
      <w:pPr>
        <w:spacing w:after="0" w:line="39"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3,519,602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7,201,941</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607,864</w:t>
            </w:r>
          </w:p>
        </w:tc>
      </w:tr>
      <w:tr>
        <w:trPr>
          <w:trHeight w:val="217"/>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3,461,032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5,445,411</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436,179</w:t>
            </w: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837,812</w:t>
            </w:r>
          </w:p>
        </w:tc>
      </w:tr>
      <w:tr>
        <w:trPr>
          <w:trHeight w:val="217"/>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(412,425)</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654,667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852,764</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560" w:right="40" w:hanging="555"/>
        <w:spacing w:after="0" w:line="270" w:lineRule="auto"/>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include $2,613,690 of assets and $1,578,328 of liabilities of Pacific Premier Retail LLC (the "PPR Portfolio") as of December 31, 2023. On October 24, 2024, the Company acquired its joint venture partner's 40% interest in the PPR Portfolio as described above.</w:t>
      </w:r>
    </w:p>
    <w:p>
      <w:pPr>
        <w:spacing w:after="0" w:line="205" w:lineRule="exact"/>
        <w:rPr>
          <w:rFonts w:ascii="Times New Roman" w:cs="Times New Roman" w:eastAsia="Times New Roman" w:hAnsi="Times New Roman"/>
          <w:sz w:val="16"/>
          <w:szCs w:val="16"/>
          <w:color w:val="auto"/>
        </w:rPr>
      </w:pPr>
    </w:p>
    <w:p>
      <w:pPr>
        <w:ind w:left="560" w:hanging="555"/>
        <w:spacing w:after="0" w:line="255" w:lineRule="auto"/>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amortizes the difference between the cost of its investments in unconsolidated joint ventures and the book value of the underlying equity into (loss) income on a straight-line basis consistent with the lives of the underlying assets or on an accelerated basis upon disposition by the joint venture. The amortization of this difference was $343,722, $(14,316) and $9,371 for the years ended December 31, 2024, 2023 and 2022, respectively.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220" w:type="dxa"/>
            <w:vAlign w:val="bottom"/>
          </w:tcPr>
          <w:p>
            <w:pPr>
              <w:spacing w:after="0"/>
              <w:rPr>
                <w:sz w:val="11"/>
                <w:szCs w:val="11"/>
                <w:color w:val="auto"/>
              </w:rPr>
            </w:pPr>
          </w:p>
        </w:tc>
        <w:tc>
          <w:tcPr>
            <w:tcW w:w="82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2024</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741,460</w:t>
            </w:r>
          </w:p>
        </w:tc>
        <w:tc>
          <w:tcPr>
            <w:tcW w:w="0" w:type="dxa"/>
            <w:vAlign w:val="bottom"/>
          </w:tcPr>
          <w:p>
            <w:pPr>
              <w:spacing w:after="0"/>
              <w:rPr>
                <w:sz w:val="1"/>
                <w:szCs w:val="1"/>
                <w:color w:val="auto"/>
              </w:rPr>
            </w:pPr>
          </w:p>
        </w:tc>
      </w:tr>
      <w:tr>
        <w:trPr>
          <w:trHeight w:val="191"/>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27,760</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636,355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769,220</w:t>
            </w:r>
          </w:p>
        </w:tc>
        <w:tc>
          <w:tcPr>
            <w:tcW w:w="0" w:type="dxa"/>
            <w:vAlign w:val="bottom"/>
          </w:tcPr>
          <w:p>
            <w:pPr>
              <w:spacing w:after="0"/>
              <w:rPr>
                <w:sz w:val="1"/>
                <w:szCs w:val="1"/>
                <w:color w:val="auto"/>
              </w:rPr>
            </w:pPr>
          </w:p>
        </w:tc>
      </w:tr>
      <w:tr>
        <w:trPr>
          <w:trHeight w:val="167"/>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244,436</w:t>
            </w: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262,442</w:t>
            </w:r>
          </w:p>
        </w:tc>
        <w:tc>
          <w:tcPr>
            <w:tcW w:w="0" w:type="dxa"/>
            <w:vAlign w:val="bottom"/>
          </w:tcPr>
          <w:p>
            <w:pPr>
              <w:spacing w:after="0"/>
              <w:rPr>
                <w:sz w:val="1"/>
                <w:szCs w:val="1"/>
                <w:color w:val="auto"/>
              </w:rPr>
            </w:pPr>
          </w:p>
        </w:tc>
      </w:tr>
      <w:tr>
        <w:trPr>
          <w:trHeight w:val="191"/>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60,276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269,120</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620,848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782,074</w:t>
            </w:r>
          </w:p>
        </w:tc>
        <w:tc>
          <w:tcPr>
            <w:tcW w:w="0" w:type="dxa"/>
            <w:vAlign w:val="bottom"/>
          </w:tcPr>
          <w:p>
            <w:pPr>
              <w:spacing w:after="0"/>
              <w:rPr>
                <w:sz w:val="1"/>
                <w:szCs w:val="1"/>
                <w:color w:val="auto"/>
              </w:rPr>
            </w:pPr>
          </w:p>
        </w:tc>
      </w:tr>
      <w:tr>
        <w:trPr>
          <w:trHeight w:val="184"/>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(640,803)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(199,169)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(839,972)</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(852,826)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equity in net loss(1)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(134,398)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(62,954)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(197,352)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690,013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868,803</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23,923</w:t>
            </w:r>
          </w:p>
        </w:tc>
        <w:tc>
          <w:tcPr>
            <w:tcW w:w="0" w:type="dxa"/>
            <w:vAlign w:val="bottom"/>
          </w:tcPr>
          <w:p>
            <w:pPr>
              <w:spacing w:after="0"/>
              <w:rPr>
                <w:sz w:val="1"/>
                <w:szCs w:val="1"/>
                <w:color w:val="auto"/>
              </w:rPr>
            </w:pPr>
          </w:p>
        </w:tc>
      </w:tr>
      <w:tr>
        <w:trPr>
          <w:trHeight w:val="184"/>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181,085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711,641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892,726</w:t>
            </w:r>
          </w:p>
        </w:tc>
        <w:tc>
          <w:tcPr>
            <w:tcW w:w="0" w:type="dxa"/>
            <w:vAlign w:val="bottom"/>
          </w:tcPr>
          <w:p>
            <w:pPr>
              <w:spacing w:after="0"/>
              <w:rPr>
                <w:sz w:val="1"/>
                <w:szCs w:val="1"/>
                <w:color w:val="auto"/>
              </w:rPr>
            </w:pPr>
          </w:p>
        </w:tc>
      </w:tr>
      <w:tr>
        <w:trPr>
          <w:trHeight w:val="17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291,939</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6,669</w:t>
            </w: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285,426</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339,634</w:t>
            </w:r>
          </w:p>
        </w:tc>
        <w:tc>
          <w:tcPr>
            <w:tcW w:w="0" w:type="dxa"/>
            <w:vAlign w:val="bottom"/>
          </w:tcPr>
          <w:p>
            <w:pPr>
              <w:spacing w:after="0"/>
              <w:rPr>
                <w:sz w:val="1"/>
                <w:szCs w:val="1"/>
                <w:color w:val="auto"/>
              </w:rPr>
            </w:pPr>
          </w:p>
        </w:tc>
      </w:tr>
      <w:tr>
        <w:trPr>
          <w:trHeight w:val="184"/>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700,648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923,668</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(192,336)</w:t>
            </w:r>
          </w:p>
        </w:tc>
        <w:tc>
          <w:tcPr>
            <w:tcW w:w="0" w:type="dxa"/>
            <w:vAlign w:val="bottom"/>
          </w:tcPr>
          <w:p>
            <w:pPr>
              <w:spacing w:after="0"/>
              <w:rPr>
                <w:sz w:val="1"/>
                <w:szCs w:val="1"/>
                <w:color w:val="auto"/>
              </w:rPr>
            </w:pP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(41,935)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(181,343)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(223,278)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equity in net loss(1)</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(140,420)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(156,937)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6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34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Joint</w:t>
            </w:r>
          </w:p>
        </w:tc>
        <w:tc>
          <w:tcPr>
            <w:tcW w:w="220" w:type="dxa"/>
            <w:vAlign w:val="bottom"/>
          </w:tcPr>
          <w:p>
            <w:pPr>
              <w:spacing w:after="0"/>
              <w:rPr>
                <w:sz w:val="11"/>
                <w:szCs w:val="11"/>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2022</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852,143</w:t>
            </w:r>
          </w:p>
        </w:tc>
        <w:tc>
          <w:tcPr>
            <w:tcW w:w="0" w:type="dxa"/>
            <w:vAlign w:val="bottom"/>
          </w:tcPr>
          <w:p>
            <w:pPr>
              <w:spacing w:after="0"/>
              <w:rPr>
                <w:sz w:val="1"/>
                <w:szCs w:val="1"/>
                <w:color w:val="auto"/>
              </w:rPr>
            </w:pPr>
          </w:p>
        </w:tc>
      </w:tr>
      <w:tr>
        <w:trPr>
          <w:trHeight w:val="191"/>
        </w:trPr>
        <w:tc>
          <w:tcPr>
            <w:tcW w:w="3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20,706</w:t>
            </w:r>
          </w:p>
        </w:tc>
        <w:tc>
          <w:tcPr>
            <w:tcW w:w="0" w:type="dxa"/>
            <w:vAlign w:val="bottom"/>
          </w:tcPr>
          <w:p>
            <w:pPr>
              <w:spacing w:after="0"/>
              <w:rPr>
                <w:sz w:val="1"/>
                <w:szCs w:val="1"/>
                <w:color w:val="auto"/>
              </w:rPr>
            </w:pPr>
          </w:p>
        </w:tc>
      </w:tr>
      <w:tr>
        <w:trPr>
          <w:trHeight w:val="198"/>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184,359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688,490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872,849</w:t>
            </w:r>
          </w:p>
        </w:tc>
        <w:tc>
          <w:tcPr>
            <w:tcW w:w="0" w:type="dxa"/>
            <w:vAlign w:val="bottom"/>
          </w:tcPr>
          <w:p>
            <w:pPr>
              <w:spacing w:after="0"/>
              <w:rPr>
                <w:sz w:val="1"/>
                <w:szCs w:val="1"/>
                <w:color w:val="auto"/>
              </w:rPr>
            </w:pPr>
          </w:p>
        </w:tc>
      </w:tr>
      <w:tr>
        <w:trPr>
          <w:trHeight w:val="17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274,117</w:t>
            </w:r>
          </w:p>
        </w:tc>
        <w:tc>
          <w:tcPr>
            <w:tcW w:w="0" w:type="dxa"/>
            <w:vAlign w:val="bottom"/>
          </w:tcPr>
          <w:p>
            <w:pPr>
              <w:spacing w:after="0"/>
              <w:rPr>
                <w:sz w:val="1"/>
                <w:szCs w:val="1"/>
                <w:color w:val="auto"/>
              </w:rPr>
            </w:pPr>
          </w:p>
        </w:tc>
      </w:tr>
      <w:tr>
        <w:trPr>
          <w:trHeight w:val="190"/>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214,400</w:t>
            </w:r>
          </w:p>
        </w:tc>
        <w:tc>
          <w:tcPr>
            <w:tcW w:w="0" w:type="dxa"/>
            <w:vAlign w:val="bottom"/>
          </w:tcPr>
          <w:p>
            <w:pPr>
              <w:spacing w:after="0"/>
              <w:rPr>
                <w:sz w:val="1"/>
                <w:szCs w:val="1"/>
                <w:color w:val="auto"/>
              </w:rPr>
            </w:pPr>
          </w:p>
        </w:tc>
      </w:tr>
      <w:tr>
        <w:trPr>
          <w:trHeight w:val="191"/>
        </w:trPr>
        <w:tc>
          <w:tcPr>
            <w:tcW w:w="3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95,990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258,008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353,998</w:t>
            </w:r>
          </w:p>
        </w:tc>
        <w:tc>
          <w:tcPr>
            <w:tcW w:w="0" w:type="dxa"/>
            <w:vAlign w:val="bottom"/>
          </w:tcPr>
          <w:p>
            <w:pPr>
              <w:spacing w:after="0"/>
              <w:rPr>
                <w:sz w:val="1"/>
                <w:szCs w:val="1"/>
                <w:color w:val="auto"/>
              </w:rPr>
            </w:pPr>
          </w:p>
        </w:tc>
      </w:tr>
      <w:tr>
        <w:trPr>
          <w:trHeight w:val="198"/>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205,535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643,544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849,079</w:t>
            </w:r>
          </w:p>
        </w:tc>
        <w:tc>
          <w:tcPr>
            <w:tcW w:w="0" w:type="dxa"/>
            <w:vAlign w:val="bottom"/>
          </w:tcPr>
          <w:p>
            <w:pPr>
              <w:spacing w:after="0"/>
              <w:rPr>
                <w:sz w:val="1"/>
                <w:szCs w:val="1"/>
                <w:color w:val="auto"/>
              </w:rPr>
            </w:pPr>
          </w:p>
        </w:tc>
      </w:tr>
      <w:tr>
        <w:trPr>
          <w:trHeight w:val="184"/>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(28,968)</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Company's equity in net loss(1)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560" w:right="660" w:hanging="555"/>
        <w:spacing w:after="0" w:line="287" w:lineRule="auto"/>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include impairment losses at the Company's share of $179,960, $152,360 and $27,054 for the years ended December 31, 2024, 2023 and 2022, respectively.</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51"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The Company uses interest rate cap agreements to manage the interest rate risk on certain floating rate debt. The Company recorded other comprehensive income (loss) related to the marking-to-market of derivative instruments of $918, $(1,584) and $656 during the years ended December 31, 2024, 2023 and 2022, respectively. The $918 in other comprehensive income for the year ended December 31, 2024, $1,584 in other comprehensive loss for the year ended December 31, 2023 and $632 of the $656 in other comprehensive income for the year ended December 31, 2022 is the Company's pro rata share of hedged derivative instruments from certain unconsolidated joint ventures.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derivatives were outstanding at December 31, 2024 and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SOFR/LIBOR</w:t>
            </w: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20" w:type="dxa"/>
            <w:vAlign w:val="bottom"/>
            <w:gridSpan w:val="2"/>
            <w:vMerge w:val="continue"/>
          </w:tcPr>
          <w:p>
            <w:pPr>
              <w:spacing w:after="0"/>
              <w:rPr>
                <w:sz w:val="9"/>
                <w:szCs w:val="9"/>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80" w:type="dxa"/>
            <w:vAlign w:val="bottom"/>
          </w:tcPr>
          <w:p>
            <w:pPr>
              <w:spacing w:after="0"/>
              <w:rPr>
                <w:sz w:val="9"/>
                <w:szCs w:val="9"/>
                <w:color w:val="auto"/>
              </w:rPr>
            </w:pPr>
          </w:p>
        </w:tc>
        <w:tc>
          <w:tcPr>
            <w:tcW w:w="940" w:type="dxa"/>
            <w:vAlign w:val="bottom"/>
            <w:vMerge w:val="restart"/>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9"/>
                <w:szCs w:val="9"/>
                <w:color w:val="auto"/>
              </w:rPr>
            </w:pPr>
          </w:p>
        </w:tc>
        <w:tc>
          <w:tcPr>
            <w:tcW w:w="84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262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60" w:type="dxa"/>
            <w:vAlign w:val="bottom"/>
          </w:tcPr>
          <w:p>
            <w:pPr>
              <w:spacing w:after="0"/>
              <w:rPr>
                <w:sz w:val="18"/>
                <w:szCs w:val="18"/>
                <w:color w:val="auto"/>
              </w:rPr>
            </w:pPr>
          </w:p>
        </w:tc>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1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Cap</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right="140" w:firstLine="435"/>
        <w:spacing w:after="0" w:line="250" w:lineRule="auto"/>
        <w:rPr>
          <w:sz w:val="20"/>
          <w:szCs w:val="20"/>
          <w:color w:val="auto"/>
        </w:rPr>
      </w:pPr>
      <w:r>
        <w:rPr>
          <w:rFonts w:ascii="Times New Roman" w:cs="Times New Roman" w:eastAsia="Times New Roman" w:hAnsi="Times New Roman"/>
          <w:sz w:val="18"/>
          <w:szCs w:val="18"/>
          <w:color w:val="auto"/>
        </w:rPr>
        <w:t>The above derivatives were valued with an aggregate fair value (Level 2 measurement) and were included in other assets (other accrued liabilities). The fair value of the Company's interest rate derivatives were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435"/>
        <w:spacing w:after="0" w:line="250"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falls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 result, the Company determined that its interest rate cap valuations in its entirety is classified in Level 2 of the fair value hierarchy.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net at December 31, 2024 and 2023 consists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1,388,345</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6,070,367</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724,427</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186,717</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340,496</w:t>
            </w:r>
          </w:p>
        </w:tc>
      </w:tr>
      <w:tr>
        <w:trPr>
          <w:trHeight w:val="217"/>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9,444,980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8,710,352</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(2,809,863)</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7,097,113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5,900,489</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560" w:right="820" w:hanging="555"/>
        <w:spacing w:after="0" w:line="270" w:lineRule="auto"/>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Equipment and furnishings and accumulated depreciation include the cost and accumulated amortization of ROU assets in connection with finance leases at December 31, 2024 and 2023 (See Note 8—Leases).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$269,020, $265,140 and $271,494, respectively.</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gain (loss) on sale or write down of assets, net for the years ended December 31, 2024, 2023 and 2022 consist of the following:</w:t>
      </w:r>
    </w:p>
    <w:p>
      <w:pPr>
        <w:spacing w:after="0" w:line="1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sales(1)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Write-down of assets(2)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r>
      <w:tr>
        <w:trPr>
          <w:trHeight w:val="22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sales(3)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w:t>
            </w:r>
          </w:p>
        </w:tc>
      </w:tr>
      <w:tr>
        <w:trPr>
          <w:trHeight w:val="217"/>
        </w:trPr>
        <w:tc>
          <w:tcPr>
            <w:tcW w:w="46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560" w:hanging="555"/>
        <w:spacing w:after="0" w:line="252" w:lineRule="auto"/>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includes a gain of $334,285 as a result of the Company no longer recognizing its investment in Chandler Fashion Center as a financing arrangement. Effective June 13, 2024, the Company accounts for its investment under the equity method of accounting (See Note 12—Financing Arrangement and Note 16—Dispositions). Also includes a gain of $42,815 from the sale of the Company's interest in Biltmore Fashion Park (See Note 4—Investments in Unconsolidated Joint Ventures). For the year ended December 31, 2023, includes gains related to the sale of The Marketplace at Flagstaff and Superstition Springs Power Center (See Note 16—Dispositions).</w:t>
      </w:r>
    </w:p>
    <w:p>
      <w:pPr>
        <w:spacing w:after="0" w:line="219" w:lineRule="exact"/>
        <w:rPr>
          <w:rFonts w:ascii="Times New Roman" w:cs="Times New Roman" w:eastAsia="Times New Roman" w:hAnsi="Times New Roman"/>
          <w:sz w:val="16"/>
          <w:szCs w:val="16"/>
          <w:color w:val="auto"/>
        </w:rPr>
      </w:pPr>
    </w:p>
    <w:p>
      <w:pPr>
        <w:ind w:left="560" w:right="240" w:hanging="555"/>
        <w:spacing w:after="0" w:line="252" w:lineRule="auto"/>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includes impairment losses of $334,265 due to the reduction of the estimated holding periods of certain properties, including Fashion District Philadelphia, The Oaks, Santa Monica Place and Wilton Mall. For the year ended December 31, 2023, includes impairment losses of $144,656 on Fashion Outlets of Niagara Falls and $7,880 on Towne Mall. For the year ended December 31, 2022, includes impairment loss of $5,471 relating to the Company's investment in MS Portfolio LLC (See Note 4—Investments in Unconsolidated Joint Ventures) and impairment loss of $5,140 on Towne Mall. The impairment losses were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line="287" w:lineRule="auto"/>
        <w:rPr>
          <w:sz w:val="20"/>
          <w:szCs w:val="20"/>
          <w:color w:val="auto"/>
        </w:rPr>
      </w:pPr>
      <w:r>
        <w:rPr>
          <w:rFonts w:ascii="Times New Roman" w:cs="Times New Roman" w:eastAsia="Times New Roman" w:hAnsi="Times New Roman"/>
          <w:sz w:val="16"/>
          <w:szCs w:val="16"/>
          <w:color w:val="auto"/>
        </w:rPr>
        <w:t>due to the reduction of the estimated holding periods of the properties. The remaining amounts for the years ended December 31, 2024, 2023 and 2022 mainly pertain to the write off of development costs.</w:t>
      </w:r>
    </w:p>
    <w:p>
      <w:pPr>
        <w:spacing w:after="0" w:line="179" w:lineRule="exact"/>
        <w:rPr>
          <w:sz w:val="20"/>
          <w:szCs w:val="20"/>
          <w:color w:val="auto"/>
        </w:rPr>
      </w:pPr>
    </w:p>
    <w:p>
      <w:pPr>
        <w:ind w:left="560" w:hanging="555"/>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16—Dispositions.</w:t>
      </w:r>
    </w:p>
    <w:p>
      <w:pPr>
        <w:spacing w:after="0" w:line="378"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impairment charges recorded for the years ended December 31, 2024, 2023 and 2022 as described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Quoted Prices in Active</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20" w:type="dxa"/>
            <w:vAlign w:val="bottom"/>
          </w:tcPr>
          <w:p>
            <w:pPr>
              <w:spacing w:after="0"/>
              <w:rPr>
                <w:sz w:val="16"/>
                <w:szCs w:val="16"/>
                <w:color w:val="auto"/>
              </w:rPr>
            </w:pPr>
          </w:p>
        </w:tc>
        <w:tc>
          <w:tcPr>
            <w:tcW w:w="160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Markets for Identical</w:t>
            </w:r>
          </w:p>
        </w:tc>
        <w:tc>
          <w:tcPr>
            <w:tcW w:w="1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w:t>
            </w:r>
          </w:p>
        </w:tc>
        <w:tc>
          <w:tcPr>
            <w:tcW w:w="200" w:type="dxa"/>
            <w:vAlign w:val="bottom"/>
          </w:tcPr>
          <w:p>
            <w:pPr>
              <w:spacing w:after="0"/>
              <w:rPr>
                <w:sz w:val="18"/>
                <w:szCs w:val="18"/>
                <w:color w:val="auto"/>
              </w:rPr>
            </w:pPr>
          </w:p>
        </w:tc>
        <w:tc>
          <w:tcPr>
            <w:tcW w:w="17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Total Fair Value</w:t>
            </w:r>
          </w:p>
        </w:tc>
        <w:tc>
          <w:tcPr>
            <w:tcW w:w="12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20" w:type="dxa"/>
            <w:vAlign w:val="bottom"/>
          </w:tcPr>
          <w:p>
            <w:pPr>
              <w:spacing w:after="0"/>
              <w:rPr>
                <w:sz w:val="18"/>
                <w:szCs w:val="18"/>
                <w:color w:val="auto"/>
              </w:rPr>
            </w:pP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0" w:type="dxa"/>
            <w:vAlign w:val="bottom"/>
          </w:tcPr>
          <w:p>
            <w:pPr>
              <w:spacing w:after="0"/>
              <w:rPr>
                <w:sz w:val="1"/>
                <w:szCs w:val="1"/>
                <w:color w:val="auto"/>
              </w:rPr>
            </w:pPr>
          </w:p>
        </w:tc>
      </w:tr>
      <w:tr>
        <w:trPr>
          <w:trHeight w:val="41"/>
        </w:trPr>
        <w:tc>
          <w:tcPr>
            <w:tcW w:w="17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60" w:type="dxa"/>
            <w:vAlign w:val="bottom"/>
          </w:tcPr>
          <w:p>
            <w:pPr>
              <w:spacing w:after="0"/>
              <w:rPr>
                <w:sz w:val="3"/>
                <w:szCs w:val="3"/>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3"/>
                <w:szCs w:val="3"/>
                <w:color w:val="auto"/>
              </w:rPr>
            </w:pPr>
          </w:p>
        </w:tc>
        <w:tc>
          <w:tcPr>
            <w:tcW w:w="160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24"/>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The fair value (Level 2 measurement) relating to a portion of the 2024 impairments were based on sales contracts and are classified within Level 2 of the fair value hierarchy. The fair value (Level 3 measurement) related to the 2024, 2023 and 2022 impairments were based upon an income approach, using an estimated terminal capitalization rate in the range of 7.3% to 13.0%, a discount rate in the range of 9.0% and 14.5% and market rents per square foot of $8 to $500. The fair value is sensitive to these significant unobservable inputs.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51" w:lineRule="exact"/>
        <w:rPr>
          <w:sz w:val="20"/>
          <w:szCs w:val="20"/>
          <w:color w:val="auto"/>
        </w:rPr>
      </w:pPr>
    </w:p>
    <w:p>
      <w:pPr>
        <w:ind w:right="200" w:firstLine="435"/>
        <w:spacing w:after="0" w:line="256"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$7,146 and $4,824 at December 31, 2024 and 2023, respectively. Also included in tenant and other receivables, net are accrued percentage rents of $17,214 and $15,076 at December 31, 2024 and 2023, respectively, and a deferred rent receivable due to straight-line rent adjustments of $94,445 and $105,260 at December 31, 2024 and 2023,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51"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of substantially all of the rents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years ended December 31, 2024, 2023 and 2022:</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 - fixed payments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551,459</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 - variable payments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248,433</w:t>
            </w:r>
          </w:p>
        </w:tc>
      </w:tr>
      <w:tr>
        <w:trPr>
          <w:trHeight w:val="22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7"/>
        </w:trPr>
        <w:tc>
          <w:tcPr>
            <w:tcW w:w="47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800,548</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726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9"/>
        </w:trPr>
        <w:tc>
          <w:tcPr>
            <w:tcW w:w="440" w:type="dxa"/>
            <w:vAlign w:val="bottom"/>
          </w:tcPr>
          <w:p>
            <w:pPr>
              <w:spacing w:after="0"/>
              <w:rPr>
                <w:sz w:val="24"/>
                <w:szCs w:val="24"/>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 w:type="dxa"/>
            <w:vAlign w:val="bottom"/>
            <w:vMerge w:val="restart"/>
          </w:tcPr>
          <w:p>
            <w:pPr>
              <w:spacing w:after="0"/>
              <w:rPr>
                <w:sz w:val="14"/>
                <w:szCs w:val="14"/>
                <w:color w:val="auto"/>
              </w:rPr>
            </w:pPr>
          </w:p>
        </w:tc>
        <w:tc>
          <w:tcPr>
            <w:tcW w:w="7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 w:type="dxa"/>
            <w:vAlign w:val="bottom"/>
            <w:vMerge w:val="continue"/>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584,475</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481,460</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382,571</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304,496</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234,401</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947,504</w:t>
            </w: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2,934,907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51" w:lineRule="exact"/>
        <w:rPr>
          <w:sz w:val="20"/>
          <w:szCs w:val="20"/>
          <w:color w:val="auto"/>
        </w:rPr>
      </w:pPr>
    </w:p>
    <w:p>
      <w:pPr>
        <w:jc w:val="both"/>
        <w:ind w:firstLine="435"/>
        <w:spacing w:after="0" w:line="25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 In addition, the Company has three finance leases that expire at various times through 2030.</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years ended December 31, 2024, 2023 and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15,133</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24"/>
        </w:trPr>
        <w:tc>
          <w:tcPr>
            <w:tcW w:w="5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42"/>
        </w:trPr>
        <w:tc>
          <w:tcPr>
            <w:tcW w:w="5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 as of December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4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16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0"/>
        </w:trPr>
        <w:tc>
          <w:tcPr>
            <w:tcW w:w="4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right="420" w:firstLine="435"/>
        <w:spacing w:after="0" w:line="256" w:lineRule="auto"/>
        <w:rPr>
          <w:sz w:val="20"/>
          <w:szCs w:val="20"/>
          <w:color w:val="auto"/>
        </w:rPr>
      </w:pPr>
      <w:r>
        <w:rPr>
          <w:rFonts w:ascii="Times New Roman" w:cs="Times New Roman" w:eastAsia="Times New Roman" w:hAnsi="Times New Roman"/>
          <w:sz w:val="18"/>
          <w:szCs w:val="18"/>
          <w:color w:val="auto"/>
        </w:rPr>
        <w:t>The Company's weighted average remaining lease term of its operating and finance leases at December 31, 2024 was 24.3 years and 2.6 years, respectively. The Company's weighted average incremental borrowing rate of its operating and finance leases at December 31, 2024 was 7.2% and 2.8%,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charges and other assets, net at December 31, 2024 and 2023 consist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89,175</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59,478</w:t>
            </w:r>
          </w:p>
        </w:tc>
      </w:tr>
      <w:tr>
        <w:trPr>
          <w:trHeight w:val="22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r>
      <w:tr>
        <w:trPr>
          <w:trHeight w:val="224"/>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66,002</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62,755</w:t>
            </w:r>
          </w:p>
        </w:tc>
      </w:tr>
      <w:tr>
        <w:trPr>
          <w:trHeight w:val="224"/>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73,576</w:t>
            </w:r>
          </w:p>
        </w:tc>
      </w:tr>
      <w:tr>
        <w:trPr>
          <w:trHeight w:val="217"/>
        </w:trPr>
        <w:tc>
          <w:tcPr>
            <w:tcW w:w="6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391,374</w:t>
            </w:r>
          </w:p>
        </w:tc>
      </w:tr>
      <w:tr>
        <w:trPr>
          <w:trHeight w:val="224"/>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(128,306)</w:t>
            </w:r>
          </w:p>
        </w:tc>
      </w:tr>
      <w:tr>
        <w:trPr>
          <w:trHeight w:val="242"/>
        </w:trPr>
        <w:tc>
          <w:tcPr>
            <w:tcW w:w="6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52" w:lineRule="exact"/>
        <w:rPr>
          <w:sz w:val="20"/>
          <w:szCs w:val="20"/>
          <w:color w:val="auto"/>
        </w:rPr>
      </w:pPr>
    </w:p>
    <w:p>
      <w:pPr>
        <w:ind w:left="1180" w:hanging="542"/>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these intangible assets for the next five years and thereafter is as follows:</w:t>
      </w:r>
    </w:p>
    <w:p>
      <w:pPr>
        <w:spacing w:after="0" w:line="37" w:lineRule="exact"/>
        <w:rPr>
          <w:sz w:val="20"/>
          <w:szCs w:val="20"/>
          <w:color w:val="auto"/>
        </w:rPr>
      </w:pPr>
    </w:p>
    <w:tbl>
      <w:tblPr>
        <w:tblLayout w:type="fixed"/>
        <w:tblInd w:w="1200" w:type="dxa"/>
        <w:tblCellMar>
          <w:top w:w="0" w:type="dxa"/>
          <w:left w:w="0" w:type="dxa"/>
          <w:bottom w:w="0" w:type="dxa"/>
          <w:right w:w="0" w:type="dxa"/>
        </w:tblCellMar>
      </w:tblPr>
      <w:tr>
        <w:trPr>
          <w:trHeight w:val="185"/>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51,111</w:t>
            </w: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26,731</w:t>
            </w:r>
          </w:p>
        </w:tc>
      </w:tr>
      <w:tr>
        <w:trPr>
          <w:trHeight w:val="22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w:t>
            </w:r>
          </w:p>
        </w:tc>
      </w:tr>
      <w:tr>
        <w:trPr>
          <w:trHeight w:val="22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r>
      <w:tr>
        <w:trPr>
          <w:trHeight w:val="224"/>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w:t>
            </w:r>
          </w:p>
        </w:tc>
      </w:tr>
      <w:tr>
        <w:trPr>
          <w:trHeight w:val="242"/>
        </w:trPr>
        <w:tc>
          <w:tcPr>
            <w:tcW w:w="6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1180" w:hanging="54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amortization includes $33,883 and $39,540 relating to in-place lease values, leasing commissions and legal costs at</w:t>
      </w:r>
    </w:p>
    <w:p>
      <w:pPr>
        <w:spacing w:after="0" w:line="21" w:lineRule="exact"/>
        <w:rPr>
          <w:rFonts w:ascii="Times New Roman" w:cs="Times New Roman" w:eastAsia="Times New Roman" w:hAnsi="Times New Roman"/>
          <w:sz w:val="18"/>
          <w:szCs w:val="18"/>
          <w:color w:val="auto"/>
        </w:rPr>
      </w:pPr>
    </w:p>
    <w:p>
      <w:pPr>
        <w:ind w:left="120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2024 and 2023, respectively. Amortization expense for in-place lease values, leasing commissions and legal costs was $18,423, $7,417 and $6,734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 as of December 31, 2024 and 2023:</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66,002</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7"/>
              </w:rPr>
              <w:t>(36,926)</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rPr>
              <w:t>29,076</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85,174</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7"/>
              </w:rPr>
              <w:t>(37,490)</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rPr>
              <w:t>47,684</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52" w:lineRule="exact"/>
        <w:rPr>
          <w:sz w:val="20"/>
          <w:szCs w:val="20"/>
          <w:color w:val="auto"/>
        </w:rPr>
      </w:pPr>
    </w:p>
    <w:p>
      <w:pPr>
        <w:ind w:left="1180" w:hanging="542"/>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Above-market leases are included in deferred charges and other assets, net. Below-market leases are included in other accrued liabilities.</w:t>
      </w:r>
    </w:p>
    <w:p>
      <w:pPr>
        <w:spacing w:after="0" w:line="386" w:lineRule="exact"/>
        <w:rPr>
          <w:sz w:val="20"/>
          <w:szCs w:val="20"/>
          <w:color w:val="auto"/>
        </w:rPr>
      </w:pPr>
    </w:p>
    <w:p>
      <w:pPr>
        <w:ind w:firstLine="435"/>
        <w:spacing w:after="0" w:line="263" w:lineRule="auto"/>
        <w:rPr>
          <w:sz w:val="20"/>
          <w:szCs w:val="20"/>
          <w:color w:val="auto"/>
        </w:rPr>
      </w:pPr>
      <w:r>
        <w:rPr>
          <w:rFonts w:ascii="Times New Roman" w:cs="Times New Roman" w:eastAsia="Times New Roman" w:hAnsi="Times New Roman"/>
          <w:sz w:val="18"/>
          <w:szCs w:val="18"/>
          <w:color w:val="auto"/>
        </w:rPr>
        <w:t>The allocated values of above and below-market leases will be amortized into minimum rents on a straight-line basis over the individual remaining lease terms. The amortization of these values for the next five years and thereafter is as follows:</w:t>
      </w:r>
    </w:p>
    <w:tbl>
      <w:tblPr>
        <w:tblLayout w:type="fixed"/>
        <w:tblInd w:w="0" w:type="dxa"/>
        <w:tblCellMar>
          <w:top w:w="0" w:type="dxa"/>
          <w:left w:w="0" w:type="dxa"/>
          <w:bottom w:w="0" w:type="dxa"/>
          <w:right w:w="0" w:type="dxa"/>
        </w:tblCellMar>
      </w:tblPr>
      <w:tr>
        <w:trPr>
          <w:trHeight w:val="144"/>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0" w:type="dxa"/>
            <w:vAlign w:val="bottom"/>
          </w:tcPr>
          <w:p>
            <w:pPr>
              <w:spacing w:after="0"/>
              <w:rPr>
                <w:sz w:val="12"/>
                <w:szCs w:val="12"/>
                <w:color w:val="auto"/>
              </w:rPr>
            </w:pPr>
          </w:p>
        </w:tc>
        <w:tc>
          <w:tcPr>
            <w:tcW w:w="126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Above</w:t>
            </w:r>
          </w:p>
        </w:tc>
        <w:tc>
          <w:tcPr>
            <w:tcW w:w="300" w:type="dxa"/>
            <w:vAlign w:val="bottom"/>
          </w:tcPr>
          <w:p>
            <w:pPr>
              <w:spacing w:after="0"/>
              <w:rPr>
                <w:sz w:val="12"/>
                <w:szCs w:val="12"/>
                <w:color w:val="auto"/>
              </w:rPr>
            </w:pPr>
          </w:p>
        </w:tc>
        <w:tc>
          <w:tcPr>
            <w:tcW w:w="1140" w:type="dxa"/>
            <w:vAlign w:val="bottom"/>
          </w:tcPr>
          <w:p>
            <w:pPr>
              <w:jc w:val="right"/>
              <w:ind w:right="456"/>
              <w:spacing w:after="0" w:line="145" w:lineRule="exact"/>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191"/>
        </w:trPr>
        <w:tc>
          <w:tcPr>
            <w:tcW w:w="6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2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23,502</w:t>
            </w:r>
          </w:p>
        </w:tc>
        <w:tc>
          <w:tcPr>
            <w:tcW w:w="0" w:type="dxa"/>
            <w:vAlign w:val="bottom"/>
          </w:tcPr>
          <w:p>
            <w:pPr>
              <w:spacing w:after="0"/>
              <w:rPr>
                <w:sz w:val="1"/>
                <w:szCs w:val="1"/>
                <w:color w:val="auto"/>
              </w:rPr>
            </w:pPr>
          </w:p>
        </w:tc>
      </w:tr>
      <w:tr>
        <w:trPr>
          <w:trHeight w:val="242"/>
        </w:trPr>
        <w:tc>
          <w:tcPr>
            <w:tcW w:w="6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Mortgage notes payable at December 31, 2024 and 2023 consist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Carrying Amounts of Mortgage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Notes(1)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Monthly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Pledged as Collateral</w:t>
            </w:r>
          </w:p>
        </w:tc>
        <w:tc>
          <w:tcPr>
            <w:tcW w:w="180" w:type="dxa"/>
            <w:vAlign w:val="bottom"/>
          </w:tcPr>
          <w:p>
            <w:pPr>
              <w:spacing w:after="0"/>
              <w:rPr>
                <w:sz w:val="12"/>
                <w:szCs w:val="12"/>
                <w:color w:val="auto"/>
              </w:rPr>
            </w:pPr>
          </w:p>
        </w:tc>
        <w:tc>
          <w:tcPr>
            <w:tcW w:w="104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2"/>
                <w:szCs w:val="12"/>
                <w:color w:val="auto"/>
              </w:rPr>
            </w:pPr>
          </w:p>
        </w:tc>
        <w:tc>
          <w:tcPr>
            <w:tcW w:w="1380" w:type="dxa"/>
            <w:vAlign w:val="bottom"/>
            <w:gridSpan w:val="3"/>
          </w:tcPr>
          <w:p>
            <w:pPr>
              <w:jc w:val="center"/>
              <w:ind w:right="172"/>
              <w:spacing w:after="0" w:line="138"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0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6"/>
                <w:szCs w:val="16"/>
                <w:b w:val="1"/>
                <w:bCs w:val="1"/>
                <w:color w:val="auto"/>
                <w:w w:val="97"/>
              </w:rPr>
              <w:t>Debt</w:t>
            </w:r>
          </w:p>
        </w:tc>
        <w:tc>
          <w:tcPr>
            <w:tcW w:w="1080" w:type="dxa"/>
            <w:vAlign w:val="bottom"/>
          </w:tcPr>
          <w:p>
            <w:pPr>
              <w:jc w:val="right"/>
              <w:ind w:right="153"/>
              <w:spacing w:after="0" w:line="138"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Rate(2)</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Service(3)</w:t>
            </w: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Date(4)</w:t>
            </w:r>
          </w:p>
        </w:tc>
        <w:tc>
          <w:tcPr>
            <w:tcW w:w="0" w:type="dxa"/>
            <w:vAlign w:val="bottom"/>
          </w:tcPr>
          <w:p>
            <w:pPr>
              <w:spacing w:after="0"/>
              <w:rPr>
                <w:sz w:val="1"/>
                <w:szCs w:val="1"/>
                <w:color w:val="auto"/>
              </w:rPr>
            </w:pPr>
          </w:p>
        </w:tc>
      </w:tr>
      <w:tr>
        <w:trPr>
          <w:trHeight w:val="21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Arrowhead Towne Center(5)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351,905</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Chandler Fashion Center(6)</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255,924</w:t>
            </w:r>
          </w:p>
        </w:tc>
        <w:tc>
          <w:tcPr>
            <w:tcW w:w="120" w:type="dxa"/>
            <w:vAlign w:val="bottom"/>
          </w:tcPr>
          <w:p>
            <w:pPr>
              <w:spacing w:after="0"/>
              <w:rPr>
                <w:sz w:val="19"/>
                <w:szCs w:val="19"/>
                <w:color w:val="auto"/>
              </w:rPr>
            </w:pPr>
          </w:p>
        </w:tc>
        <w:tc>
          <w:tcPr>
            <w:tcW w:w="138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Philadelphia(8)</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70,820</w:t>
            </w:r>
          </w:p>
        </w:tc>
        <w:tc>
          <w:tcPr>
            <w:tcW w:w="120" w:type="dxa"/>
            <w:vAlign w:val="bottom"/>
          </w:tcPr>
          <w:p>
            <w:pPr>
              <w:spacing w:after="0"/>
              <w:rPr>
                <w:sz w:val="19"/>
                <w:szCs w:val="19"/>
                <w:color w:val="auto"/>
              </w:rPr>
            </w:pPr>
          </w:p>
        </w:tc>
        <w:tc>
          <w:tcPr>
            <w:tcW w:w="138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Raceway Mall(6)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Mall(10)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361,948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537,471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Lakewood Center(11)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304,557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 Cerritos Center(12)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Oaks, The(13)</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151,496</w:t>
            </w: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 Center(14)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522,945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Monica Place(15)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Plains Mall(16)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Valley, Mall of(17)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4"/>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219,959</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2"/>
        </w:trPr>
        <w:tc>
          <w:tcPr>
            <w:tcW w:w="3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4,894,525</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4,136,136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800" w:right="20" w:hanging="399"/>
        <w:spacing w:after="0" w:line="370" w:lineRule="auto"/>
        <w:tabs>
          <w:tab w:leader="none" w:pos="79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December 31, 2024 consisted of the following:</w:t>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Property Pledged as Collateral</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8"/>
        </w:trPr>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Arrowhead Towne Center</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27,552</w:t>
            </w:r>
          </w:p>
        </w:tc>
      </w:tr>
      <w:tr>
        <w:trPr>
          <w:trHeight w:val="190"/>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Lakewood Center</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19,723</w:t>
            </w:r>
          </w:p>
        </w:tc>
      </w:tr>
      <w:tr>
        <w:trPr>
          <w:trHeight w:val="205"/>
        </w:trPr>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 Cerritos Center</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r>
      <w:tr>
        <w:trPr>
          <w:trHeight w:val="191"/>
        </w:trPr>
        <w:tc>
          <w:tcPr>
            <w:tcW w:w="8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South Plains</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6,130</w:t>
            </w: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800" w:hanging="78"/>
        <w:spacing w:after="0" w:line="288" w:lineRule="auto"/>
        <w:rPr>
          <w:sz w:val="20"/>
          <w:szCs w:val="20"/>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$22,042 and $21,148 at December 31, 2024 and 2023, respectively.</w:t>
      </w:r>
    </w:p>
    <w:p>
      <w:pPr>
        <w:spacing w:after="0" w:line="88" w:lineRule="exact"/>
        <w:rPr>
          <w:sz w:val="20"/>
          <w:szCs w:val="20"/>
          <w:color w:val="auto"/>
        </w:rPr>
      </w:pPr>
    </w:p>
    <w:p>
      <w:pPr>
        <w:ind w:left="780" w:hanging="379"/>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55"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42" w:lineRule="exact"/>
        <w:rPr>
          <w:rFonts w:ascii="Times New Roman" w:cs="Times New Roman" w:eastAsia="Times New Roman" w:hAnsi="Times New Roman"/>
          <w:sz w:val="14"/>
          <w:szCs w:val="14"/>
          <w:color w:val="auto"/>
        </w:rPr>
      </w:pPr>
    </w:p>
    <w:p>
      <w:pPr>
        <w:ind w:left="800" w:right="100" w:hanging="399"/>
        <w:spacing w:after="0" w:line="288" w:lineRule="auto"/>
        <w:tabs>
          <w:tab w:leader="none" w:pos="7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ectPr>
          <w:pgSz w:w="11900" w:h="16838" w:orient="portrait"/>
          <w:cols w:equalWidth="0" w:num="1">
            <w:col w:w="11160"/>
          </w:cols>
          <w:pgMar w:left="320" w:top="26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60" w:lineRule="exact"/>
        <w:rPr>
          <w:rFonts w:ascii="Times New Roman" w:cs="Times New Roman" w:eastAsia="Times New Roman" w:hAnsi="Times New Roman"/>
          <w:sz w:val="18"/>
          <w:szCs w:val="18"/>
          <w:b w:val="1"/>
          <w:bCs w:val="1"/>
          <w:color w:val="auto"/>
        </w:rPr>
      </w:pPr>
    </w:p>
    <w:p>
      <w:pPr>
        <w:ind w:left="800" w:right="140" w:hanging="399"/>
        <w:spacing w:after="0" w:line="288" w:lineRule="auto"/>
        <w:tabs>
          <w:tab w:leader="none" w:pos="79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101" w:lineRule="exact"/>
        <w:rPr>
          <w:rFonts w:ascii="Times New Roman" w:cs="Times New Roman" w:eastAsia="Times New Roman" w:hAnsi="Times New Roman"/>
          <w:sz w:val="14"/>
          <w:szCs w:val="14"/>
          <w:color w:val="auto"/>
        </w:rPr>
      </w:pPr>
    </w:p>
    <w:p>
      <w:pPr>
        <w:ind w:left="800" w:right="200" w:hanging="399"/>
        <w:spacing w:after="0" w:line="258" w:lineRule="auto"/>
        <w:tabs>
          <w:tab w:leader="none" w:pos="79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16, 2023, the Company acquired its joint venture partner's 49.9% interest in Freehold Raceway Mall for $5.6 million and assumed the partner's share of debt. The Company now owns 100% of Freehold Raceway Mall (See Note 15—Acquisitions). On June 13, 2024, the partnership agreement between the Company and its partner was amended and as a result, the Company no longer accounts for its investment in Chandler Fashion Center as a financing arrangement. Effective June 13, 2024, the Company accounts for its investment in Chandler Fashion Center under the equity method of accounting and the related debt has been deconsolidated (See Note 12—Financing Arrangement and Note 16— Dispositions).</w:t>
      </w:r>
    </w:p>
    <w:p>
      <w:pPr>
        <w:spacing w:after="0" w:line="109" w:lineRule="exact"/>
        <w:rPr>
          <w:rFonts w:ascii="Times New Roman" w:cs="Times New Roman" w:eastAsia="Times New Roman" w:hAnsi="Times New Roman"/>
          <w:sz w:val="14"/>
          <w:szCs w:val="14"/>
          <w:color w:val="auto"/>
        </w:rPr>
      </w:pPr>
    </w:p>
    <w:p>
      <w:pPr>
        <w:ind w:left="800" w:right="180" w:hanging="399"/>
        <w:spacing w:after="0" w:line="288" w:lineRule="auto"/>
        <w:tabs>
          <w:tab w:leader="none" w:pos="79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$155,000 loan that bears interest at a fixed rate of 6.39%, is interest only during the majority of the loan term and matures on February 6, 2034.</w:t>
      </w:r>
    </w:p>
    <w:p>
      <w:pPr>
        <w:spacing w:after="0" w:line="87" w:lineRule="exact"/>
        <w:rPr>
          <w:rFonts w:ascii="Times New Roman" w:cs="Times New Roman" w:eastAsia="Times New Roman" w:hAnsi="Times New Roman"/>
          <w:sz w:val="14"/>
          <w:szCs w:val="14"/>
          <w:color w:val="auto"/>
        </w:rPr>
      </w:pPr>
    </w:p>
    <w:p>
      <w:pPr>
        <w:ind w:left="800" w:right="80" w:hanging="399"/>
        <w:spacing w:after="0" w:line="271" w:lineRule="auto"/>
        <w:tabs>
          <w:tab w:leader="none" w:pos="79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20, 2023, the Company repaid $26,107 of the outstanding loan balance and exercised its one-year extension option of the loan to January 22, 2024. The interest rate was SOFR plus 3.60%. On January 22, 2024, the Company repaid the majority of the loan balance and the remaining $8,171 was scheduled to mature on April 21, 2024 and was paid in full on April 19, 2024.</w:t>
      </w:r>
    </w:p>
    <w:p>
      <w:pPr>
        <w:spacing w:after="0" w:line="113" w:lineRule="exact"/>
        <w:rPr>
          <w:rFonts w:ascii="Times New Roman" w:cs="Times New Roman" w:eastAsia="Times New Roman" w:hAnsi="Times New Roman"/>
          <w:sz w:val="14"/>
          <w:szCs w:val="14"/>
          <w:color w:val="auto"/>
        </w:rPr>
      </w:pPr>
    </w:p>
    <w:p>
      <w:pPr>
        <w:ind w:left="800" w:right="20" w:hanging="399"/>
        <w:spacing w:after="0" w:line="268" w:lineRule="auto"/>
        <w:tabs>
          <w:tab w:leader="none" w:pos="82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6, 2023, the loan was in default and the Company was in negotiations with the lender on the terms of this non-recourse loan. On March 19, 2024, the Company closed on a three-year extension of the loan to October 6, 2026. The interest rate remained unchanged at 5.90%.</w:t>
      </w:r>
    </w:p>
    <w:p>
      <w:pPr>
        <w:spacing w:after="0" w:line="114" w:lineRule="exact"/>
        <w:rPr>
          <w:rFonts w:ascii="Times New Roman" w:cs="Times New Roman" w:eastAsia="Times New Roman" w:hAnsi="Times New Roman"/>
          <w:sz w:val="14"/>
          <w:szCs w:val="14"/>
          <w:color w:val="auto"/>
        </w:rPr>
      </w:pPr>
    </w:p>
    <w:p>
      <w:pPr>
        <w:ind w:left="800" w:right="200" w:hanging="399"/>
        <w:spacing w:after="0" w:line="288" w:lineRule="auto"/>
        <w:tabs>
          <w:tab w:leader="none" w:pos="83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 2023, the Company closed on a five-year $370,000 combined refinance of Green Acres Mall and Green Acres Commons. The new interest only loan bears interest at a fixed rate of 5.90% and matures on January 6, 2028.</w:t>
      </w:r>
    </w:p>
    <w:p>
      <w:pPr>
        <w:spacing w:after="0" w:line="87" w:lineRule="exact"/>
        <w:rPr>
          <w:rFonts w:ascii="Times New Roman" w:cs="Times New Roman" w:eastAsia="Times New Roman" w:hAnsi="Times New Roman"/>
          <w:sz w:val="14"/>
          <w:szCs w:val="14"/>
          <w:color w:val="auto"/>
        </w:rPr>
      </w:pPr>
    </w:p>
    <w:p>
      <w:pPr>
        <w:ind w:left="800" w:right="80" w:hanging="399"/>
        <w:spacing w:after="0" w:line="288" w:lineRule="auto"/>
        <w:tabs>
          <w:tab w:leader="none" w:pos="791"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Lakewood Center that it did not previously own and has consolidated its 100% interest (See Note 15—Acquisitions). In connection with the acquisition, the Company assumed the partner's share of the loan on the property.</w:t>
      </w:r>
    </w:p>
    <w:p>
      <w:pPr>
        <w:spacing w:after="0" w:line="87" w:lineRule="exact"/>
        <w:rPr>
          <w:rFonts w:ascii="Times New Roman" w:cs="Times New Roman" w:eastAsia="Times New Roman" w:hAnsi="Times New Roman"/>
          <w:sz w:val="14"/>
          <w:szCs w:val="14"/>
          <w:color w:val="auto"/>
        </w:rPr>
      </w:pPr>
    </w:p>
    <w:p>
      <w:pPr>
        <w:ind w:left="800" w:right="280" w:hanging="399"/>
        <w:spacing w:after="0" w:line="288"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Los Cerritos Center that it did not previously own and has consolidated its 100% interest (See Note 15—Acquisitions). In connection with the acquisition, the Company assumed the partner's share of the loan on the property.</w:t>
      </w:r>
    </w:p>
    <w:p>
      <w:pPr>
        <w:spacing w:after="0" w:line="101" w:lineRule="exact"/>
        <w:rPr>
          <w:rFonts w:ascii="Times New Roman" w:cs="Times New Roman" w:eastAsia="Times New Roman" w:hAnsi="Times New Roman"/>
          <w:sz w:val="14"/>
          <w:szCs w:val="14"/>
          <w:color w:val="auto"/>
        </w:rPr>
      </w:pPr>
    </w:p>
    <w:p>
      <w:pPr>
        <w:ind w:left="800" w:right="220" w:hanging="399"/>
        <w:spacing w:after="0" w:line="261"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$5,000 of the outstanding loan balance at closing. On June 5, 2023, the Company repaid $10,000 of the outstanding loan balance. On December 10, 2024, the Company sold The Oaks and concurrently paid off the loan balance with the net proceeds (See Note 16—Dispositions).</w:t>
      </w:r>
    </w:p>
    <w:p>
      <w:pPr>
        <w:spacing w:after="0" w:line="120" w:lineRule="exact"/>
        <w:rPr>
          <w:rFonts w:ascii="Times New Roman" w:cs="Times New Roman" w:eastAsia="Times New Roman" w:hAnsi="Times New Roman"/>
          <w:sz w:val="14"/>
          <w:szCs w:val="14"/>
          <w:color w:val="auto"/>
        </w:rPr>
      </w:pPr>
    </w:p>
    <w:p>
      <w:pPr>
        <w:ind w:left="800" w:right="100" w:hanging="399"/>
        <w:spacing w:after="0" w:line="268"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closed a $525,000, five-year refinance of the loan on Queens Center. The new loan bears interest at a fixed rate of 5.37%, is interest only during the entire loan term and matures on November 6, 2029.</w:t>
      </w:r>
    </w:p>
    <w:p>
      <w:pPr>
        <w:spacing w:after="0" w:line="114" w:lineRule="exact"/>
        <w:rPr>
          <w:rFonts w:ascii="Times New Roman" w:cs="Times New Roman" w:eastAsia="Times New Roman" w:hAnsi="Times New Roman"/>
          <w:sz w:val="14"/>
          <w:szCs w:val="14"/>
          <w:color w:val="auto"/>
        </w:rPr>
      </w:pPr>
    </w:p>
    <w:p>
      <w:pPr>
        <w:ind w:left="800" w:hanging="399"/>
        <w:spacing w:after="0" w:line="258"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the Company closed on a three-year extension of the loan to December 9, 2025, including extension options. The interest rate remained unchanged at LIBOR plus 1.48%, and converted to 1-month Term SOFR plus 1.52% effective July 9, 2023. The loan was covered by an interest rate cap agreement that effectively prevented LIBOR from exceeding 4.0% during the period ending December 9, 2023. The interest rate cap agreement was converted to 1-month Term SOFR effective July 9, 2023. The interest rate cap agreement was extended with a 4% strike rate to December 9, 2024 and was not renewed upon its maturity. Effective April 9, 2024, the loan is in default and accrues incremental default interest of 4%. The Company is in negotiations with the lender on the terms of this non-recourse loan.</w:t>
      </w:r>
    </w:p>
    <w:p>
      <w:pPr>
        <w:spacing w:after="0" w:line="109" w:lineRule="exact"/>
        <w:rPr>
          <w:rFonts w:ascii="Times New Roman" w:cs="Times New Roman" w:eastAsia="Times New Roman" w:hAnsi="Times New Roman"/>
          <w:sz w:val="14"/>
          <w:szCs w:val="14"/>
          <w:color w:val="auto"/>
        </w:rPr>
      </w:pPr>
    </w:p>
    <w:p>
      <w:pPr>
        <w:ind w:left="800" w:right="100" w:hanging="399"/>
        <w:spacing w:after="0" w:line="288"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 —Acquisitions). In connection with the acquisition, the Company assumed the partner's share of the loan on the property.</w:t>
      </w:r>
    </w:p>
    <w:p>
      <w:pPr>
        <w:spacing w:after="0" w:line="101" w:lineRule="exact"/>
        <w:rPr>
          <w:rFonts w:ascii="Times New Roman" w:cs="Times New Roman" w:eastAsia="Times New Roman" w:hAnsi="Times New Roman"/>
          <w:sz w:val="14"/>
          <w:szCs w:val="14"/>
          <w:color w:val="auto"/>
        </w:rPr>
      </w:pPr>
    </w:p>
    <w:p>
      <w:pPr>
        <w:ind w:left="800" w:right="80" w:hanging="399"/>
        <w:spacing w:after="0" w:line="268"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2024, the Company replaced the existing loan with an $85,000 loan that bears interest at a fixed rate of 6.72%, is interest only during the entire loan term and matures on September 6, 2034.</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49"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As of December 31, 2024, all of the Company's mortgage notes payable are secured by the properties on which they are placed and are non-recourse to the Company.</w:t>
      </w:r>
    </w:p>
    <w:p>
      <w:pPr>
        <w:spacing w:after="0" w:line="89"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The Company expects all loan maturities during the next twelve months will be refinanced, restructured, extended and/or paid off from the Company's line of credit or with cash on hand, with the exception of Santa Monica Place as noted above.</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interest expense capitalized during the years ended December 31, 2024, 2023 and 2022 was $22,589, $20,531 and $10,471, respectively.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firstLine="435"/>
        <w:spacing w:after="0" w:line="25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December 31, 2024 and 2023 was $4,726,227 and $3,863,997,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future maturities of mortgage notes payable are as follows: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1"/>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541,392</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949,264</w:t>
            </w: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484,098</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733,318</w:t>
            </w: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1,138,441</w:t>
            </w:r>
          </w:p>
        </w:tc>
      </w:tr>
      <w:tr>
        <w:trPr>
          <w:trHeight w:val="20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1,145,980</w:t>
            </w:r>
          </w:p>
        </w:tc>
      </w:tr>
      <w:tr>
        <w:trPr>
          <w:trHeight w:val="206"/>
        </w:trPr>
        <w:tc>
          <w:tcPr>
            <w:tcW w:w="7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4,992,493</w:t>
            </w:r>
          </w:p>
        </w:tc>
      </w:tr>
      <w:tr>
        <w:trPr>
          <w:trHeight w:val="20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finance cost, net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(22,042)</w:t>
            </w:r>
          </w:p>
        </w:tc>
      </w:tr>
      <w:tr>
        <w:trPr>
          <w:trHeight w:val="229"/>
        </w:trPr>
        <w:tc>
          <w:tcPr>
            <w:tcW w:w="77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4,970,451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future maturities reflected above reflect the extension options that the Company believes will be exercised.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Bank and other notes payable at December 31, 2024 and 2023 consist of the following:</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51" w:lineRule="exact"/>
        <w:rPr>
          <w:sz w:val="20"/>
          <w:szCs w:val="20"/>
          <w:color w:val="auto"/>
        </w:rPr>
      </w:pPr>
    </w:p>
    <w:p>
      <w:pPr>
        <w:ind w:right="20" w:firstLine="435"/>
        <w:spacing w:after="0" w:line="246" w:lineRule="auto"/>
        <w:rPr>
          <w:sz w:val="20"/>
          <w:szCs w:val="20"/>
          <w:color w:val="auto"/>
        </w:rPr>
      </w:pPr>
      <w:r>
        <w:rPr>
          <w:rFonts w:ascii="Times New Roman" w:cs="Times New Roman" w:eastAsia="Times New Roman" w:hAnsi="Times New Roman"/>
          <w:sz w:val="18"/>
          <w:szCs w:val="18"/>
          <w:color w:val="auto"/>
        </w:rPr>
        <w:t>Previously, the Company had a $525,000 revolving loan facility, which was scheduled to mature on April 14, 2024. On September 11, 2023, the Company and the Operating Partnership entered into an amended and restated credit agreement, which amended and restated their prior credit agreement, and provides for an aggregate $650,000 revolving loan facility that matures on February 1, 2027, with a one-year extension option. The revolving loan facility can be expanded up to $950,000, subject to receipt of lender commitments and other conditions. Concurrently with the entry into the amended and restated credit agreement, the Company drew $152,000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 As of December 31, 2024 and 2023, the borrowing rate was SOFR plus a spread of 2.35%. As of December 31, 2024 and 2023, borrowings under the revolving loan facility were $110,000 and $105,000, respectively, less unamortized deferred finance costs of $11,677 and $15,452, respectively, at a total interest rate of 7.59% and 8.57%, respectively. As of December 31, 2024, the Company's availability under the revolving loan facility for additional borrowings was $539,777. The estimated fair value (Level 2 measurement) of borrowings under the credit facility at December 31, 2024 was $110,963 for the revolving loan facility based on a present value model using a credit interest rate spread offered to the Company for comparable debt.</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and 2023, the Company was in compliance with all applicable financial loan covenants.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5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1,401,000 square foot regional shopping center in Chandler, Arizona, and Freehold Raceway Mall, a 1,537,000 square foot regional shopping center in Freehold, New Jersey (collectively referred to herein as "Chandler Freehold"). As a result of the Company having certain rights under the agreement to repurchase the assets of Chandler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15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Freehold, the transaction did not qualify for sale treatment. The Company, however, was not obligated to repurchase the assets. The Company accounted for its investment in Chandler Freehold as a financing arrangement.</w:t>
      </w:r>
    </w:p>
    <w:p>
      <w:pPr>
        <w:spacing w:after="0" w:line="102" w:lineRule="exact"/>
        <w:rPr>
          <w:sz w:val="20"/>
          <w:szCs w:val="20"/>
          <w:color w:val="auto"/>
        </w:rPr>
      </w:pPr>
    </w:p>
    <w:p>
      <w:pPr>
        <w:ind w:right="240" w:firstLine="435"/>
        <w:spacing w:after="0" w:line="256" w:lineRule="auto"/>
        <w:rPr>
          <w:sz w:val="20"/>
          <w:szCs w:val="20"/>
          <w:color w:val="auto"/>
        </w:rPr>
      </w:pPr>
      <w:r>
        <w:rPr>
          <w:rFonts w:ascii="Times New Roman" w:cs="Times New Roman" w:eastAsia="Times New Roman" w:hAnsi="Times New Roman"/>
          <w:sz w:val="18"/>
          <w:szCs w:val="18"/>
          <w:color w:val="auto"/>
        </w:rPr>
        <w:t>On November 16, 2023, the Company acquired the 49.9% ownership interest in Freehold Raceway Mall (See Note 15—Acquisitions). As a result, Freehold Raceway Mall is no longer part of the financing arrangement and is 100% owned by the Company. In connection with the acquisition of the 49.9% ownership interest, the Company recorded the $5,587 purchase amount as a reduction to the financing arrangement obligation.</w:t>
      </w:r>
    </w:p>
    <w:p>
      <w:pPr>
        <w:spacing w:after="0" w:line="102" w:lineRule="exact"/>
        <w:rPr>
          <w:sz w:val="20"/>
          <w:szCs w:val="20"/>
          <w:color w:val="auto"/>
        </w:rPr>
      </w:pPr>
    </w:p>
    <w:p>
      <w:pPr>
        <w:ind w:right="160" w:firstLine="435"/>
        <w:spacing w:after="0" w:line="250"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removing the specific rights that prohibited the transaction's qualification for sale treatment. As a result, the transaction qualified for sale treatment and the Company no longer accounts for its investment in Chandler Fashion Center as a financing arrangement. The financing arrangement obligation was $88,721 on June 13, 2024 and was reversed and included in gain on sale of assets (See Note 16—Dispositions). References to Chandler Freehold for the period after November 16, 2023 through June 13, 2024 shall be deemed to only refer to Chandler Fashion Center.</w:t>
      </w:r>
    </w:p>
    <w:p>
      <w:pPr>
        <w:spacing w:after="0" w:line="121"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The Company recognized interest expense on (i) the changes in fair value of the financing arrangement obligation, (ii) any payments to the joint venture partner equal to their pro rata share of net income (loss) and (iii) any payments to the joint venture partner less than or in excess of their pro rata share of net income.</w:t>
      </w:r>
    </w:p>
    <w:p>
      <w:pPr>
        <w:spacing w:after="0" w:line="115" w:lineRule="exact"/>
        <w:rPr>
          <w:sz w:val="20"/>
          <w:szCs w:val="20"/>
          <w:color w:val="auto"/>
        </w:rPr>
      </w:pPr>
    </w:p>
    <w:p>
      <w:pPr>
        <w:ind w:right="420" w:firstLine="435"/>
        <w:spacing w:after="0" w:line="269"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related party interest (income) expense in connection with the financing arrangement as follows: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of the partner's share of net income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2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r>
      <w:tr>
        <w:trPr>
          <w:trHeight w:val="22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r>
      <w:tr>
        <w:trPr>
          <w:trHeight w:val="217"/>
        </w:trPr>
        <w:tc>
          <w:tcPr>
            <w:tcW w:w="548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34,735</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The fair value (Level 3 measurement) of the financing arrangement obligation at June 13, 2024 and December 31, 2023 was based upon a terminal capitalization rate of approximately 7.0% and 6.5%, respectively, a discount rate at June 13, 2024 and December 31, 2023 of 8.25% and 8.0%, respectively, and market rents per square foot of $45 to $240. The fair value of the financing arrangement obligation was sensitive to these significant unobservable inputs and a change in these inputs could have resulted in a significantly higher or lower fair value measurement. Distributions to the partner, excluding distributions of excess loan proceeds, and changes in fair value of the financing arrangement obligation were recognized as related party interest expense (income) in the Company's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51" w:lineRule="exact"/>
        <w:rPr>
          <w:sz w:val="20"/>
          <w:szCs w:val="20"/>
          <w:color w:val="auto"/>
        </w:rPr>
      </w:pPr>
    </w:p>
    <w:p>
      <w:pPr>
        <w:ind w:right="100" w:firstLine="435"/>
        <w:spacing w:after="0" w:line="282" w:lineRule="auto"/>
        <w:rPr>
          <w:sz w:val="20"/>
          <w:szCs w:val="20"/>
          <w:color w:val="auto"/>
        </w:rPr>
      </w:pPr>
      <w:r>
        <w:rPr>
          <w:rFonts w:ascii="Times New Roman" w:cs="Times New Roman" w:eastAsia="Times New Roman" w:hAnsi="Times New Roman"/>
          <w:sz w:val="16"/>
          <w:szCs w:val="16"/>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96% ownership interest in the Operating Partnership as of December 31, 2024 and 2023. The remaining 4% limited partnership interest as of December 31, 2024 and 2023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2024 and 2023, the aggregate redemption value of the then-outstanding OP Units not owned by the Company was $218,988 and $158,157,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 (Continued)</w:t>
      </w:r>
    </w:p>
    <w:p>
      <w:pPr>
        <w:spacing w:after="0" w:line="151"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15" w:lineRule="exact"/>
        <w:rPr>
          <w:sz w:val="20"/>
          <w:szCs w:val="20"/>
          <w:color w:val="auto"/>
        </w:rPr>
      </w:pPr>
    </w:p>
    <w:p>
      <w:pPr>
        <w:ind w:right="40" w:firstLine="435"/>
        <w:spacing w:after="0" w:line="269"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151" w:lineRule="exact"/>
        <w:rPr>
          <w:sz w:val="20"/>
          <w:szCs w:val="20"/>
          <w:color w:val="auto"/>
        </w:rPr>
      </w:pPr>
    </w:p>
    <w:p>
      <w:pPr>
        <w:jc w:val="both"/>
        <w:ind w:firstLine="435"/>
        <w:spacing w:after="0" w:line="256"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$500,000 under the 2021 ATM Program.</w:t>
      </w:r>
    </w:p>
    <w:p>
      <w:pPr>
        <w:spacing w:after="0" w:line="102" w:lineRule="exact"/>
        <w:rPr>
          <w:sz w:val="20"/>
          <w:szCs w:val="20"/>
          <w:color w:val="auto"/>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the Company issued 9,401,596 shares of common stock under the 2021 ATM Program for aggregate gross proceeds of $151,699 and net proceeds of $148,624 after commissions and other transaction costs. The proceeds from the sales under the 2021 ATM Program were used to pay down the Company's revolving loan facility (See Note 11—Bank and Other Notes Payable). As of December 31, 2024, the 2021 ATM Program was fully utilized and is no longer active.</w:t>
      </w:r>
    </w:p>
    <w:p>
      <w:pPr>
        <w:spacing w:after="0" w:line="119" w:lineRule="exact"/>
        <w:rPr>
          <w:sz w:val="20"/>
          <w:szCs w:val="20"/>
          <w:color w:val="auto"/>
        </w:rPr>
      </w:pPr>
    </w:p>
    <w:p>
      <w:pPr>
        <w:ind w:right="60" w:firstLine="435"/>
        <w:spacing w:after="0" w:line="250"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$500,000 under the 2024 ATM Program. During the year ended December 31, 2024, the Company issued 3,709,322 shares of common stock under the 2024 ATM Program for aggregate gross proceeds of $70,706 and net proceeds of $69,057 after commissions and other transaction costs.</w:t>
      </w:r>
    </w:p>
    <w:p>
      <w:pPr>
        <w:spacing w:after="0" w:line="121" w:lineRule="exact"/>
        <w:rPr>
          <w:sz w:val="20"/>
          <w:szCs w:val="20"/>
          <w:color w:val="auto"/>
        </w:rPr>
      </w:pPr>
    </w:p>
    <w:p>
      <w:pPr>
        <w:ind w:right="200" w:firstLine="435"/>
        <w:spacing w:after="0" w:line="252"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23,000,000 shares of its common stock at a price per share of $19.75, which includes the underwriters' full exercise of their option to purchase an additional 3,000,000 shares, for gross proceeds of approximately $454,250. The net proceeds of the offering were approximately $439,410 after deducting the underwriting discount and offering costs of approximately $14,840. The Company used the proceeds from the offering, together with cash on hand, to repay the mortgage loan secured by its Washington Square property.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51" w:lineRule="exact"/>
        <w:rPr>
          <w:sz w:val="20"/>
          <w:szCs w:val="20"/>
          <w:color w:val="auto"/>
        </w:rPr>
      </w:pPr>
    </w:p>
    <w:p>
      <w:pPr>
        <w:ind w:right="140" w:firstLine="435"/>
        <w:spacing w:after="0" w:line="252"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Sears Deptford Mall and Vintage Faire Mall:</w:t>
      </w:r>
    </w:p>
    <w:p>
      <w:pPr>
        <w:spacing w:after="0" w:line="151" w:lineRule="exact"/>
        <w:rPr>
          <w:sz w:val="20"/>
          <w:szCs w:val="20"/>
          <w:color w:val="auto"/>
        </w:rPr>
      </w:pPr>
    </w:p>
    <w:p>
      <w:pPr>
        <w:jc w:val="both"/>
        <w:ind w:firstLine="435"/>
        <w:spacing w:after="0" w:line="256"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the MS Portfolio LLC joint venture that it did not previously own for a total purchase price of $24,544. Effective as of August 2, 2022, the Company now owns and has consolidated its 100% interest in these two former Sears parcels in its consolidated financial statements.</w:t>
      </w:r>
    </w:p>
    <w:p>
      <w:pPr>
        <w:spacing w:after="0" w:line="102" w:lineRule="exact"/>
        <w:rPr>
          <w:sz w:val="20"/>
          <w:szCs w:val="20"/>
          <w:color w:val="auto"/>
        </w:rPr>
      </w:pPr>
    </w:p>
    <w:p>
      <w:pPr>
        <w:ind w:right="860" w:firstLine="435"/>
        <w:spacing w:after="0" w:line="269" w:lineRule="auto"/>
        <w:rPr>
          <w:sz w:val="20"/>
          <w:szCs w:val="20"/>
          <w:color w:val="auto"/>
        </w:rPr>
      </w:pPr>
      <w:r>
        <w:rPr>
          <w:rFonts w:ascii="Times New Roman" w:cs="Times New Roman" w:eastAsia="Times New Roman" w:hAnsi="Times New Roman"/>
          <w:sz w:val="18"/>
          <w:szCs w:val="18"/>
          <w:color w:val="auto"/>
        </w:rPr>
        <w:t>The following is a summary of the allocation of the fair value of the former Sears parcels at Deptford Mall and Vintage Faire Mall upon their consolidation on August 2,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32,934</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(above-market leases)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1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48,098</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MS Portfolio LLC:</w:t>
      </w:r>
    </w:p>
    <w:p>
      <w:pPr>
        <w:spacing w:after="0" w:line="151" w:lineRule="exact"/>
        <w:rPr>
          <w:sz w:val="20"/>
          <w:szCs w:val="20"/>
          <w:color w:val="auto"/>
        </w:rPr>
      </w:pPr>
    </w:p>
    <w:p>
      <w:pPr>
        <w:jc w:val="both"/>
        <w:ind w:right="300" w:firstLine="435"/>
        <w:spacing w:after="0" w:line="252" w:lineRule="auto"/>
        <w:rPr>
          <w:sz w:val="20"/>
          <w:szCs w:val="20"/>
          <w:color w:val="auto"/>
        </w:rPr>
      </w:pPr>
      <w:r>
        <w:rPr>
          <w:rFonts w:ascii="Times New Roman" w:cs="Times New Roman" w:eastAsia="Times New Roman" w:hAnsi="Times New Roman"/>
          <w:sz w:val="18"/>
          <w:szCs w:val="18"/>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w:t>
      </w:r>
    </w:p>
    <w:p>
      <w:pPr>
        <w:spacing w:after="0" w:line="119"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The following is a summary of the allocation of the fair value of the former Sears parcels at Chandler Fashion Center, Danbury Fair Mall, Freehold Raceway Mall, Los Cerritos Center and Washington Square:</w:t>
      </w:r>
    </w:p>
    <w:p>
      <w:pPr>
        <w:spacing w:after="0" w:line="134"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39,359</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93,400</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Freehold Raceway Mall:</w:t>
      </w:r>
    </w:p>
    <w:p>
      <w:pPr>
        <w:spacing w:after="0" w:line="138" w:lineRule="exact"/>
        <w:rPr>
          <w:sz w:val="20"/>
          <w:szCs w:val="20"/>
          <w:color w:val="auto"/>
        </w:rPr>
      </w:pPr>
    </w:p>
    <w:p>
      <w:pPr>
        <w:ind w:right="400" w:firstLine="435"/>
        <w:spacing w:after="0" w:line="256"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$5,587 and the assumption of its joint venture partner’s share of debt. The Company now owns 100% interest of this property. Prior to November 16, 2023, the Company accounted for its investment in Freehold Raceway Mall as part of a financing arrangement (See Note 12 – Financing Arrangement).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Fashion District Philadelphia:</w:t>
      </w:r>
    </w:p>
    <w:p>
      <w:pPr>
        <w:spacing w:after="0" w:line="151" w:lineRule="exact"/>
        <w:rPr>
          <w:sz w:val="20"/>
          <w:szCs w:val="20"/>
          <w:color w:val="auto"/>
        </w:rPr>
      </w:pPr>
    </w:p>
    <w:p>
      <w:pPr>
        <w:ind w:right="100" w:firstLine="435"/>
        <w:spacing w:after="0" w:line="252"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VIE in its consolidated financial statements (See Note 2 –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 (Continued)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Arrowhead Towne Center:</w:t>
      </w:r>
    </w:p>
    <w:p>
      <w:pPr>
        <w:spacing w:after="0" w:line="151" w:lineRule="exact"/>
        <w:rPr>
          <w:sz w:val="20"/>
          <w:szCs w:val="20"/>
          <w:color w:val="auto"/>
        </w:rPr>
      </w:pPr>
    </w:p>
    <w:p>
      <w:pPr>
        <w:jc w:val="both"/>
        <w:ind w:right="120" w:firstLine="435"/>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Arrowhead Towne Center that it did not previously own for a total purchase price of $36,447 and the assumption of its joint venture partner's share of the debt on the property. Effective as of May 14, 2024, the Company now owns and has consolidated its 100% interest in Arrowhead Towne Center.</w:t>
      </w:r>
    </w:p>
    <w:p>
      <w:pPr>
        <w:spacing w:after="0" w:line="102"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Arrowhead Towne Center:</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426,097</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451,377</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383,881</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360,258</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80" w:firstLine="435"/>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Arrowhead Towne Center were initially recorded at their relative fair values as shown in the table above. The carrying value of the property was then reduced by the remaining negative basis of $58,683 from the equity method investment previously held by the Company.</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South Plains Mall:</w:t>
      </w:r>
    </w:p>
    <w:p>
      <w:pPr>
        <w:spacing w:after="0" w:line="151"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that it did not previously own for no cash consideration and the assumption of its joint venture partner's share of the debt on the property. Effective as of May 14, 2024, the Company now owns and has consolidated its 100% interest in South Plains Mall.</w:t>
      </w:r>
    </w:p>
    <w:p>
      <w:pPr>
        <w:spacing w:after="0" w:line="102"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South Plains Mall:</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183,434</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206,771</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198,181</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20" w:firstLine="435"/>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South Plains Mall were initially recorded at their relative fair values as shown in the table above. The carrying value of the property was then reduced by the remaining negative basis of $80,750 from the equity method investment previously held by the Company.</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Sears parcel at Inland Center:</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$5,382.</w:t>
      </w:r>
    </w:p>
    <w:p>
      <w:pPr>
        <w:sectPr>
          <w:pgSz w:w="11900" w:h="16838" w:orient="portrait"/>
          <w:cols w:equalWidth="0" w:num="1">
            <w:col w:w="11140"/>
          </w:cols>
          <w:pgMar w:left="32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266" w:right="4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right="8820" w:hanging="435"/>
        <w:spacing w:after="0" w:line="465" w:lineRule="auto"/>
        <w:tabs>
          <w:tab w:leader="none" w:pos="269"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(Continued) </w:t>
      </w:r>
      <w:r>
        <w:rPr>
          <w:rFonts w:ascii="Times New Roman" w:cs="Times New Roman" w:eastAsia="Times New Roman" w:hAnsi="Times New Roman"/>
          <w:sz w:val="16"/>
          <w:szCs w:val="16"/>
          <w:i w:val="1"/>
          <w:iCs w:val="1"/>
          <w:color w:val="auto"/>
        </w:rPr>
        <w:t>Pacific Premier Retail LLC:</w:t>
      </w:r>
    </w:p>
    <w:p>
      <w:pPr>
        <w:ind w:right="80" w:firstLine="435"/>
        <w:spacing w:after="0" w:line="250" w:lineRule="auto"/>
        <w:rPr>
          <w:sz w:val="20"/>
          <w:szCs w:val="20"/>
          <w:color w:val="auto"/>
        </w:rPr>
      </w:pPr>
      <w:r>
        <w:rPr>
          <w:rFonts w:ascii="Times New Roman" w:cs="Times New Roman" w:eastAsia="Times New Roman" w:hAnsi="Times New Roman"/>
          <w:sz w:val="18"/>
          <w:szCs w:val="18"/>
          <w:color w:val="auto"/>
        </w:rPr>
        <w:t>On October 24, 2024, the Company acquired the remaining 40% ownership interest in the Pacific Premier Retail LLC joint venture that owns Lakewood Center, Los Cerritos Center and Washington Square that it did not previously own for a total purchase price of $129,000 less the assumption of the partner's share of certain cash balances of $6,868 for a net purchase price of $122,132, and the assumption of its joint venture partner's share of debt on the properties. Effective as of October 24, 2024, the Company now owns and has consolidated its 100% interest in Lakewood Center, Los Cerritos Center and Washington Square.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Lakewood Center, Los Cerritos Center and Washington Square:</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1,526,515</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1,631,811</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1,312,718</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1,309,310</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Lakewood Center, Los Cerritos Center and Washington Square were initially recorded at their relative fair values as shown in the table above. The carrying value of the property was then reduced by the remaining negative basis of $98,800 from the equity method investment previously held by the Company.</w:t>
      </w:r>
    </w:p>
    <w:p>
      <w:pPr>
        <w:spacing w:after="0" w:line="115"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December 2, 2024, the Company paid off the remaining loan balance assumed on Washington Square with the proceeds from the Company's public offering on November 27, 2024 (See Note 14 – Stockholders' Equity) and recognized a gain on extinguishment of debt of $14,403 for the year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138"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$23,500, which resulted in a gain on sale of assets of $10,349. The Company used the net proceeds to pay down debt.</w:t>
      </w:r>
    </w:p>
    <w:p>
      <w:pPr>
        <w:spacing w:after="0" w:line="89" w:lineRule="exact"/>
        <w:rPr>
          <w:sz w:val="20"/>
          <w:szCs w:val="20"/>
          <w:color w:val="auto"/>
        </w:rPr>
      </w:pPr>
    </w:p>
    <w:p>
      <w:pPr>
        <w:ind w:right="600" w:firstLine="435"/>
        <w:spacing w:after="0" w:line="254" w:lineRule="auto"/>
        <w:rPr>
          <w:sz w:val="20"/>
          <w:szCs w:val="20"/>
          <w:color w:val="auto"/>
        </w:rPr>
      </w:pPr>
      <w:r>
        <w:rPr>
          <w:rFonts w:ascii="Times New Roman" w:cs="Times New Roman" w:eastAsia="Times New Roman" w:hAnsi="Times New Roman"/>
          <w:sz w:val="18"/>
          <w:szCs w:val="18"/>
          <w:color w:val="auto"/>
        </w:rPr>
        <w:t>On July 17, 2023, the Company sold Superstition Springs Power Center, a 204,000 square foot power center in Mesa, Arizona, for $5,634, which resulted in a gain on sale of assets of $1,903. The Company used the net proceeds to pay down debt.</w:t>
      </w:r>
    </w:p>
    <w:p>
      <w:pPr>
        <w:spacing w:after="0" w:line="89" w:lineRule="exact"/>
        <w:rPr>
          <w:sz w:val="20"/>
          <w:szCs w:val="20"/>
          <w:color w:val="auto"/>
        </w:rPr>
      </w:pPr>
    </w:p>
    <w:p>
      <w:pPr>
        <w:ind w:right="40" w:firstLine="435"/>
        <w:spacing w:after="0" w:line="254"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completed transition of the property to a receiver. On December 4, 2023, Towne Mall was sold by the receiver for $9,500, resulting in a gain on extinguishment of debt of $8,208.</w:t>
      </w:r>
    </w:p>
    <w:p>
      <w:pPr>
        <w:spacing w:after="0" w:line="102" w:lineRule="exact"/>
        <w:rPr>
          <w:sz w:val="20"/>
          <w:szCs w:val="20"/>
          <w:color w:val="auto"/>
        </w:rPr>
      </w:pPr>
    </w:p>
    <w:p>
      <w:pPr>
        <w:ind w:right="280" w:firstLine="435"/>
        <w:spacing w:after="0" w:line="241"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(See Note 12—Financing Arrangement). Effective June 13, 2024, the Company accounts for its investment in Chandler Fashion Center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Dispositions: (Continued)</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856"/>
        </w:trPr>
        <w:tc>
          <w:tcPr>
            <w:tcW w:w="44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recognized the following gain on sale of assets on Chandler Fashion Center:</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4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4"/>
        </w:trPr>
        <w:tc>
          <w:tcPr>
            <w:tcW w:w="4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investment in unconsolidated joint ventures - Chandler Fashion Center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r>
      <w:tr>
        <w:trPr>
          <w:trHeight w:val="224"/>
        </w:trPr>
        <w:tc>
          <w:tcPr>
            <w:tcW w:w="4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the financing arrangement obligation</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88,721</w:t>
            </w:r>
          </w:p>
        </w:tc>
      </w:tr>
      <w:tr>
        <w:trPr>
          <w:trHeight w:val="224"/>
        </w:trPr>
        <w:tc>
          <w:tcPr>
            <w:tcW w:w="4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Chandler Fashion Center - liabilities in excess of assets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104,273</w:t>
            </w:r>
          </w:p>
        </w:tc>
      </w:tr>
      <w:tr>
        <w:trPr>
          <w:trHeight w:val="217"/>
        </w:trPr>
        <w:tc>
          <w:tcPr>
            <w:tcW w:w="4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334,285</w:t>
            </w:r>
          </w:p>
        </w:tc>
      </w:tr>
      <w:tr>
        <w:trPr>
          <w:trHeight w:val="20"/>
        </w:trPr>
        <w:tc>
          <w:tcPr>
            <w:tcW w:w="4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firstLine="435"/>
        <w:spacing w:after="0" w:line="254"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$7,100, which resulted in a gain on sale of assets of $756. The Company used the net proceeds to pay down debt.</w:t>
      </w:r>
    </w:p>
    <w:p>
      <w:pPr>
        <w:spacing w:after="0" w:line="102" w:lineRule="exact"/>
        <w:rPr>
          <w:sz w:val="20"/>
          <w:szCs w:val="20"/>
          <w:color w:val="auto"/>
        </w:rPr>
      </w:pPr>
    </w:p>
    <w:p>
      <w:pPr>
        <w:ind w:right="280" w:firstLine="435"/>
        <w:spacing w:after="0" w:line="254"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$4,000, which resulted in a loss on sale or write down of assets of $911. The Company used the net proceeds to pay down debt.</w:t>
      </w:r>
    </w:p>
    <w:p>
      <w:pPr>
        <w:spacing w:after="0" w:line="102"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On December 10, 2024, the Company sold The Oaks, a 1,206,000 square foot regional retail center in Thousand Oaks, California, for $157,000, which resulted in a loss on sale or write down of assets of $6,932. The Company used the net proceeds to pay off the $147,751 loan on the property.</w:t>
      </w:r>
    </w:p>
    <w:p>
      <w:pPr>
        <w:spacing w:after="0" w:line="102" w:lineRule="exact"/>
        <w:rPr>
          <w:sz w:val="20"/>
          <w:szCs w:val="20"/>
          <w:color w:val="auto"/>
        </w:rPr>
      </w:pPr>
    </w:p>
    <w:p>
      <w:pPr>
        <w:ind w:right="60" w:firstLine="43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2023 and 2022, the Company sold various land parcels in separate transactions, resulting in gains on sale of land of $1,185, $5,592 and $22,357, respectively. The Company used its share of the proceeds from these sales to pay down debt and for other general corporate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38"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As of December 31, 2024, the Company was contingently liable for $6,113 in letters of credit guaranteeing performance by the Company of certain obligations relating to the Centers. The Company does not believe that these letters of credit will result in a liability to the Company.</w:t>
      </w:r>
    </w:p>
    <w:p>
      <w:pPr>
        <w:spacing w:after="0" w:line="102"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December 31, 2024, the Company had $10,722 in outstanding obligations, which it believes will be settled in the next twelve months.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51" w:lineRule="exact"/>
        <w:rPr>
          <w:sz w:val="20"/>
          <w:szCs w:val="20"/>
          <w:color w:val="auto"/>
        </w:rPr>
      </w:pPr>
    </w:p>
    <w:p>
      <w:pPr>
        <w:ind w:right="60" w:firstLine="435"/>
        <w:spacing w:after="0" w:line="289" w:lineRule="auto"/>
        <w:rPr>
          <w:sz w:val="20"/>
          <w:szCs w:val="20"/>
          <w:color w:val="auto"/>
        </w:rPr>
      </w:pPr>
      <w:r>
        <w:rPr>
          <w:rFonts w:ascii="Times New Roman" w:cs="Times New Roman" w:eastAsia="Times New Roman" w:hAnsi="Times New Roman"/>
          <w:sz w:val="16"/>
          <w:szCs w:val="16"/>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r>
      <w:tr>
        <w:trPr>
          <w:trHeight w:val="22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r>
      <w:tr>
        <w:trPr>
          <w:trHeight w:val="242"/>
        </w:trPr>
        <w:tc>
          <w:tcPr>
            <w:tcW w:w="4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26,536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80" w:firstLine="435"/>
        <w:spacing w:after="0" w:line="269" w:lineRule="auto"/>
        <w:rPr>
          <w:sz w:val="20"/>
          <w:szCs w:val="20"/>
          <w:color w:val="auto"/>
        </w:rPr>
      </w:pPr>
      <w:r>
        <w:rPr>
          <w:rFonts w:ascii="Times New Roman" w:cs="Times New Roman" w:eastAsia="Times New Roman" w:hAnsi="Times New Roman"/>
          <w:sz w:val="18"/>
          <w:szCs w:val="18"/>
          <w:color w:val="auto"/>
        </w:rPr>
        <w:t>Interest (income) expense from related party transactions also includes $(11,264), $(24,206) and $34,735 for the years ended December 31, 2024, 2023 and 2022, respectively, in connection with the Financing Arrangement (See Note 12—Financing Arrangement).</w:t>
      </w:r>
    </w:p>
    <w:p>
      <w:pPr>
        <w:spacing w:after="0" w:line="102" w:lineRule="exact"/>
        <w:rPr>
          <w:sz w:val="20"/>
          <w:szCs w:val="20"/>
          <w:color w:val="auto"/>
        </w:rPr>
      </w:pPr>
    </w:p>
    <w:p>
      <w:pPr>
        <w:ind w:right="380" w:firstLine="435"/>
        <w:spacing w:after="0" w:line="269" w:lineRule="auto"/>
        <w:rPr>
          <w:sz w:val="20"/>
          <w:szCs w:val="20"/>
          <w:color w:val="auto"/>
        </w:rPr>
      </w:pPr>
      <w:r>
        <w:rPr>
          <w:rFonts w:ascii="Times New Roman" w:cs="Times New Roman" w:eastAsia="Times New Roman" w:hAnsi="Times New Roman"/>
          <w:sz w:val="18"/>
          <w:szCs w:val="18"/>
          <w:color w:val="auto"/>
        </w:rPr>
        <w:t>Due from affiliates includes $1,840 and $4,755 of unreimbursed costs and fees from unconsolidated joint ventures under management agreements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51"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The Company has established share and unit-based compensation plans for the purpose of attracting and retaining executive officers, directors and key employees.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2003 Equity Incentive Plan:</w:t>
      </w:r>
    </w:p>
    <w:p>
      <w:pPr>
        <w:spacing w:after="0" w:line="138" w:lineRule="exact"/>
        <w:rPr>
          <w:sz w:val="20"/>
          <w:szCs w:val="20"/>
          <w:color w:val="auto"/>
        </w:rPr>
      </w:pPr>
    </w:p>
    <w:p>
      <w:pPr>
        <w:ind w:right="40" w:firstLine="435"/>
        <w:spacing w:after="0" w:line="284" w:lineRule="auto"/>
        <w:rPr>
          <w:sz w:val="20"/>
          <w:szCs w:val="20"/>
          <w:color w:val="auto"/>
        </w:rPr>
      </w:pPr>
      <w:r>
        <w:rPr>
          <w:rFonts w:ascii="Times New Roman" w:cs="Times New Roman" w:eastAsia="Times New Roman" w:hAnsi="Times New Roman"/>
          <w:sz w:val="16"/>
          <w:szCs w:val="16"/>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2024,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26,112,331 shares. As of December 31, 2024, there were 6,967,041 shares available for issuance under the 2003 Plan.</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Units:</w:t>
      </w:r>
    </w:p>
    <w:p>
      <w:pPr>
        <w:spacing w:after="0" w:line="151" w:lineRule="exact"/>
        <w:rPr>
          <w:sz w:val="20"/>
          <w:szCs w:val="20"/>
          <w:color w:val="auto"/>
        </w:rPr>
      </w:pPr>
    </w:p>
    <w:p>
      <w:pPr>
        <w:jc w:val="both"/>
        <w:ind w:right="40" w:firstLine="435"/>
        <w:spacing w:after="0" w:line="256" w:lineRule="auto"/>
        <w:rPr>
          <w:sz w:val="20"/>
          <w:szCs w:val="20"/>
          <w:color w:val="auto"/>
        </w:rPr>
      </w:pPr>
      <w:r>
        <w:rPr>
          <w:rFonts w:ascii="Times New Roman" w:cs="Times New Roman" w:eastAsia="Times New Roman" w:hAnsi="Times New Roman"/>
          <w:sz w:val="18"/>
          <w:szCs w:val="18"/>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2024, 2023 and 2022:</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130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3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284,047</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295,054</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Long-Term Incentive Plan Units:</w:t>
      </w:r>
    </w:p>
    <w:p>
      <w:pPr>
        <w:spacing w:after="0" w:line="151" w:lineRule="exact"/>
        <w:rPr>
          <w:sz w:val="20"/>
          <w:szCs w:val="20"/>
          <w:color w:val="auto"/>
        </w:rPr>
      </w:pPr>
    </w:p>
    <w:p>
      <w:pPr>
        <w:ind w:right="40" w:firstLine="435"/>
        <w:spacing w:after="0" w:line="250"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08"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115"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the grant. The fair value of the market-indexed LTI Units and performance-based LTI Units are estimated on the date of</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15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granted the following LTI units during the years ended December 31, 2024, 2023 and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per LTI</w:t>
            </w:r>
          </w:p>
        </w:tc>
        <w:tc>
          <w:tcPr>
            <w:tcW w:w="130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0"/>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376,153</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716,545</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577,255</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1,030,077</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1,607,332</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305,129</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4"/>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280,637</w:t>
            </w:r>
          </w:p>
        </w:tc>
        <w:tc>
          <w:tcPr>
            <w:tcW w:w="160" w:type="dxa"/>
            <w:vAlign w:val="bottom"/>
          </w:tcPr>
          <w:p>
            <w:pPr>
              <w:spacing w:after="0"/>
              <w:rPr>
                <w:sz w:val="19"/>
                <w:szCs w:val="19"/>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138,634</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4"/>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152,346</w:t>
            </w:r>
          </w:p>
        </w:tc>
        <w:tc>
          <w:tcPr>
            <w:tcW w:w="160" w:type="dxa"/>
            <w:vAlign w:val="bottom"/>
          </w:tcPr>
          <w:p>
            <w:pPr>
              <w:spacing w:after="0"/>
              <w:rPr>
                <w:sz w:val="19"/>
                <w:szCs w:val="19"/>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3/1/2027</w:t>
            </w: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3/1/2028</w:t>
            </w:r>
          </w:p>
        </w:tc>
        <w:tc>
          <w:tcPr>
            <w:tcW w:w="0" w:type="dxa"/>
            <w:vAlign w:val="bottom"/>
          </w:tcPr>
          <w:p>
            <w:pPr>
              <w:spacing w:after="0"/>
              <w:rPr>
                <w:sz w:val="1"/>
                <w:szCs w:val="1"/>
                <w:color w:val="auto"/>
              </w:rPr>
            </w:pPr>
          </w:p>
        </w:tc>
      </w:tr>
      <w:tr>
        <w:trPr>
          <w:trHeight w:val="224"/>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60" w:type="dxa"/>
            <w:vAlign w:val="bottom"/>
          </w:tcPr>
          <w:p>
            <w:pPr>
              <w:spacing w:after="0"/>
              <w:rPr>
                <w:sz w:val="19"/>
                <w:szCs w:val="19"/>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3/1/2029</w:t>
            </w: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261,124</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11/12/2024</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77,399</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11/30/2027</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1,367,615</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40" w:firstLine="435"/>
        <w:spacing w:after="0" w:line="269" w:lineRule="auto"/>
        <w:rPr>
          <w:sz w:val="20"/>
          <w:szCs w:val="20"/>
          <w:color w:val="auto"/>
        </w:rPr>
      </w:pPr>
      <w:r>
        <w:rPr>
          <w:rFonts w:ascii="Times New Roman" w:cs="Times New Roman" w:eastAsia="Times New Roman" w:hAnsi="Times New Roman"/>
          <w:sz w:val="18"/>
          <w:szCs w:val="18"/>
          <w:color w:val="auto"/>
        </w:rPr>
        <w:t>The fair value of the market-indexed LTI Units and performance-based LTI Units (Level 3) were estimated on the date of grant using a Monte Carlo Simulation model that based on the following assumptions:</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Risk Free Interest</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Expected</w:t>
            </w:r>
          </w:p>
        </w:tc>
      </w:tr>
      <w:tr>
        <w:trPr>
          <w:trHeight w:val="237"/>
        </w:trPr>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Volatility</w:t>
            </w:r>
          </w:p>
        </w:tc>
      </w:tr>
      <w:tr>
        <w:trPr>
          <w:trHeight w:val="217"/>
        </w:trPr>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70.83 %</w:t>
            </w:r>
          </w:p>
        </w:tc>
      </w:tr>
      <w:tr>
        <w:trPr>
          <w:trHeight w:val="22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74.23 %</w:t>
            </w:r>
          </w:p>
        </w:tc>
      </w:tr>
      <w:tr>
        <w:trPr>
          <w:trHeight w:val="224"/>
        </w:trPr>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45.04 %</w:t>
            </w:r>
          </w:p>
        </w:tc>
      </w:tr>
      <w:tr>
        <w:trPr>
          <w:trHeight w:val="228"/>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during the years ended December 31, 2024, 2023 and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620" w:type="dxa"/>
            <w:vAlign w:val="bottom"/>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1"/>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1"/>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1"/>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1"/>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20" w:type="dxa"/>
            <w:vAlign w:val="bottom"/>
          </w:tcPr>
          <w:p>
            <w:pPr>
              <w:spacing w:after="0"/>
              <w:rPr>
                <w:sz w:val="11"/>
                <w:szCs w:val="11"/>
                <w:color w:val="auto"/>
              </w:rPr>
            </w:pPr>
          </w:p>
        </w:tc>
        <w:tc>
          <w:tcPr>
            <w:tcW w:w="12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4"/>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24"/>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(106,295)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15.77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(187,124)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42"/>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2,391,933</w:t>
            </w:r>
          </w:p>
        </w:tc>
        <w:tc>
          <w:tcPr>
            <w:tcW w:w="320" w:type="dxa"/>
            <w:vAlign w:val="bottom"/>
            <w:tcBorders>
              <w:bottom w:val="single" w:sz="8" w:color="CCEEFF"/>
            </w:tcBorders>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2,256,847</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2,215,167</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2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820" w:type="dxa"/>
            <w:vAlign w:val="bottom"/>
            <w:gridSpan w:val="17"/>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vested stock options for the years ended December 31, 2024, 2023 and 2022: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920" w:type="dxa"/>
            <w:vAlign w:val="bottom"/>
          </w:tcPr>
          <w:p>
            <w:pPr>
              <w:spacing w:after="0"/>
              <w:rPr>
                <w:sz w:val="19"/>
                <w:szCs w:val="19"/>
                <w:color w:val="auto"/>
              </w:rPr>
            </w:pPr>
          </w:p>
        </w:tc>
        <w:tc>
          <w:tcPr>
            <w:tcW w:w="1620" w:type="dxa"/>
            <w:vAlign w:val="bottom"/>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21"/>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41"/>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2"/>
                <w:szCs w:val="12"/>
                <w:color w:val="auto"/>
              </w:rPr>
            </w:pPr>
          </w:p>
        </w:tc>
        <w:tc>
          <w:tcPr>
            <w:tcW w:w="12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1"/>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24"/>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53.82</w:t>
            </w: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32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Directors' Phantom Stock Plan:</w:t>
      </w:r>
    </w:p>
    <w:p>
      <w:pPr>
        <w:spacing w:after="0" w:line="138"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650,000. As of December 31, 2024, there were 169,758 stock units available for grant under the Directors' Phantom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phantom stock units for the years ended December 31, 2024, 2023 and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13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p>
      <w:pPr>
        <w:spacing w:after="0" w:line="151" w:lineRule="exact"/>
        <w:rPr>
          <w:sz w:val="20"/>
          <w:szCs w:val="20"/>
          <w:color w:val="auto"/>
        </w:rPr>
      </w:pPr>
    </w:p>
    <w:p>
      <w:pPr>
        <w:ind w:right="140" w:firstLine="435"/>
        <w:spacing w:after="0" w:line="252" w:lineRule="auto"/>
        <w:rPr>
          <w:sz w:val="20"/>
          <w:szCs w:val="20"/>
          <w:color w:val="auto"/>
        </w:rPr>
      </w:pPr>
      <w:r>
        <w:rPr>
          <w:rFonts w:ascii="Times New Roman" w:cs="Times New Roman" w:eastAsia="Times New Roman" w:hAnsi="Times New Roman"/>
          <w:sz w:val="18"/>
          <w:szCs w:val="18"/>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1,791,117 shares of common stock is available for purchase under the ESPP. The number of shares available for future purchase under the plan at December 31, 2024 was 406,633.</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 for the years ended December 31, 2024, 2023 and 2022:</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w:t>
            </w:r>
          </w:p>
        </w:tc>
      </w:tr>
      <w:tr>
        <w:trPr>
          <w:trHeight w:val="22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7"/>
        </w:trPr>
        <w:tc>
          <w:tcPr>
            <w:tcW w:w="470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13,988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w:t>
            </w: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$1,857, $2,899 and $4,481 for the years ended December 31, 2024, 2023 and 2022, respectively.</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the stock units that vested during the years ended December 31, 2024, 2023 and 2022 was $3,317, $2,736 and $2,349,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compensation costs of share and unit-based plans at December 31, 2024 consisted of $12,781 from LTI Units and $1,597 from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right="9120" w:hanging="435"/>
        <w:spacing w:after="0" w:line="413" w:lineRule="auto"/>
        <w:tabs>
          <w:tab w:leader="none" w:pos="269"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i w:val="1"/>
          <w:iCs w:val="1"/>
          <w:color w:val="auto"/>
        </w:rPr>
        <w:t>401(k) Plan:</w:t>
      </w:r>
    </w:p>
    <w:p>
      <w:pPr>
        <w:spacing w:after="0" w:line="1"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The Company has a defined contribution retirement plan that covers its eligible employees (the "Plan"). The Plan is a defined contribution retirement plan covering eligible employees of the Macerich Property Management Company, LLC and participating affiliates. In accordance with the Plan, the Company makes matching contributions equal to 100 percent of the first three percent of compensation deferred by a participant and 50 percent of the next two percent of compensation deferred by a participant. During the years ended December 31, 2024, 2023 and 2022, these matching contributions made by the Company were $3,644, $3,593 and $3,206, respectively. Contributions and matching contributions to the Plan by the plan sponsor and/or participating affiliates are recognized as an expense of the Company in the period that they are made.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p>
      <w:pPr>
        <w:spacing w:after="0" w:line="151" w:lineRule="exact"/>
        <w:rPr>
          <w:sz w:val="20"/>
          <w:szCs w:val="20"/>
          <w:color w:val="auto"/>
        </w:rPr>
      </w:pPr>
    </w:p>
    <w:p>
      <w:pPr>
        <w:ind w:right="100" w:firstLine="435"/>
        <w:spacing w:after="0" w:line="250" w:lineRule="auto"/>
        <w:rPr>
          <w:sz w:val="20"/>
          <w:szCs w:val="20"/>
          <w:color w:val="auto"/>
        </w:rPr>
      </w:pPr>
      <w:r>
        <w:rPr>
          <w:rFonts w:ascii="Times New Roman" w:cs="Times New Roman" w:eastAsia="Times New Roman" w:hAnsi="Times New Roman"/>
          <w:sz w:val="18"/>
          <w:szCs w:val="18"/>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$492, $463 and $429 to the plans during the years ended December 31, 2024, 2023 and 2022, respectively. Contributions are recognized as compensation in the periods they are made.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w:t>
      </w:r>
    </w:p>
    <w:p>
      <w:pPr>
        <w:spacing w:after="0" w:line="151"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2024, 2023 and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2022(3)</w:t>
            </w:r>
          </w:p>
        </w:tc>
        <w:tc>
          <w:tcPr>
            <w:tcW w:w="760" w:type="dxa"/>
            <w:vAlign w:val="bottom"/>
          </w:tcPr>
          <w:p>
            <w:pPr>
              <w:spacing w:after="0"/>
              <w:rPr>
                <w:sz w:val="16"/>
                <w:szCs w:val="16"/>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income</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79.2 %</w:t>
            </w:r>
          </w:p>
        </w:tc>
      </w:tr>
      <w:tr>
        <w:trPr>
          <w:trHeight w:val="22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gains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capital</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1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560" w:hanging="555"/>
        <w:spacing w:after="0"/>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2024 capital gains are treated as "unrecaptured Section 1250 gains."</w:t>
      </w:r>
    </w:p>
    <w:p>
      <w:pPr>
        <w:spacing w:after="0" w:line="18" w:lineRule="exact"/>
        <w:rPr>
          <w:rFonts w:ascii="Times New Roman" w:cs="Times New Roman" w:eastAsia="Times New Roman" w:hAnsi="Times New Roman"/>
          <w:sz w:val="16"/>
          <w:szCs w:val="16"/>
          <w:color w:val="auto"/>
        </w:rPr>
      </w:pPr>
    </w:p>
    <w:p>
      <w:pPr>
        <w:ind w:left="560" w:right="240" w:hanging="555"/>
        <w:spacing w:after="0" w:line="249"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2023 ordinary income is treated as "qualified REIT dividends" for purposes of Section 199A of the Code and the 2023 capital gains are treated as "unrecaptured Section 1250 gains."</w:t>
      </w:r>
    </w:p>
    <w:p>
      <w:pPr>
        <w:ind w:left="560" w:hanging="555"/>
        <w:spacing w:after="0" w:line="264"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54.5% of the 2022 ordinary income is treated as "qualified REIT dividends" for purposes of Section 199A of the Code and 45.5% of the 2022 ordinary income is treated as "qualified dividend income" for purposes of Section 1(h)(11) of the Code.</w:t>
      </w:r>
    </w:p>
    <w:p>
      <w:pPr>
        <w:spacing w:after="0" w:line="337" w:lineRule="exact"/>
        <w:rPr>
          <w:sz w:val="20"/>
          <w:szCs w:val="20"/>
          <w:color w:val="auto"/>
        </w:rPr>
      </w:pPr>
    </w:p>
    <w:p>
      <w:pPr>
        <w:ind w:right="60" w:firstLine="435"/>
        <w:spacing w:after="0" w:line="269"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 (Continued)</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of the TRSs for the years ended December 31, 2024, 2023 and 2022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income tax provision of the TRSs for the years ended December 31, 2024, 2023 and 2022 are reconciled to the amount computed by applying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Corporate tax rate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loss for TRSs</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Times New Roman" w:cs="Times New Roman" w:eastAsia="Times New Roman" w:hAnsi="Times New Roman"/>
                <w:sz w:val="18"/>
                <w:szCs w:val="18"/>
                <w:color w:val="auto"/>
              </w:rPr>
              <w:t>Tax at statutory rate on earnings from continuing operations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7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income taxes</w:t>
            </w: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of the TRSs included in the net deferred tax assets at December 31, 2024 and 2023 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12,533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6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Property, primarily differences in depreciation and amortization, the tax basis of land</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assets and treatment of certain other costs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11,992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0" w:type="dxa"/>
            <w:vAlign w:val="bottom"/>
          </w:tcPr>
          <w:p>
            <w:pPr>
              <w:spacing w:after="0"/>
              <w:rPr>
                <w:sz w:val="1"/>
                <w:szCs w:val="1"/>
                <w:color w:val="auto"/>
              </w:rPr>
            </w:pPr>
          </w:p>
        </w:tc>
      </w:tr>
      <w:tr>
        <w:trPr>
          <w:trHeight w:val="224"/>
        </w:trPr>
        <w:tc>
          <w:tcPr>
            <w:tcW w:w="16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7"/>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summarized as follows:</w:t>
            </w:r>
            <w:r>
              <w:rPr>
                <w:rFonts w:ascii="Times New Roman" w:cs="Times New Roman" w:eastAsia="Times New Roman" w:hAnsi="Times New Roman"/>
                <w:sz w:val="18"/>
                <w:szCs w:val="18"/>
                <w:color w:val="auto"/>
              </w:rPr>
              <w:t>Net deferred tax assets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25,324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0" w:type="dxa"/>
            <w:vAlign w:val="bottom"/>
          </w:tcPr>
          <w:p>
            <w:pPr>
              <w:spacing w:after="0"/>
              <w:rPr>
                <w:sz w:val="1"/>
                <w:szCs w:val="1"/>
                <w:color w:val="auto"/>
              </w:rPr>
            </w:pPr>
          </w:p>
        </w:tc>
      </w:tr>
      <w:tr>
        <w:trPr>
          <w:trHeight w:val="20"/>
        </w:trPr>
        <w:tc>
          <w:tcPr>
            <w:tcW w:w="7900" w:type="dxa"/>
            <w:vAlign w:val="bottom"/>
            <w:gridSpan w:val="2"/>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90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The net operating loss ("NOL") carryforwards for NOLs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years ended December 31, 2024, 2023 and 2022 there were no unrecognized tax benefits.</w:t>
      </w:r>
    </w:p>
    <w:p>
      <w:pPr>
        <w:spacing w:after="0" w:line="136"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December 31, 2024, the Company had no valuation allowance recorded.</w:t>
      </w:r>
    </w:p>
    <w:p>
      <w:pPr>
        <w:spacing w:after="0" w:line="119"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The tax years 2021 through 2023 remain open to examination by the taxing jurisdictions to which the Company is subject. The Company does not expect that the total amount of unrecognized tax benefit will materially change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 Reporting:</w:t>
      </w:r>
    </w:p>
    <w:p>
      <w:pPr>
        <w:spacing w:after="0" w:line="151"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The Company operates as one operating segment and is involved in the acquisition, ownership, development, redevelopment, management and leasing of regional and community/power shopping centers located throughout the United States. The Company's CODM is the chief executive officer, who reviews financial information presented on a consolidated basis. The CODM assesses performance for the Company's single reportable segment and decides how to allocate resources based on consolidated net income (see the Consolidated Statements of Operations). The Company's objective in making resource allocation decisions is to optimize the consolidated financial results.</w:t>
      </w:r>
    </w:p>
    <w:p>
      <w:pPr>
        <w:spacing w:after="0" w:line="121"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The accounting policies of the Company’s single reportable segment are the same as those described in the summary of significant accounting policies. As the Company's operations comprise of a single reporting segment, the measure of segment assets is reported in the accompanying consolidated balance sheets as “Total assets.” Consolidated net income, which is reported in the accompanying Consolidated Statements of Operations as “Net loss attributable to the Company” is the measure of segment profit or loss that is most consistent with GAAP that is regularly reviewed by the CODM. Consolidated net income is used by the CODM in assessing the performance of the segment and the significant segment expenses are listed on the accompanying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151" w:lineRule="exact"/>
        <w:rPr>
          <w:sz w:val="20"/>
          <w:szCs w:val="20"/>
          <w:color w:val="auto"/>
        </w:rPr>
      </w:pPr>
    </w:p>
    <w:p>
      <w:pPr>
        <w:ind w:right="240" w:firstLine="435"/>
        <w:spacing w:after="0" w:line="269" w:lineRule="auto"/>
        <w:rPr>
          <w:sz w:val="20"/>
          <w:szCs w:val="20"/>
          <w:color w:val="auto"/>
        </w:rPr>
      </w:pPr>
      <w:r>
        <w:rPr>
          <w:rFonts w:ascii="Times New Roman" w:cs="Times New Roman" w:eastAsia="Times New Roman" w:hAnsi="Times New Roman"/>
          <w:sz w:val="18"/>
          <w:szCs w:val="18"/>
          <w:color w:val="auto"/>
        </w:rPr>
        <w:t>On February 14, 2025, the Company announced a dividend/distribution of $0.17 per share for common stockholders and OP Unit holders of record on March 4, 2025. All dividends/distributions will be paid 100% in cash on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2440" w:type="dxa"/>
            <w:vAlign w:val="bottom"/>
            <w:tcBorders>
              <w:bottom w:val="single" w:sz="8" w:color="auto"/>
            </w:tcBorders>
            <w:gridSpan w:val="7"/>
          </w:tcPr>
          <w:p>
            <w:pPr>
              <w:jc w:val="right"/>
              <w:ind w:right="519"/>
              <w:spacing w:after="0"/>
              <w:rPr>
                <w:sz w:val="20"/>
                <w:szCs w:val="20"/>
                <w:color w:val="auto"/>
              </w:rPr>
            </w:pPr>
            <w:r>
              <w:rPr>
                <w:rFonts w:ascii="Times New Roman" w:cs="Times New Roman" w:eastAsia="Times New Roman" w:hAnsi="Times New Roman"/>
                <w:sz w:val="12"/>
                <w:szCs w:val="12"/>
                <w:b w:val="1"/>
                <w:bCs w:val="1"/>
                <w:color w:val="auto"/>
              </w:rPr>
              <w:t>Initial Cost to Company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2"/>
                <w:szCs w:val="12"/>
                <w:b w:val="1"/>
                <w:bCs w:val="1"/>
                <w:color w:val="auto"/>
              </w:rPr>
              <w:t>Gross Amount at Which Carried at Close of Period</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rPr>
              <w:t>Cost Capitalized</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0"/>
                <w:szCs w:val="10"/>
                <w:color w:val="auto"/>
              </w:rPr>
            </w:pPr>
          </w:p>
        </w:tc>
        <w:tc>
          <w:tcPr>
            <w:tcW w:w="84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rPr>
              <w:t>Net of</w:t>
            </w: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and</w:t>
            </w:r>
          </w:p>
        </w:tc>
        <w:tc>
          <w:tcPr>
            <w:tcW w:w="100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2"/>
                <w:szCs w:val="12"/>
                <w:b w:val="1"/>
                <w:bCs w:val="1"/>
                <w:color w:val="auto"/>
              </w:rPr>
              <w:t>Acquisition, net</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and</w:t>
            </w:r>
          </w:p>
        </w:tc>
        <w:tc>
          <w:tcPr>
            <w:tcW w:w="86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0" w:type="dxa"/>
            <w:vAlign w:val="bottom"/>
          </w:tcPr>
          <w:p>
            <w:pPr>
              <w:spacing w:after="0"/>
              <w:rPr>
                <w:sz w:val="1"/>
                <w:szCs w:val="1"/>
                <w:color w:val="auto"/>
              </w:rPr>
            </w:pPr>
          </w:p>
        </w:tc>
      </w:tr>
      <w:tr>
        <w:trPr>
          <w:trHeight w:val="178"/>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Shopping Centers/Entities</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of (impairments)</w:t>
            </w:r>
          </w:p>
        </w:tc>
        <w:tc>
          <w:tcPr>
            <w:tcW w:w="1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 Progress</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8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0" w:type="dxa"/>
            <w:vAlign w:val="bottom"/>
          </w:tcPr>
          <w:p>
            <w:pPr>
              <w:spacing w:after="0"/>
              <w:rPr>
                <w:sz w:val="1"/>
                <w:szCs w:val="1"/>
                <w:color w:val="auto"/>
              </w:rPr>
            </w:pPr>
          </w:p>
        </w:tc>
      </w:tr>
      <w:tr>
        <w:trPr>
          <w:trHeight w:val="171"/>
        </w:trPr>
        <w:tc>
          <w:tcPr>
            <w:tcW w:w="1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Arrowhead Towne Center</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57,388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310,026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57,388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312,254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369,842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364,433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Danbury Fair Mall</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130,367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316,951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133,439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142,751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426,218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580,757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215,315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365,442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Desert Sky Mall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Eastland Mall</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167,398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190,809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Fashion District Philadelphia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293,112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Fashion Outlets of Chicago</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282,162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237,361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282,162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180,581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Fashion Outlets of Niagara</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Falls USA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18,581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(162,881)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Freehold Raceway Mall</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362,841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125,568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474,692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653,395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270,215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383,180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Fresno Fashion Fair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154,010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Green Acres Mall</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241,153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173,294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458,699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74,637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718,827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191,426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527,401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Inland Center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140,102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Kings Plaza Shopping Center</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209,041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485,548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294,435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203,994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708,505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29,786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268,928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740,096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 Cumbre Plaza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Lakewood Center</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166,367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165,662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285,220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284,216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 Cerritos Center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142,844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402,336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564,389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561,846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Macerich Management Co.</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MACWH, LP</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NorthPark Mall</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View</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139,313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147,312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156,706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Prasada</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Queens Center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251,474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1,039,922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1,116,183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1,381,031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266,962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Santa Monica Place</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172,419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95,664</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308,614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296,101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 Adjacent Land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39,297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60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SanTan Village Regional</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Center</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231,839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230,573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239,666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SouthPark Mall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South Plains Mall</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22,729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Stonewood Center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302,527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319,123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326,009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229,256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Superstition Springs Center</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138,849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Macerich Partnership, L.P.</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Valley Mall</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Valley River Center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147,715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183,728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210,596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Victor Valley, Mall of</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Vintage Faire Mall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1"/>
        </w:trPr>
        <w:tc>
          <w:tcPr>
            <w:tcW w:w="1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460" w:type="dxa"/>
            <w:vAlign w:val="bottom"/>
            <w:tcBorders>
              <w:bottom w:val="single" w:sz="8" w:color="auto"/>
            </w:tcBorders>
            <w:gridSpan w:val="7"/>
          </w:tcPr>
          <w:p>
            <w:pPr>
              <w:jc w:val="right"/>
              <w:ind w:right="519"/>
              <w:spacing w:after="0"/>
              <w:rPr>
                <w:sz w:val="20"/>
                <w:szCs w:val="20"/>
                <w:color w:val="auto"/>
              </w:rPr>
            </w:pPr>
            <w:r>
              <w:rPr>
                <w:rFonts w:ascii="Times New Roman" w:cs="Times New Roman" w:eastAsia="Times New Roman" w:hAnsi="Times New Roman"/>
                <w:sz w:val="12"/>
                <w:szCs w:val="12"/>
                <w:b w:val="1"/>
                <w:bCs w:val="1"/>
                <w:color w:val="auto"/>
              </w:rPr>
              <w:t>Initial Cost to Company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2"/>
                <w:szCs w:val="12"/>
                <w:b w:val="1"/>
                <w:bCs w:val="1"/>
                <w:color w:val="auto"/>
              </w:rPr>
              <w:t>Gross Amount at Which Carried at Close of Period</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0" w:type="dxa"/>
            <w:vAlign w:val="bottom"/>
            <w:gridSpan w:val="3"/>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Cost Capitalized</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9"/>
              <w:spacing w:after="0" w:line="106"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0"/>
                <w:szCs w:val="10"/>
                <w:color w:val="auto"/>
              </w:rPr>
            </w:pPr>
          </w:p>
        </w:tc>
        <w:tc>
          <w:tcPr>
            <w:tcW w:w="78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b w:val="1"/>
                <w:bCs w:val="1"/>
                <w:color w:val="auto"/>
              </w:rPr>
              <w:t>Net of</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and</w:t>
            </w:r>
          </w:p>
        </w:tc>
        <w:tc>
          <w:tcPr>
            <w:tcW w:w="1000" w:type="dxa"/>
            <w:vAlign w:val="bottom"/>
            <w:gridSpan w:val="3"/>
          </w:tcPr>
          <w:p>
            <w:pPr>
              <w:jc w:val="center"/>
              <w:ind w:right="60"/>
              <w:spacing w:after="0" w:line="119" w:lineRule="exact"/>
              <w:rPr>
                <w:sz w:val="20"/>
                <w:szCs w:val="20"/>
                <w:color w:val="auto"/>
              </w:rPr>
            </w:pPr>
            <w:r>
              <w:rPr>
                <w:rFonts w:ascii="Times New Roman" w:cs="Times New Roman" w:eastAsia="Times New Roman" w:hAnsi="Times New Roman"/>
                <w:sz w:val="12"/>
                <w:szCs w:val="12"/>
                <w:b w:val="1"/>
                <w:bCs w:val="1"/>
                <w:color w:val="auto"/>
              </w:rPr>
              <w:t>Acquisition, net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8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9"/>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Shopping Centers/Entities</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of (impairments)</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Land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 Progress</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8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Depreciation</w:t>
            </w:r>
          </w:p>
        </w:tc>
        <w:tc>
          <w:tcPr>
            <w:tcW w:w="0" w:type="dxa"/>
            <w:vAlign w:val="bottom"/>
          </w:tcPr>
          <w:p>
            <w:pPr>
              <w:spacing w:after="0"/>
              <w:rPr>
                <w:sz w:val="1"/>
                <w:szCs w:val="1"/>
                <w:color w:val="auto"/>
              </w:rPr>
            </w:pPr>
          </w:p>
        </w:tc>
      </w:tr>
      <w:tr>
        <w:trPr>
          <w:trHeight w:val="180"/>
        </w:trPr>
        <w:tc>
          <w:tcPr>
            <w:tcW w:w="1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Washington Square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496,254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493,491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580,778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578,024</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Wilton Mall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(62,458)</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24,828</w:t>
            </w:r>
          </w:p>
        </w:tc>
        <w:tc>
          <w:tcPr>
            <w:tcW w:w="0" w:type="dxa"/>
            <w:vAlign w:val="bottom"/>
          </w:tcPr>
          <w:p>
            <w:pPr>
              <w:spacing w:after="0"/>
              <w:rPr>
                <w:sz w:val="1"/>
                <w:szCs w:val="1"/>
                <w:color w:val="auto"/>
              </w:rPr>
            </w:pPr>
          </w:p>
        </w:tc>
      </w:tr>
      <w:tr>
        <w:trPr>
          <w:trHeight w:val="165"/>
        </w:trPr>
        <w:tc>
          <w:tcPr>
            <w:tcW w:w="1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freestanding stores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111,936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1,416</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77,087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160,435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148,587</w:t>
            </w:r>
          </w:p>
        </w:tc>
        <w:tc>
          <w:tcPr>
            <w:tcW w:w="0" w:type="dxa"/>
            <w:vAlign w:val="bottom"/>
          </w:tcPr>
          <w:p>
            <w:pPr>
              <w:spacing w:after="0"/>
              <w:rPr>
                <w:sz w:val="1"/>
                <w:szCs w:val="1"/>
                <w:color w:val="auto"/>
              </w:rPr>
            </w:pPr>
          </w:p>
        </w:tc>
      </w:tr>
      <w:tr>
        <w:trPr>
          <w:trHeight w:val="124"/>
        </w:trPr>
        <w:tc>
          <w:tcPr>
            <w:tcW w:w="15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land and development</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(24,869)</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6,302</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10,795</w:t>
            </w: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$ 1,749,078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6,047,265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46,574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1,602,063</w:t>
            </w:r>
          </w:p>
        </w:tc>
        <w:tc>
          <w:tcPr>
            <w:tcW w:w="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$ 1,713,296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7,225,224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170,570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335,890</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$ 9,444,980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2,347,867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7,097,113</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662305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Depreciation of the Company's investment in buildings and improvements reflected in the consolidated statements of operations are calculated over the estimated useful lives of the assets as follows:</w:t>
      </w:r>
    </w:p>
    <w:p>
      <w:pPr>
        <w:spacing w:after="0" w:line="147" w:lineRule="exact"/>
        <w:rPr>
          <w:sz w:val="20"/>
          <w:szCs w:val="20"/>
          <w:color w:val="auto"/>
        </w:rPr>
      </w:pPr>
    </w:p>
    <w:tbl>
      <w:tblPr>
        <w:tblLayout w:type="fixed"/>
        <w:tblInd w:w="1060" w:type="dxa"/>
        <w:tblCellMar>
          <w:top w:w="0" w:type="dxa"/>
          <w:left w:w="0" w:type="dxa"/>
          <w:bottom w:w="0" w:type="dxa"/>
          <w:right w:w="0" w:type="dxa"/>
        </w:tblCellMar>
      </w:tblPr>
      <w:tr>
        <w:trPr>
          <w:trHeight w:val="22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2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furnishings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bl>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total real estate assets for the three years ended December 31, 2024 are as follows:</w:t>
      </w:r>
    </w:p>
    <w:p>
      <w:pPr>
        <w:spacing w:after="0" w:line="182" w:lineRule="exact"/>
        <w:rPr>
          <w:sz w:val="20"/>
          <w:szCs w:val="20"/>
          <w:color w:val="auto"/>
        </w:rPr>
      </w:pPr>
    </w:p>
    <w:tbl>
      <w:tblPr>
        <w:tblLayout w:type="fixed"/>
        <w:tblInd w:w="106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year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8,710,352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8,847,550</w:t>
            </w:r>
          </w:p>
        </w:tc>
      </w:tr>
      <w:tr>
        <w:trPr>
          <w:trHeight w:val="22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156,445</w:t>
            </w: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 impairments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(1,337,630)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(83,415)</w:t>
            </w: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end of year</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9,444,980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8,710,352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8,920,580</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aggregate cost of the property included in the table above for federal income tax purposes was $10,288,600 (unaudited) at December 31, 2024.</w:t>
      </w:r>
    </w:p>
    <w:p>
      <w:pPr>
        <w:spacing w:after="0" w:line="200" w:lineRule="exact"/>
        <w:rPr>
          <w:sz w:val="20"/>
          <w:szCs w:val="20"/>
          <w:color w:val="auto"/>
        </w:rPr>
      </w:pPr>
    </w:p>
    <w:p>
      <w:pPr>
        <w:spacing w:after="0" w:line="3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accumulated depreciation for the three years ended December 31, 2024 are as follows:</w:t>
      </w:r>
    </w:p>
    <w:p>
      <w:pPr>
        <w:spacing w:after="0" w:line="169" w:lineRule="exact"/>
        <w:rPr>
          <w:sz w:val="20"/>
          <w:szCs w:val="20"/>
          <w:color w:val="auto"/>
        </w:rPr>
      </w:pPr>
    </w:p>
    <w:tbl>
      <w:tblPr>
        <w:tblLayout w:type="fixed"/>
        <w:tblInd w:w="106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year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2,563,344</w:t>
            </w:r>
          </w:p>
        </w:tc>
      </w:tr>
      <w:tr>
        <w:trPr>
          <w:trHeight w:val="22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271,494</w:t>
            </w: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 impairments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(42,048)</w:t>
            </w: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end of year</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2,347,867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2,809,863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2,792,790</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266" w:right="5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80" w:type="dxa"/>
            <w:vAlign w:val="bottom"/>
            <w:gridSpan w:val="2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59"/>
        </w:trPr>
        <w:tc>
          <w:tcPr>
            <w:tcW w:w="1380" w:type="dxa"/>
            <w:vAlign w:val="bottom"/>
            <w:gridSpan w:val="7"/>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60" w:type="dxa"/>
            <w:vAlign w:val="bottom"/>
            <w:gridSpan w:val="21"/>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6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Borders>
              <w:top w:val="single" w:sz="8" w:color="auto"/>
            </w:tcBorders>
            <w:gridSpan w:val="6"/>
          </w:tcPr>
          <w:p>
            <w:pPr>
              <w:jc w:val="right"/>
              <w:ind w:right="20"/>
              <w:spacing w:after="0" w:line="184"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8"/>
          </w:tcPr>
          <w:p>
            <w:pPr>
              <w:spacing w:after="0" w:line="184"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Master Agreement, dated November 14, 2014, by and among Pacific Premier Retail LLC, MACPT LLC, Macerich PPR GP LLC, Queens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JV LP, Macerich Queens JV LP, Queens JV GP LLC, 1700480 Ontario Inc. and the Company (incorporated by reference as an exhibit 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the Company’s Current Report on Form 8-K, event date November 14, 2014).</w:t>
              </w:r>
            </w:hyperlink>
          </w:p>
        </w:tc>
        <w:tc>
          <w:tcPr>
            <w:tcW w:w="41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5"/>
        </w:trPr>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Articles of Amendment and Restatement of the Company (incorporated by reference as an exhibit to the Company's Registration</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w w:val="98"/>
              </w:rPr>
              <w:t>Statement 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430"/>
        </w:trPr>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Articles Supplementary of the Company (incorporated by reference as an exhibit to the Company's Current Report on Form 8-K, event</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date May 30, 1995) (Filed in paper - hyperlink is not required pursuant to Rule 105 of Regulation S-T).</w:t>
            </w:r>
          </w:p>
        </w:tc>
        <w:tc>
          <w:tcPr>
            <w:tcW w:w="0" w:type="dxa"/>
            <w:vAlign w:val="bottom"/>
          </w:tcPr>
          <w:p>
            <w:pPr>
              <w:spacing w:after="0"/>
              <w:rPr>
                <w:sz w:val="1"/>
                <w:szCs w:val="1"/>
                <w:color w:val="auto"/>
              </w:rPr>
            </w:pPr>
          </w:p>
        </w:tc>
      </w:tr>
      <w:tr>
        <w:trPr>
          <w:trHeight w:val="443"/>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1998 Form 10-K).</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Report on Form 8-K, event date July 26, 2002).</w:t>
              </w:r>
            </w:hyperlink>
          </w:p>
        </w:tc>
        <w:tc>
          <w:tcPr>
            <w:tcW w:w="60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amended (No. 333-88718)).</w:t>
              </w:r>
            </w:hyperlink>
          </w:p>
        </w:tc>
        <w:tc>
          <w:tcPr>
            <w:tcW w:w="78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1.5</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10-K).</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1.6</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Articles Supplementary of the Company (incorporated by reference as an exhibit to the Company's Current Report on Form 8-K, event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date February 5, 2009).</w:t>
              </w:r>
            </w:hyperlink>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1.7</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Report on Form 10-Q for the quarter ended June 30, 2009).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Article NINTH) (incorporated by reference as an exhibit to the Company’s Current Report on Form 8-K, event date May 30, 2014).</w:t>
              </w:r>
            </w:hyperlink>
          </w:p>
        </w:tc>
        <w:tc>
          <w:tcPr>
            <w:tcW w:w="5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1.9</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Articles Supplementary (election to be subject to Section 3-803 of the Maryland General Corporation Law) (incorporated by reference as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an exhibit to the Company's Current Report on Form 8-K, event date March 17, 2015).</w:t>
              </w:r>
            </w:hyperlink>
          </w:p>
        </w:tc>
        <w:tc>
          <w:tcPr>
            <w:tcW w:w="3540" w:type="dxa"/>
            <w:vAlign w:val="bottom"/>
            <w:tcBorders>
              <w:top w:val="single" w:sz="8" w:color="0000FF"/>
            </w:tcBorders>
            <w:gridSpan w:val="1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Articles Supplementary (designation of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on Form 8-K, event date March 18,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Articles Supplementary (reclassification of Series E Preferred Stock to preferred stock) (incorporated by reference as an exhibit to the</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Company's Current Report on Form 8-K, event date May 7, 2015).</w:t>
              </w:r>
            </w:hyperlink>
          </w:p>
        </w:tc>
        <w:tc>
          <w:tcPr>
            <w:tcW w:w="40" w:type="dxa"/>
            <w:vAlign w:val="bottom"/>
            <w:gridSpan w:val="2"/>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Articles Supplementary (repeal of election to be subject to Section 3-803 of the Maryland General Corporation Law (incorporated by</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reference as an exhibit to the Company's Current Report on Form 8-K, event date May 28, 2015).</w:t>
              </w:r>
            </w:hyperlink>
          </w:p>
        </w:tc>
        <w:tc>
          <w:tcPr>
            <w:tcW w:w="80" w:type="dxa"/>
            <w:vAlign w:val="bottom"/>
            <w:gridSpan w:val="3"/>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gridSpan w:val="11"/>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Articles Supplementary (opting out of provisions of Subtitle 8 of Title 3 of the Maryland General Corporate Law (MUTA Provisions))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(incorporated by reference as an exhibit to the Company’s Current Report on Form 8-K, event date April 24, 2019).</w:t>
              </w:r>
            </w:hyperlink>
          </w:p>
        </w:tc>
        <w:tc>
          <w:tcPr>
            <w:tcW w:w="1320" w:type="dxa"/>
            <w:vAlign w:val="bottom"/>
            <w:tcBorders>
              <w:top w:val="single" w:sz="8" w:color="0000FF"/>
            </w:tcBorders>
            <w:gridSpan w:val="6"/>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15"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13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20" w:type="dxa"/>
            <w:vAlign w:val="bottom"/>
            <w:gridSpan w:val="21"/>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2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Borders>
              <w:top w:val="single" w:sz="8" w:color="auto"/>
            </w:tcBorders>
            <w:gridSpan w:val="6"/>
          </w:tcPr>
          <w:p>
            <w:pPr>
              <w:jc w:val="right"/>
              <w:ind w:right="20"/>
              <w:spacing w:after="0" w:line="18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1.14</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27"/>
          </w:tcPr>
          <w:p>
            <w:pPr>
              <w:spacing w:after="0" w:line="184"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Articles of Amendment of the Company (increased authorized shares) (incorporated by reference as an exhibit to the Company’s Current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Report on Form 8-K, event date May 28,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event date January 26, 2023).</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Description of the Company's Securities (incorporated by reference as an exhibit to the Company's Annual Report on Form 10-K for the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year ended December 31, 2023).</w:t>
              </w:r>
            </w:hyperlink>
          </w:p>
        </w:tc>
        <w:tc>
          <w:tcPr>
            <w:tcW w:w="728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4.</w:t>
              </w:r>
            </w:hyperlink>
            <w:r>
              <w:rPr>
                <w:rFonts w:ascii="Times New Roman" w:cs="Times New Roman" w:eastAsia="Times New Roman" w:hAnsi="Times New Roman"/>
                <w:sz w:val="18"/>
                <w:szCs w:val="18"/>
                <w:u w:val="single" w:color="auto"/>
                <w:color w:val="0000FF"/>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Common Stock Certificate (incorporated by reference as an exhibit to the Company's Current Report on Form 8-K, as amended,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event date November 10, 1998).</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4.</w:t>
              </w:r>
            </w:hyperlink>
            <w:r>
              <w:rPr>
                <w:rFonts w:ascii="Times New Roman" w:cs="Times New Roman" w:eastAsia="Times New Roman" w:hAnsi="Times New Roman"/>
                <w:sz w:val="18"/>
                <w:szCs w:val="18"/>
                <w:u w:val="single" w:color="auto"/>
                <w:color w:val="0000FF"/>
              </w:rPr>
              <w:t>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Preferred Stock Certificate (Series D Preferred Stock) (incorporated by reference as an exhibit to the Company's Registration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Statement on Form S-3 (No. 333-107063)).</w:t>
              </w:r>
            </w:hyperlink>
          </w:p>
        </w:tc>
        <w:tc>
          <w:tcPr>
            <w:tcW w:w="14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Limited Partnership Agreement for the Operating Partnership dated as of March 16, 1994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reference as an exhibit to the Company's 1996 Form 10-K).</w:t>
              </w:r>
            </w:hyperlink>
          </w:p>
        </w:tc>
        <w:tc>
          <w:tcPr>
            <w:tcW w:w="498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Amendment to Amended and Restated Limited Partnership Agreement for the Operating Partnership dated June 27, 1997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reference as an exhibit to the Company's Current Report on Form 8-K, event date June 20, 1997).</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to Amended and Restated Limited Partnership Agreement for the Operating Partnership dated November 16,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(incorporated by reference as an exhibit to the Company's 1997 Form 10-K).</w:t>
              </w:r>
            </w:hyperlink>
          </w:p>
        </w:tc>
        <w:tc>
          <w:tcPr>
            <w:tcW w:w="3560" w:type="dxa"/>
            <w:vAlign w:val="bottom"/>
            <w:tcBorders>
              <w:top w:val="single" w:sz="8" w:color="0000FF"/>
            </w:tcBorders>
            <w:gridSpan w:val="5"/>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Fourth Amendment to Amended and Restated Limited Partnership Agreement for the Operating Partnership dated February 25,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(incorporated by reference as an exhibit to the Company's 1997 Form 10-K).</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Fifth Amendment to Amended and Restated Limited Partnership Agreement for the Operating Partnership dated February 26,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(incorporated by reference as an exhibit to the Company's 1997 Form 10-K).</w:t>
              </w:r>
            </w:hyperlink>
          </w:p>
        </w:tc>
        <w:tc>
          <w:tcPr>
            <w:tcW w:w="3840" w:type="dxa"/>
            <w:vAlign w:val="bottom"/>
            <w:tcBorders>
              <w:top w:val="single" w:sz="8" w:color="0000FF"/>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Sixth Amendment to Amended and Restated Limited Partnership Agreement for the Operating Partnership dated June 17,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(incorporated by reference as an exhibit to the Company's 1998 Form 10-K).</w:t>
              </w:r>
            </w:hyperlink>
          </w:p>
        </w:tc>
        <w:tc>
          <w:tcPr>
            <w:tcW w:w="3540" w:type="dxa"/>
            <w:vAlign w:val="bottom"/>
            <w:tcBorders>
              <w:top w:val="single" w:sz="8" w:color="0000FF"/>
            </w:tcBorders>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Seventh Amendment to Amended and Restated Limited Partnership Agreement for the Operating Partnership dated December 23,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(incorporated by reference as an exhibit to the Company's 1998 Form 10-K).</w:t>
              </w:r>
            </w:hyperlink>
          </w:p>
        </w:tc>
        <w:tc>
          <w:tcPr>
            <w:tcW w:w="4140" w:type="dxa"/>
            <w:vAlign w:val="bottom"/>
            <w:tcBorders>
              <w:top w:val="single" w:sz="8" w:color="0000FF"/>
            </w:tcBorders>
            <w:gridSpan w:val="12"/>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Eighth Amendment to Amended and Restated Limited Partnership Agreement for the Operating Partnership dated November 9, 2000</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(incorporated by reference as an exhibit to the Company's 2000 Form 10-K).</w:t>
              </w:r>
            </w:hyperlink>
          </w:p>
        </w:tc>
        <w:tc>
          <w:tcPr>
            <w:tcW w:w="3980" w:type="dxa"/>
            <w:vAlign w:val="bottom"/>
            <w:tcBorders>
              <w:top w:val="single" w:sz="8" w:color="0000FF"/>
            </w:tcBorders>
            <w:gridSpan w:val="10"/>
          </w:tcPr>
          <w:p>
            <w:pPr>
              <w:spacing w:after="0"/>
              <w:rPr>
                <w:sz w:val="13"/>
                <w:szCs w:val="13"/>
                <w:color w:val="auto"/>
              </w:rPr>
            </w:pPr>
          </w:p>
        </w:tc>
        <w:tc>
          <w:tcPr>
            <w:tcW w:w="34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Ninth Amendment to Amended and Restated Limited Partnership Agreement for the Operating Partnership dated July 26, 2002</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(incorporated by reference as an exhibit to the Company's Current Report on Form 8-K, event date July 26, 2002).</w:t>
              </w:r>
            </w:hyperlink>
          </w:p>
        </w:tc>
        <w:tc>
          <w:tcPr>
            <w:tcW w:w="280" w:type="dxa"/>
            <w:vAlign w:val="bottom"/>
            <w:gridSpan w:val="3"/>
          </w:tcPr>
          <w:p>
            <w:pPr>
              <w:spacing w:after="0"/>
              <w:rPr>
                <w:sz w:val="13"/>
                <w:szCs w:val="13"/>
                <w:color w:val="auto"/>
              </w:rPr>
            </w:pPr>
          </w:p>
        </w:tc>
        <w:tc>
          <w:tcPr>
            <w:tcW w:w="500" w:type="dxa"/>
            <w:vAlign w:val="bottom"/>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Tenth Amendment to Amended and Restated Limited Partnership Agreement for the Operating Partnership dated October 26, 2006</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(incorporated by reference as an exhibit to the Company's 2006 Form 10-K).</w:t>
              </w:r>
            </w:hyperlink>
          </w:p>
        </w:tc>
        <w:tc>
          <w:tcPr>
            <w:tcW w:w="3820" w:type="dxa"/>
            <w:vAlign w:val="bottom"/>
            <w:tcBorders>
              <w:top w:val="single" w:sz="8" w:color="0000FF"/>
            </w:tcBorders>
            <w:gridSpan w:val="7"/>
          </w:tcPr>
          <w:p>
            <w:pPr>
              <w:spacing w:after="0"/>
              <w:rPr>
                <w:sz w:val="13"/>
                <w:szCs w:val="13"/>
                <w:color w:val="auto"/>
              </w:rPr>
            </w:pPr>
          </w:p>
        </w:tc>
        <w:tc>
          <w:tcPr>
            <w:tcW w:w="500" w:type="dxa"/>
            <w:vAlign w:val="bottom"/>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1.10</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Eleventh Amendment to Amended and Restated Limited Partnership Agreement for the Operating Partnership dated as of March 16, 2007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(incorporated by reference as an exhibit to the Company's Current Report on Form 8-K, event date March 16, 2007).</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10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40" w:type="dxa"/>
            <w:vAlign w:val="bottom"/>
            <w:gridSpan w:val="2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gridSpan w:val="5"/>
          </w:tcPr>
          <w:p>
            <w:pPr>
              <w:jc w:val="right"/>
              <w:ind w:right="20"/>
              <w:spacing w:after="0" w:line="18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1.11</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27"/>
          </w:tcPr>
          <w:p>
            <w:pPr>
              <w:spacing w:after="0" w:line="184"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Twelfth Amendment to the Amended and Restated Limited Partnership Agreement of the Operating Partnership dated as of April 30, 2009</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(incorporated by reference as an exhibit to the Company's Quarterly Report on Form 10-Q for the quarter ended June 30,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980" w:type="dxa"/>
            <w:vAlign w:val="bottom"/>
            <w:gridSpan w:val="4"/>
          </w:tcPr>
          <w:p>
            <w:pPr>
              <w:jc w:val="right"/>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Thirteenth Amendment to the Amended and Restated Limited Partnership Agreement of the Operating Partnership dated as of October 29,</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2009 (incorporated by reference as an exhibit to the Company's 2009 Form 10-K).</w:t>
              </w:r>
            </w:hyperlink>
          </w:p>
        </w:tc>
        <w:tc>
          <w:tcPr>
            <w:tcW w:w="396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Fourteenth Amendment to Amended and Restated Limited Partnership Agreement of the Operating Partnership dated as of April 14, 2021</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(incorporated by reference as an exhibit to the Company's 2021 Form 10-K).</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Form of Fifteenth Amendment to Amended and Restated Limited Partnership Agreement for the Operating Partnership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reference as an exhibit to the Company's Current Report on Form 8-K, event date April 25, 2005).</w:t>
              </w:r>
            </w:hyperlink>
          </w:p>
        </w:tc>
        <w:tc>
          <w:tcPr>
            <w:tcW w:w="268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Amended and Restated Deferred Compensation Plan for Executives (2003) (incorporated by reference as an exhibit to the Company's 2003</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Form 10-K).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Number 1 to Amended and Restated Deferred Compensation Plan for Executives (October 30, 2008)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reference as an exhibit to the Company's 2008 Form 10-K).</w:t>
              </w:r>
            </w:hyperlink>
          </w:p>
        </w:tc>
        <w:tc>
          <w:tcPr>
            <w:tcW w:w="5020" w:type="dxa"/>
            <w:vAlign w:val="bottom"/>
            <w:tcBorders>
              <w:top w:val="single" w:sz="8" w:color="0000FF"/>
            </w:tcBorders>
            <w:gridSpan w:val="11"/>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Amendment Number 2 to Amended and Restated Deferred Compensation Plan for Executives (May 1, 2011) (incorporated by reference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Number 3 to Amended and Restated Deferred Compensation Plan for Executives (September 27, 2012)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reference as an exhibit to the Company's Quarterly Report on Form 10-Q for the quarter ended September 30, 2012).</w:t>
              </w:r>
            </w:hyperlink>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Deferred Compensation Plan for Senior Executives (2003) (incorporated by reference as an exhibit to the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Company's 2003 Form 10-K).</w:t>
              </w:r>
            </w:hyperlink>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Amendment Number 1 to Amended and Restated Deferred Compensation Plan for Senior Executives (October 30, 2008)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reference as an exhibit to the Company's 2008 Form 10-K).</w:t>
              </w:r>
            </w:hyperlink>
          </w:p>
        </w:tc>
        <w:tc>
          <w:tcPr>
            <w:tcW w:w="554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Number 2 to Amended and Restated Deferred Compensation Plan for Senior Executives (May 1, 2011)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reference as 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Amendment Number 3 to Amended and Restated Deferred Compensation Plan for Senior Executives (September 27, 2012) (incorporated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by reference as an exhibit to the Company's Quarterly Report on Form 10-Q for the quarter ended September 30, 2012).</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40" w:type="dxa"/>
            <w:vAlign w:val="bottom"/>
            <w:gridSpan w:val="7"/>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Eligible Directors' Deferred Compensation/Phantom Stock Plan (as amended and restated as of January 1, 2023)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reference as an exhibit to the Company's 2022 Form 10-K).</w:t>
              </w:r>
            </w:hyperlink>
          </w:p>
        </w:tc>
        <w:tc>
          <w:tcPr>
            <w:tcW w:w="4920" w:type="dxa"/>
            <w:vAlign w:val="bottom"/>
            <w:tcBorders>
              <w:top w:val="single" w:sz="8" w:color="0000FF"/>
            </w:tcBorders>
            <w:gridSpan w:val="10"/>
          </w:tcPr>
          <w:p>
            <w:pPr>
              <w:spacing w:after="0"/>
              <w:rPr>
                <w:sz w:val="13"/>
                <w:szCs w:val="13"/>
                <w:color w:val="auto"/>
              </w:rPr>
            </w:pPr>
          </w:p>
        </w:tc>
        <w:tc>
          <w:tcPr>
            <w:tcW w:w="320" w:type="dxa"/>
            <w:vAlign w:val="bottom"/>
            <w:gridSpan w:val="4"/>
          </w:tcPr>
          <w:p>
            <w:pPr>
              <w:spacing w:after="0"/>
              <w:rPr>
                <w:sz w:val="13"/>
                <w:szCs w:val="13"/>
                <w:color w:val="auto"/>
              </w:rPr>
            </w:pPr>
          </w:p>
        </w:tc>
        <w:tc>
          <w:tcPr>
            <w:tcW w:w="4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2013 Deferred Compensation Plan for Executives effective (January 1, 2016) (incorporated by reference as 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exhibit to the Company's 2015 Form 10-K).</w:t>
              </w:r>
            </w:hyperlink>
          </w:p>
        </w:tc>
        <w:tc>
          <w:tcPr>
            <w:tcW w:w="6340" w:type="dxa"/>
            <w:vAlign w:val="bottom"/>
            <w:tcBorders>
              <w:top w:val="single" w:sz="8" w:color="0000FF"/>
            </w:tcBorders>
            <w:gridSpan w:val="15"/>
          </w:tcPr>
          <w:p>
            <w:pPr>
              <w:spacing w:after="0"/>
              <w:rPr>
                <w:sz w:val="13"/>
                <w:szCs w:val="13"/>
                <w:color w:val="auto"/>
              </w:rPr>
            </w:pPr>
          </w:p>
        </w:tc>
        <w:tc>
          <w:tcPr>
            <w:tcW w:w="4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0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880" w:type="dxa"/>
            <w:vAlign w:val="bottom"/>
            <w:gridSpan w:val="16"/>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gridSpan w:val="6"/>
          </w:tcPr>
          <w:p>
            <w:pPr>
              <w:jc w:val="right"/>
              <w:ind w:right="20"/>
              <w:spacing w:after="0" w:line="18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22"/>
          </w:tcPr>
          <w:p>
            <w:pPr>
              <w:spacing w:after="0" w:line="184"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Deferred Compensation Plan Amended and Restated Trust Agreement between the Company and Wells Fargo Bank, National Association,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effective as of June 17, 2019 (incorporated by reference as an exhibit to the Company’s Quarterly Report on Form 10-Q for the quarter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ended June 30, 2019).</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March 16, 1994, among the Company and Mace Siegel, Dana K. Anderson, Arthur M.</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22"/>
          </w:tcPr>
          <w:p>
            <w:pPr>
              <w:spacing w:after="0" w:line="171" w:lineRule="exact"/>
              <w:rPr>
                <w:sz w:val="20"/>
                <w:szCs w:val="20"/>
                <w:color w:val="auto"/>
              </w:rPr>
            </w:pPr>
            <w:r>
              <w:rPr>
                <w:rFonts w:ascii="Times New Roman" w:cs="Times New Roman" w:eastAsia="Times New Roman" w:hAnsi="Times New Roman"/>
                <w:sz w:val="18"/>
                <w:szCs w:val="18"/>
                <w:color w:val="auto"/>
                <w:w w:val="97"/>
              </w:rPr>
              <w:t>Coppola and Edward C. Coppola (incorporated by reference as an exhibit to the Company's 1994 Form 10-K) (Filed in paper - hyperlink is</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not required pursuant to Rule 105 of Regulation S-T).</w:t>
            </w:r>
          </w:p>
        </w:tc>
        <w:tc>
          <w:tcPr>
            <w:tcW w:w="0" w:type="dxa"/>
            <w:vAlign w:val="bottom"/>
          </w:tcPr>
          <w:p>
            <w:pPr>
              <w:spacing w:after="0"/>
              <w:rPr>
                <w:sz w:val="1"/>
                <w:szCs w:val="1"/>
                <w:color w:val="auto"/>
              </w:rPr>
            </w:pPr>
          </w:p>
        </w:tc>
      </w:tr>
      <w:tr>
        <w:trPr>
          <w:trHeight w:val="443"/>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Registration Rights Agreement dated as of December 18, 2003 by the Operating Partnership, the Company and Taubman Realty Group</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Limited Partnership (Registration rights assigned by Taubman to three assignees) (incorporated by reference as an exhibit to the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Company's 2003 Form 10-K).</w:t>
              </w:r>
            </w:hyperlink>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8"/>
              </w:rPr>
              <w:t>Incidental Registration Rights Agreement dated March 16, 1994 (incorporated by reference as an exhibit to the Company's 1994 Form 10-</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K) (Filed in paper - hyperlink is not required pursuant to Rule 105 of Regulation S-T).</w:t>
            </w:r>
          </w:p>
        </w:tc>
        <w:tc>
          <w:tcPr>
            <w:tcW w:w="0" w:type="dxa"/>
            <w:vAlign w:val="bottom"/>
          </w:tcPr>
          <w:p>
            <w:pPr>
              <w:spacing w:after="0"/>
              <w:rPr>
                <w:sz w:val="1"/>
                <w:szCs w:val="1"/>
                <w:color w:val="auto"/>
              </w:rPr>
            </w:pPr>
          </w:p>
        </w:tc>
      </w:tr>
      <w:tr>
        <w:trPr>
          <w:trHeight w:val="443"/>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Incidental Registration Rights Agreement dated as of July 21, 1994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10-K).</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Incidental Registration Rights Agreement dated as of August 15, 1995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10-K).</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Incidental Registration Rights Agreement dated as of December 21, 1995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10-K).</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List of Omitted Incidental/Demand Registration Rights Agreements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10-K).</w:t>
              </w:r>
            </w:hyperlink>
          </w:p>
        </w:tc>
        <w:tc>
          <w:tcPr>
            <w:tcW w:w="1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Redemption, Registration Rights and Lock-Up Agreement dated as of July 24, 1998 between the Company and Harry S. Newman, Jr. and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LeRoy H. Brettin (incorporated by reference as an exhibit to the Company's 1998 Form 10-K).</w:t>
              </w:r>
            </w:hyperlink>
          </w:p>
        </w:tc>
        <w:tc>
          <w:tcPr>
            <w:tcW w:w="302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Form of Indemnification Agreement between the Company and its executive officers and directors (incorporated by reference as an exhibit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to the Company's 2008 Form 10-K).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Registration Rights Agreement with Series D Preferred Unit Holders (incorporated by reference as an exhibit to the Company's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Current Report on Form 8-K, event date July 26, 2002).</w:t>
              </w:r>
            </w:hyperlink>
          </w:p>
        </w:tc>
        <w:tc>
          <w:tcPr>
            <w:tcW w:w="5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List of Omitted Registration Rights Agreements (incorporated by reference as an exhibit to the Company's Current Report on Form 8-K,</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event date July 26, 2002).</w:t>
              </w:r>
            </w:hyperlink>
          </w:p>
        </w:tc>
        <w:tc>
          <w:tcPr>
            <w:tcW w:w="7760" w:type="dxa"/>
            <w:vAlign w:val="bottom"/>
            <w:tcBorders>
              <w:top w:val="single" w:sz="8" w:color="0000FF"/>
            </w:tcBorders>
            <w:gridSpan w:val="13"/>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Amended and Restated Credit Agreement, dated as of September 11, 2023, by and among the Company, as a guarantor, the Partnership,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borrower, certain subsidiary guarantors, Deutsche Bank AG New York Branch, as administrative agent and collateral agent, Deutsche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Bank Securities Inc., JPMorgan Chase Bank, N.A., Goldman Sachs Bank USA and BMO Bank N.A., as joint lead arrangers and joint</w:t>
              </w:r>
            </w:hyperlink>
          </w:p>
        </w:tc>
        <w:tc>
          <w:tcPr>
            <w:tcW w:w="4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ind w:left="1400" w:right="120"/>
        <w:spacing w:after="0" w:line="213"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bookrunning managers, Deutsche Bank Securities Inc. and JPMorgan Chase Bank, N.A. as co-syndication agents, Goldman Sachs Bank</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USA and TD Securities Inc., as co-documentation agents, and various lenders party thereto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Company's Current Report on Form 8-K, event date September 11,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10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300" w:type="dxa"/>
            <w:vAlign w:val="bottom"/>
            <w:gridSpan w:val="23"/>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30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gridSpan w:val="2"/>
          </w:tcPr>
          <w:p>
            <w:pPr>
              <w:spacing w:after="0"/>
              <w:rPr>
                <w:sz w:val="15"/>
                <w:szCs w:val="15"/>
                <w:color w:val="auto"/>
              </w:rPr>
            </w:pPr>
          </w:p>
        </w:tc>
        <w:tc>
          <w:tcPr>
            <w:tcW w:w="420" w:type="dxa"/>
            <w:vAlign w:val="bottom"/>
            <w:gridSpan w:val="2"/>
          </w:tcPr>
          <w:p>
            <w:pPr>
              <w:jc w:val="right"/>
              <w:ind w:right="20"/>
              <w:spacing w:after="0" w:line="184" w:lineRule="exact"/>
              <w:rPr>
                <w:rFonts w:ascii="Times New Roman" w:cs="Times New Roman" w:eastAsia="Times New Roman" w:hAnsi="Times New Roman"/>
                <w:sz w:val="18"/>
                <w:szCs w:val="18"/>
                <w:color w:val="0000FF"/>
                <w:w w:val="93"/>
              </w:rPr>
            </w:pPr>
            <w:hyperlink r:id="rId17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18</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27"/>
          </w:tcPr>
          <w:p>
            <w:pPr>
              <w:spacing w:after="0" w:line="18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Amended and Restated Unconditional Guaranty, dated as of September 11, 2023, by the Company in favor of Deutsche Bank AG New</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800" w:type="dxa"/>
            <w:vAlign w:val="bottom"/>
            <w:gridSpan w:val="27"/>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York Branch, as administrative agent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September 11,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Tax Matters Agreement (Wilmorite)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April 25, 2005).</w:t>
              </w:r>
            </w:hyperlink>
          </w:p>
        </w:tc>
        <w:tc>
          <w:tcPr>
            <w:tcW w:w="8360" w:type="dxa"/>
            <w:vAlign w:val="bottom"/>
            <w:tcBorders>
              <w:top w:val="single" w:sz="8" w:color="0000FF"/>
            </w:tcBorders>
            <w:gridSpan w:val="1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The Macerich Company 2003 Equity Incentive Plan, as amended and restated as of May 31, 2023 (incorporated by reference as an exhibit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to the Company's Current Report on Form 8-K, event date May 31, 2023).</w:t>
              </w:r>
            </w:hyperlink>
          </w:p>
        </w:tc>
        <w:tc>
          <w:tcPr>
            <w:tcW w:w="45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6"/>
        </w:trPr>
        <w:tc>
          <w:tcPr>
            <w:tcW w:w="980" w:type="dxa"/>
            <w:vAlign w:val="bottom"/>
            <w:gridSpan w:val="3"/>
          </w:tcPr>
          <w:p>
            <w:pPr>
              <w:jc w:val="right"/>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20.1</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Cash Bonus/Restricted Stock/Stock Unit and LTIP Unit Award Program under the 2003 Equity Incentive Plan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(incorporated by reference as an exhibit to the Company's 2010 Form 10-K).</w:t>
              </w:r>
            </w:hyperlink>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16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The Macerich Company Employee Stock Purchase Plan (as amended and restated effective June 1, 2021) (incorporated by reference as an</w:t>
              </w:r>
            </w:hyperlink>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tcBorders>
              <w:top w:val="single" w:sz="8" w:color="0000FF"/>
              <w:bottom w:val="single" w:sz="8" w:color="0000FF"/>
            </w:tcBorders>
            <w:gridSpan w:val="6"/>
          </w:tcPr>
          <w:p>
            <w:pPr>
              <w:spacing w:after="0" w:line="177"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exhibit to the Company’s Current Report on 8-K, event date May 28, 2021).</w:t>
              </w:r>
            </w:hyperlink>
          </w:p>
        </w:tc>
        <w:tc>
          <w:tcPr>
            <w:tcW w:w="4380" w:type="dxa"/>
            <w:vAlign w:val="bottom"/>
            <w:tcBorders>
              <w:top w:val="single" w:sz="8" w:color="0000FF"/>
            </w:tcBorders>
            <w:gridSpan w:val="19"/>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1"/>
        </w:trPr>
        <w:tc>
          <w:tcPr>
            <w:tcW w:w="980" w:type="dxa"/>
            <w:vAlign w:val="bottom"/>
            <w:gridSpan w:val="3"/>
          </w:tcPr>
          <w:p>
            <w:pPr>
              <w:jc w:val="right"/>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21.1</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First Amendment to the Macerich Company Employee Stock Purchase Plan (incorporated by reference as an exhibit to the Company’s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Registration Statement on Form S-8 filed with the Securities and Exchange Commission on May 30, 2024).</w:t>
              </w:r>
            </w:hyperlink>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5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The Macerich Company Amended and Restated Severance Pay Plan effective as of March 1, 2024 (incorporated by reference as an exhibit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to the Company's Quarterly Report on Form 10-Q for the quarter ended September 30, 2024).</w:t>
              </w:r>
            </w:hyperlink>
          </w:p>
        </w:tc>
        <w:tc>
          <w:tcPr>
            <w:tcW w:w="318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Employment Agreement Renewal between the Company and Thomas E. O’Hern, effective June 8, 2021 (incorporated by reference as 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exhibit to the Company’s Current Report on Form 8-K, event date June 11, 2021).</w:t>
              </w:r>
            </w:hyperlink>
          </w:p>
        </w:tc>
        <w:tc>
          <w:tcPr>
            <w:tcW w:w="38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2005 Amended and Restated Agreement of Limited Partnership of MACWH, LP dated as of April 25, 2005 (incorporated by reference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an exhibit to the Company's Current Report on Form 8-K, event date April 25, 2005).</w:t>
              </w:r>
            </w:hyperlink>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Registration Rights Agreement dated as of April 25, 2005 among the Company and the persons names on Exhibit A thereto (incorporated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by reference as an exhibit to the Company's Current Report on Form 8-K, event date April 25, 2005).</w:t>
              </w:r>
            </w:hyperlink>
          </w:p>
        </w:tc>
        <w:tc>
          <w:tcPr>
            <w:tcW w:w="25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Employment Agreement between the Company and Jackson Hsieh, effective as of March 1, 2024 (incorporated by reference as an exhibit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to the Company’s Quarterly Report on Form 10-Q for the quarter ended March 31, 2024).</w:t>
              </w:r>
            </w:hyperlink>
          </w:p>
        </w:tc>
        <w:tc>
          <w:tcPr>
            <w:tcW w:w="3420" w:type="dxa"/>
            <w:vAlign w:val="bottom"/>
            <w:tcBorders>
              <w:top w:val="single" w:sz="8" w:color="0000FF"/>
            </w:tcBorders>
            <w:gridSpan w:val="14"/>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The Macerich Company Sign-On LTIP Inducement Unit Award Agreement (Service-Based) between the Company and Jackson Hsieh,</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dated March 1, 2024 (incorporated by reference as an exhibit to the Company’s Quarterly Report on Form 10-Q for the quarter ended</w:t>
              </w:r>
            </w:hyperlink>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March 31, 2024).</w:t>
              </w:r>
            </w:hyperlink>
          </w:p>
        </w:tc>
        <w:tc>
          <w:tcPr>
            <w:tcW w:w="8160" w:type="dxa"/>
            <w:vAlign w:val="bottom"/>
            <w:tcBorders>
              <w:top w:val="single" w:sz="8" w:color="0000FF"/>
            </w:tcBorders>
            <w:gridSpan w:val="10"/>
          </w:tcPr>
          <w:p>
            <w:pPr>
              <w:spacing w:after="0"/>
              <w:rPr>
                <w:sz w:val="13"/>
                <w:szCs w:val="13"/>
                <w:color w:val="auto"/>
              </w:rPr>
            </w:pPr>
          </w:p>
        </w:tc>
        <w:tc>
          <w:tcPr>
            <w:tcW w:w="2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28</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The Macerich Company 2024 LTIP Inducement Unit Award Agreement (Service-Based) between the Company and Jackson Hsieh, dated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March 1, 2024 (incorporated by reference as an exhibit to the Company’s Quarterly Report on Form 10-Q for the quarter ended March 31,</w:t>
              </w:r>
            </w:hyperlink>
          </w:p>
        </w:tc>
        <w:tc>
          <w:tcPr>
            <w:tcW w:w="80" w:type="dxa"/>
            <w:vAlign w:val="bottom"/>
            <w:tcBorders>
              <w:bottom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2024).</w:t>
              </w:r>
            </w:hyperlink>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The Macerich Company 2024 LTIP Inducement Unit Award Agreement (Performance-Based) between the Company and Jackson Hsieh,</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dated March 1, 2024 (incorporated by reference as an exhibit to the Company’s Quarterly Report on Form 10-Q for the quarter ended</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March 31, 2024).</w:t>
              </w:r>
            </w:hyperlink>
          </w:p>
        </w:tc>
        <w:tc>
          <w:tcPr>
            <w:tcW w:w="8160" w:type="dxa"/>
            <w:vAlign w:val="bottom"/>
            <w:tcBorders>
              <w:top w:val="single" w:sz="8" w:color="0000FF"/>
            </w:tcBorders>
            <w:gridSpan w:val="10"/>
          </w:tcPr>
          <w:p>
            <w:pPr>
              <w:spacing w:after="0"/>
              <w:rPr>
                <w:sz w:val="13"/>
                <w:szCs w:val="13"/>
                <w:color w:val="auto"/>
              </w:rPr>
            </w:pPr>
          </w:p>
        </w:tc>
        <w:tc>
          <w:tcPr>
            <w:tcW w:w="4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15" w:name="page116"/>
    <w:bookmarkEnd w:id="115"/>
    <w:tbl>
      <w:tblPr>
        <w:tblLayout w:type="fixed"/>
        <w:tblInd w:w="20" w:type="dxa"/>
        <w:tblCellMar>
          <w:top w:w="0" w:type="dxa"/>
          <w:left w:w="0" w:type="dxa"/>
          <w:bottom w:w="0" w:type="dxa"/>
          <w:right w:w="0" w:type="dxa"/>
        </w:tblCellMar>
      </w:tblPr>
      <w:tr>
        <w:trPr>
          <w:trHeight w:val="161"/>
        </w:trPr>
        <w:tc>
          <w:tcPr>
            <w:tcW w:w="13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800" w:type="dxa"/>
            <w:vAlign w:val="bottom"/>
            <w:gridSpan w:val="5"/>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8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gridSpan w:val="2"/>
          </w:tcPr>
          <w:p>
            <w:pPr>
              <w:jc w:val="right"/>
              <w:spacing w:after="0" w:line="184"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20" w:type="dxa"/>
            <w:vAlign w:val="bottom"/>
            <w:tcBorders>
              <w:top w:val="single" w:sz="8" w:color="auto"/>
            </w:tcBorders>
          </w:tcPr>
          <w:p>
            <w:pPr>
              <w:spacing w:after="0"/>
              <w:rPr>
                <w:sz w:val="16"/>
                <w:szCs w:val="16"/>
                <w:color w:val="auto"/>
              </w:rPr>
            </w:pPr>
          </w:p>
        </w:tc>
        <w:tc>
          <w:tcPr>
            <w:tcW w:w="380" w:type="dxa"/>
            <w:vAlign w:val="bottom"/>
          </w:tcPr>
          <w:p>
            <w:pPr>
              <w:jc w:val="right"/>
              <w:ind w:right="19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16"/>
                <w:szCs w:val="16"/>
                <w:color w:val="auto"/>
              </w:rPr>
            </w:pPr>
          </w:p>
        </w:tc>
        <w:tc>
          <w:tcPr>
            <w:tcW w:w="9800" w:type="dxa"/>
            <w:vAlign w:val="bottom"/>
            <w:tcBorders>
              <w:top w:val="single" w:sz="8" w:color="auto"/>
            </w:tcBorders>
            <w:gridSpan w:val="5"/>
          </w:tcPr>
          <w:p>
            <w:pPr>
              <w:spacing w:after="0" w:line="184"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Letter Agreement between the Company and Edward C. Coppola, dated February 2, 2024 (incorporated by reference as an exhibit to the</w:t>
              </w:r>
            </w:hyperlink>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Company’s Quarterly Report on Form 10-Q for the quarter ended March 31, 2024).</w:t>
              </w:r>
            </w:hyperlink>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80" w:type="dxa"/>
            <w:vAlign w:val="bottom"/>
          </w:tcPr>
          <w:p>
            <w:pPr>
              <w:spacing w:after="0"/>
              <w:rPr>
                <w:sz w:val="24"/>
                <w:szCs w:val="24"/>
                <w:color w:val="auto"/>
              </w:rPr>
            </w:pPr>
          </w:p>
        </w:tc>
        <w:tc>
          <w:tcPr>
            <w:tcW w:w="80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0000FF"/>
                <w:w w:val="92"/>
              </w:rPr>
              <w:t>10.</w:t>
            </w:r>
            <w:r>
              <w:rPr>
                <w:rFonts w:ascii="Times New Roman" w:cs="Times New Roman" w:eastAsia="Times New Roman" w:hAnsi="Times New Roman"/>
                <w:sz w:val="18"/>
                <w:szCs w:val="18"/>
                <w:u w:val="single" w:color="auto"/>
                <w:color w:val="0000FF"/>
                <w:w w:val="92"/>
              </w:rPr>
              <w:t>31</w:t>
            </w:r>
            <w:r>
              <w:rPr>
                <w:rFonts w:ascii="Times New Roman" w:cs="Times New Roman" w:eastAsia="Times New Roman" w:hAnsi="Times New Roman"/>
                <w:sz w:val="18"/>
                <w:szCs w:val="18"/>
                <w:color w:val="0000FF"/>
                <w:w w:val="92"/>
              </w:rPr>
              <w:t xml:space="preserve"> </w:t>
            </w:r>
            <w:r>
              <w:rPr>
                <w:rFonts w:ascii="Times New Roman" w:cs="Times New Roman" w:eastAsia="Times New Roman" w:hAnsi="Times New Roman"/>
                <w:sz w:val="18"/>
                <w:szCs w:val="18"/>
                <w:color w:val="000000"/>
                <w:w w:val="92"/>
              </w:rPr>
              <w:t>#</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Employment Agreement between the Company and Daniel E. Swanstrom II, effective as of October 31, 2024.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2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80" w:type="dxa"/>
            <w:vAlign w:val="bottom"/>
          </w:tcPr>
          <w:p>
            <w:pPr>
              <w:spacing w:after="0"/>
              <w:rPr>
                <w:sz w:val="24"/>
                <w:szCs w:val="24"/>
                <w:color w:val="auto"/>
              </w:rPr>
            </w:pPr>
          </w:p>
        </w:tc>
        <w:tc>
          <w:tcPr>
            <w:tcW w:w="80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0000FF"/>
                <w:w w:val="92"/>
              </w:rPr>
              <w:t>10.</w:t>
            </w:r>
            <w:r>
              <w:rPr>
                <w:rFonts w:ascii="Times New Roman" w:cs="Times New Roman" w:eastAsia="Times New Roman" w:hAnsi="Times New Roman"/>
                <w:sz w:val="18"/>
                <w:szCs w:val="18"/>
                <w:u w:val="single" w:color="auto"/>
                <w:color w:val="0000FF"/>
                <w:w w:val="92"/>
              </w:rPr>
              <w:t>32</w:t>
            </w:r>
            <w:r>
              <w:rPr>
                <w:rFonts w:ascii="Times New Roman" w:cs="Times New Roman" w:eastAsia="Times New Roman" w:hAnsi="Times New Roman"/>
                <w:sz w:val="18"/>
                <w:szCs w:val="18"/>
                <w:color w:val="0000FF"/>
                <w:w w:val="92"/>
              </w:rPr>
              <w:t xml:space="preserve"> </w:t>
            </w:r>
            <w:r>
              <w:rPr>
                <w:rFonts w:ascii="Times New Roman" w:cs="Times New Roman" w:eastAsia="Times New Roman" w:hAnsi="Times New Roman"/>
                <w:sz w:val="18"/>
                <w:szCs w:val="18"/>
                <w:color w:val="000000"/>
                <w:w w:val="92"/>
              </w:rPr>
              <w:t>#</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Consulting Agreement between the Company and Scott Kingsmore, dated December 31, 2024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420" w:hanging="593"/>
        <w:spacing w:after="0"/>
        <w:tabs>
          <w:tab w:leader="none" w:pos="1420" w:val="left"/>
        </w:tabs>
        <w:numPr>
          <w:ilvl w:val="0"/>
          <w:numId w:val="5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Macerich Company Insider Trading Policy</w:t>
      </w:r>
    </w:p>
    <w:p>
      <w:pPr>
        <w:spacing w:after="0" w:line="280" w:lineRule="exact"/>
        <w:rPr>
          <w:rFonts w:ascii="Times New Roman" w:cs="Times New Roman" w:eastAsia="Times New Roman" w:hAnsi="Times New Roman"/>
          <w:sz w:val="18"/>
          <w:szCs w:val="18"/>
          <w:u w:val="single" w:color="auto"/>
          <w:color w:val="0000FF"/>
        </w:rPr>
      </w:pPr>
    </w:p>
    <w:p>
      <w:pPr>
        <w:ind w:left="7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21.1</w:t>
      </w:r>
      <w:r>
        <w:rPr>
          <w:rFonts w:ascii="Times New Roman" w:cs="Times New Roman" w:eastAsia="Times New Roman" w:hAnsi="Times New Roman"/>
          <w:sz w:val="16"/>
          <w:szCs w:val="16"/>
          <w:u w:val="single" w:color="auto"/>
          <w:color w:val="0000FF"/>
        </w:rPr>
        <w:t>List of Subsidiaries</w:t>
      </w:r>
    </w:p>
    <w:p>
      <w:pPr>
        <w:spacing w:after="0" w:line="280" w:lineRule="exact"/>
        <w:rPr>
          <w:rFonts w:ascii="Times New Roman" w:cs="Times New Roman" w:eastAsia="Times New Roman" w:hAnsi="Times New Roman"/>
          <w:sz w:val="18"/>
          <w:szCs w:val="18"/>
          <w:u w:val="single" w:color="auto"/>
          <w:color w:val="0000FF"/>
        </w:rPr>
      </w:pPr>
    </w:p>
    <w:p>
      <w:pPr>
        <w:ind w:left="7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23.1</w:t>
      </w:r>
      <w:r>
        <w:rPr>
          <w:rFonts w:ascii="Times New Roman" w:cs="Times New Roman" w:eastAsia="Times New Roman" w:hAnsi="Times New Roman"/>
          <w:sz w:val="16"/>
          <w:szCs w:val="16"/>
          <w:u w:val="single" w:color="auto"/>
          <w:color w:val="0000FF"/>
        </w:rPr>
        <w:t>Consent of Independent Registered Public Accounting Firm (KPMG LLP)</w:t>
      </w:r>
    </w:p>
    <w:p>
      <w:pPr>
        <w:spacing w:after="0" w:line="267" w:lineRule="exact"/>
        <w:rPr>
          <w:rFonts w:ascii="Times New Roman" w:cs="Times New Roman" w:eastAsia="Times New Roman" w:hAnsi="Times New Roman"/>
          <w:sz w:val="18"/>
          <w:szCs w:val="18"/>
          <w:u w:val="single" w:color="auto"/>
          <w:color w:val="0000FF"/>
        </w:rPr>
      </w:pPr>
    </w:p>
    <w:p>
      <w:pPr>
        <w:ind w:left="7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6"/>
          <w:szCs w:val="16"/>
          <w:u w:val="single" w:color="auto"/>
          <w:color w:val="0000FF"/>
        </w:rPr>
        <w:t>Section 302 Certification of Jackson Hsieh, Chief Executive Officer and Director</w:t>
      </w:r>
    </w:p>
    <w:p>
      <w:pPr>
        <w:spacing w:after="0" w:line="267" w:lineRule="exact"/>
        <w:rPr>
          <w:rFonts w:ascii="Times New Roman" w:cs="Times New Roman" w:eastAsia="Times New Roman" w:hAnsi="Times New Roman"/>
          <w:sz w:val="18"/>
          <w:szCs w:val="18"/>
          <w:u w:val="single" w:color="auto"/>
          <w:color w:val="0000FF"/>
        </w:rPr>
      </w:pPr>
    </w:p>
    <w:p>
      <w:pPr>
        <w:ind w:left="7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6"/>
          <w:szCs w:val="16"/>
          <w:u w:val="single" w:color="auto"/>
          <w:color w:val="0000FF"/>
        </w:rPr>
        <w:t>Section 302 Certification of Daniel E. Swanstrom II, Chief Financial Officer</w:t>
      </w:r>
    </w:p>
    <w:p>
      <w:pPr>
        <w:spacing w:after="0" w:line="267" w:lineRule="exact"/>
        <w:rPr>
          <w:rFonts w:ascii="Times New Roman" w:cs="Times New Roman" w:eastAsia="Times New Roman" w:hAnsi="Times New Roman"/>
          <w:sz w:val="18"/>
          <w:szCs w:val="18"/>
          <w:u w:val="single" w:color="auto"/>
          <w:color w:val="0000FF"/>
        </w:rPr>
      </w:pPr>
    </w:p>
    <w:p>
      <w:pPr>
        <w:ind w:left="7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Section 906 Certifications of Jackson Hsieh and Daniel E. Swanstrom II</w:t>
      </w:r>
    </w:p>
    <w:p>
      <w:pPr>
        <w:spacing w:after="0" w:line="267" w:lineRule="exact"/>
        <w:rPr>
          <w:sz w:val="20"/>
          <w:szCs w:val="20"/>
          <w:color w:val="auto"/>
        </w:rPr>
      </w:pPr>
    </w:p>
    <w:p>
      <w:pPr>
        <w:ind w:left="1420" w:right="420" w:hanging="593"/>
        <w:spacing w:after="0" w:line="231" w:lineRule="auto"/>
        <w:tabs>
          <w:tab w:leader="none" w:pos="1420" w:val="left"/>
        </w:tabs>
        <w:numPr>
          <w:ilvl w:val="0"/>
          <w:numId w:val="53"/>
        </w:numPr>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The Macerich Company Compensation Recovery Policy (incorporated by reference as an exhibit to the Company's Annual Report on</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Form 10-K for the year ended December 31, 2023).</w:t>
        </w:r>
      </w:hyperlink>
    </w:p>
    <w:p>
      <w:pPr>
        <w:spacing w:after="0" w:line="260" w:lineRule="exact"/>
        <w:rPr>
          <w:rFonts w:ascii="Times New Roman" w:cs="Times New Roman" w:eastAsia="Times New Roman" w:hAnsi="Times New Roman"/>
          <w:sz w:val="18"/>
          <w:szCs w:val="18"/>
          <w:u w:val="single" w:color="auto"/>
          <w:color w:val="0000FF"/>
        </w:rPr>
      </w:pPr>
    </w:p>
    <w:tbl>
      <w:tblPr>
        <w:tblLayout w:type="fixed"/>
        <w:tblInd w:w="340" w:type="dxa"/>
        <w:tblCellMar>
          <w:top w:w="0" w:type="dxa"/>
          <w:left w:w="0" w:type="dxa"/>
          <w:bottom w:w="0" w:type="dxa"/>
          <w:right w:w="0" w:type="dxa"/>
        </w:tblCellMar>
      </w:tblPr>
      <w:tr>
        <w:trPr>
          <w:trHeight w:val="228"/>
        </w:trPr>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6"/>
              </w:rPr>
              <w:t>101.SCH</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7"/>
        </w:trPr>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4"/>
              </w:rPr>
              <w:t>101.CAL</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Inline XBRL Taxonomy Extension Calculation Linkbase Document</w:t>
            </w:r>
          </w:p>
        </w:tc>
      </w:tr>
      <w:tr>
        <w:trPr>
          <w:trHeight w:val="474"/>
        </w:trPr>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4"/>
              </w:rPr>
              <w:t>101.LAB</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74"/>
        </w:trPr>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9"/>
              </w:rPr>
              <w:t>101.PRE</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Inline XBRL Taxonomy Extension Presentation Linkbase Document</w:t>
            </w:r>
          </w:p>
        </w:tc>
      </w:tr>
      <w:tr>
        <w:trPr>
          <w:trHeight w:val="474"/>
        </w:trPr>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7"/>
              </w:rPr>
              <w:t>101.DEF</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 Document</w:t>
            </w:r>
          </w:p>
        </w:tc>
      </w:tr>
    </w:tbl>
    <w:p>
      <w:pPr>
        <w:spacing w:after="0" w:line="246" w:lineRule="exact"/>
        <w:rPr>
          <w:rFonts w:ascii="Times New Roman" w:cs="Times New Roman" w:eastAsia="Times New Roman" w:hAnsi="Times New Roman"/>
          <w:sz w:val="18"/>
          <w:szCs w:val="18"/>
          <w:u w:val="single" w:color="auto"/>
          <w:color w:val="0000FF"/>
        </w:rPr>
      </w:pPr>
    </w:p>
    <w:p>
      <w:pPr>
        <w:ind w:left="1420" w:hanging="681"/>
        <w:spacing w:after="0"/>
        <w:tabs>
          <w:tab w:leader="none" w:pos="14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p>
      <w:pPr>
        <w:spacing w:after="0" w:line="250" w:lineRule="exact"/>
        <w:rPr>
          <w:rFonts w:ascii="Times New Roman" w:cs="Times New Roman" w:eastAsia="Times New Roman" w:hAnsi="Times New Roman"/>
          <w:sz w:val="16"/>
          <w:szCs w:val="16"/>
          <w:color w:val="auto"/>
        </w:rPr>
      </w:pPr>
    </w:p>
    <w:p>
      <w:pPr>
        <w:ind w:left="140" w:hanging="135"/>
        <w:spacing w:after="0"/>
        <w:tabs>
          <w:tab w:leader="none" w:pos="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management contract, or compensatory plan, contract or arrangement required to be filed pursuant to Regulation S-K.</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344"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2" w:right="35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20" w:lineRule="exact"/>
        <w:rPr>
          <w:sz w:val="20"/>
          <w:szCs w:val="20"/>
          <w:color w:val="auto"/>
        </w:rPr>
      </w:pPr>
    </w:p>
    <w:p>
      <w:pPr>
        <w:ind w:right="120" w:firstLine="43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28, 2025.</w:t>
      </w:r>
    </w:p>
    <w:p>
      <w:pPr>
        <w:ind w:left="51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30" w:lineRule="exact"/>
        <w:rPr>
          <w:sz w:val="20"/>
          <w:szCs w:val="20"/>
          <w:color w:val="auto"/>
        </w:rPr>
      </w:pPr>
    </w:p>
    <w:tbl>
      <w:tblPr>
        <w:tblLayout w:type="fixed"/>
        <w:tblInd w:w="5140" w:type="dxa"/>
        <w:tblCellMar>
          <w:top w:w="0" w:type="dxa"/>
          <w:left w:w="0" w:type="dxa"/>
          <w:bottom w:w="0" w:type="dxa"/>
          <w:right w:w="0" w:type="dxa"/>
        </w:tblCellMar>
      </w:tblP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JACKSON HSIEH</w:t>
            </w:r>
          </w:p>
        </w:tc>
      </w:tr>
      <w:tr>
        <w:trPr>
          <w:trHeight w:val="210"/>
        </w:trPr>
        <w:tc>
          <w:tcPr>
            <w:tcW w:w="90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Jackson Hsieh</w:t>
            </w:r>
          </w:p>
        </w:tc>
      </w:tr>
      <w:tr>
        <w:trPr>
          <w:trHeight w:val="230"/>
        </w:trPr>
        <w:tc>
          <w:tcPr>
            <w:tcW w:w="90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Chief Executive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117" w:name="page118"/>
    <w:bookmarkEnd w:id="117"/>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3" w:lineRule="exact"/>
        <w:rPr>
          <w:sz w:val="20"/>
          <w:szCs w:val="20"/>
          <w:color w:val="auto"/>
        </w:rPr>
      </w:pPr>
    </w:p>
    <w:p>
      <w:pPr>
        <w:ind w:left="1740"/>
        <w:spacing w:after="0"/>
        <w:tabs>
          <w:tab w:leader="none" w:pos="6220" w:val="left"/>
          <w:tab w:leader="none" w:pos="99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Capacity</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0700"/>
          </w:cols>
          <w:pgMar w:left="320" w:top="1017" w:right="879" w:bottom="1440" w:gutter="0" w:footer="0" w:header="0"/>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JACKSON HSIEH</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Jackson Hsieh</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ERIC K. BRANDT</w:t>
            </w:r>
          </w:p>
        </w:tc>
        <w:tc>
          <w:tcPr>
            <w:tcW w:w="4520" w:type="dxa"/>
            <w:vAlign w:val="bottom"/>
          </w:tcPr>
          <w:p>
            <w:pPr>
              <w:spacing w:after="0"/>
              <w:rPr>
                <w:sz w:val="24"/>
                <w:szCs w:val="24"/>
                <w:color w:val="auto"/>
              </w:rPr>
            </w:pPr>
          </w:p>
        </w:tc>
      </w:tr>
      <w:tr>
        <w:trPr>
          <w:trHeight w:val="28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K. Brandt</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STEVEN R. HASH</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Board of Directors</w:t>
            </w: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Steven R. Hash</w:t>
            </w:r>
          </w:p>
        </w:tc>
        <w:tc>
          <w:tcPr>
            <w:tcW w:w="4520" w:type="dxa"/>
            <w:vAlign w:val="bottom"/>
          </w:tcPr>
          <w:p>
            <w:pPr>
              <w:spacing w:after="0"/>
              <w:rPr>
                <w:sz w:val="21"/>
                <w:szCs w:val="21"/>
                <w:color w:val="auto"/>
              </w:rPr>
            </w:pPr>
          </w:p>
        </w:tc>
      </w:tr>
      <w:tr>
        <w:trPr>
          <w:trHeight w:val="303"/>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ENRIQUE HERNANDEZ, JR.</w:t>
            </w:r>
          </w:p>
        </w:tc>
        <w:tc>
          <w:tcPr>
            <w:tcW w:w="4520" w:type="dxa"/>
            <w:vAlign w:val="bottom"/>
          </w:tcPr>
          <w:p>
            <w:pPr>
              <w:spacing w:after="0"/>
              <w:rPr>
                <w:sz w:val="24"/>
                <w:szCs w:val="24"/>
                <w:color w:val="auto"/>
              </w:rPr>
            </w:pPr>
          </w:p>
        </w:tc>
      </w:tr>
      <w:tr>
        <w:trPr>
          <w:trHeight w:val="28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Enrique Hernandez, Jr.</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DANIEL J. HIRSCH</w:t>
            </w:r>
          </w:p>
        </w:tc>
        <w:tc>
          <w:tcPr>
            <w:tcW w:w="4520" w:type="dxa"/>
            <w:vAlign w:val="bottom"/>
          </w:tcPr>
          <w:p>
            <w:pPr>
              <w:spacing w:after="0"/>
              <w:rPr>
                <w:sz w:val="24"/>
                <w:szCs w:val="24"/>
                <w:color w:val="auto"/>
              </w:rPr>
            </w:pP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Daniel J. Hirsch</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DIANA M. LAING</w:t>
            </w:r>
          </w:p>
        </w:tc>
        <w:tc>
          <w:tcPr>
            <w:tcW w:w="4520" w:type="dxa"/>
            <w:vAlign w:val="bottom"/>
          </w:tcPr>
          <w:p>
            <w:pPr>
              <w:spacing w:after="0"/>
              <w:rPr>
                <w:sz w:val="24"/>
                <w:szCs w:val="24"/>
                <w:color w:val="auto"/>
              </w:rPr>
            </w:pP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Diana M. Laing</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MARIANNE LOWENTHAL</w:t>
            </w:r>
          </w:p>
        </w:tc>
        <w:tc>
          <w:tcPr>
            <w:tcW w:w="4520" w:type="dxa"/>
            <w:vAlign w:val="bottom"/>
          </w:tcPr>
          <w:p>
            <w:pPr>
              <w:spacing w:after="0"/>
              <w:rPr>
                <w:sz w:val="24"/>
                <w:szCs w:val="24"/>
                <w:color w:val="auto"/>
              </w:rPr>
            </w:pP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Marianne Lowenthal</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DEVIN I. MURPHY</w:t>
            </w:r>
          </w:p>
        </w:tc>
        <w:tc>
          <w:tcPr>
            <w:tcW w:w="4520" w:type="dxa"/>
            <w:vAlign w:val="bottom"/>
          </w:tcPr>
          <w:p>
            <w:pPr>
              <w:spacing w:after="0"/>
              <w:rPr>
                <w:sz w:val="24"/>
                <w:szCs w:val="24"/>
                <w:color w:val="auto"/>
              </w:rPr>
            </w:pP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Devin I. Murphy</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ANDREA M. STEPHEN</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Andrea M. Stephen</w:t>
            </w:r>
          </w:p>
        </w:tc>
        <w:tc>
          <w:tcPr>
            <w:tcW w:w="4520" w:type="dxa"/>
            <w:vAlign w:val="bottom"/>
          </w:tcPr>
          <w:p>
            <w:pPr>
              <w:spacing w:after="0"/>
              <w:rPr>
                <w:sz w:val="21"/>
                <w:szCs w:val="21"/>
                <w:color w:val="auto"/>
              </w:rPr>
            </w:pPr>
          </w:p>
        </w:tc>
      </w:tr>
      <w:tr>
        <w:trPr>
          <w:trHeight w:val="437"/>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DANIEL E. SWANSTROM II</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Senior Executive Vice President, Chief Financial Officer and</w:t>
            </w:r>
          </w:p>
        </w:tc>
      </w:tr>
      <w:tr>
        <w:trPr>
          <w:trHeight w:val="228"/>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Daniel E. Swanstrom II</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Treasurer (Principal Financial Officer)</w:t>
            </w:r>
          </w:p>
        </w:tc>
      </w:tr>
      <w:tr>
        <w:trPr>
          <w:trHeight w:val="437"/>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CHRISTOPHER J. ZECCHINI</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Senior Vice President and Chief Accounting Officer (Principal</w:t>
            </w:r>
          </w:p>
        </w:tc>
      </w:tr>
      <w:tr>
        <w:trPr>
          <w:trHeight w:val="228"/>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Christopher J. Zecchini</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481" w:lineRule="exact"/>
        <w:rPr>
          <w:sz w:val="20"/>
          <w:szCs w:val="20"/>
          <w:color w:val="auto"/>
        </w:rPr>
      </w:pPr>
    </w:p>
    <w:p>
      <w:pPr>
        <w:sectPr>
          <w:pgSz w:w="11900" w:h="16838" w:orient="portrait"/>
          <w:cols w:equalWidth="0" w:num="2">
            <w:col w:w="8700" w:space="720"/>
            <w:col w:w="1280"/>
          </w:cols>
          <w:pgMar w:left="320" w:top="1017"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700"/>
          </w:cols>
          <w:pgMar w:left="320" w:top="1017" w:right="879" w:bottom="1440" w:gutter="0" w:footer="0" w:header="0"/>
          <w:type w:val="continuous"/>
        </w:sectPr>
      </w:pPr>
    </w:p>
    <w:bookmarkStart w:id="118" w:name="page119"/>
    <w:bookmarkEnd w:id="118"/>
    <w:p>
      <w:pPr>
        <w:ind w:left="10040"/>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MACERICH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224"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October 31, 2024 is entered into by and between The Macerich Company, a Maryland corporation (including any successors and/or assigns,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Daniel Swanstrom II (the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initially employ the Employee as Senior Executive Vice President, Chief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and Treasurer-Elect of the Company effective as of November 1, 2024, with the Employee transitioning to the role of Senior Executive Vice President, Chief Financial Officer and Treasurer on the later of (i) November 15, 2024 and (ii) the effective date of the resignation of the Company’s current Senior Executive Vice President, Chief Financial Officer and Treasurer from his position or other cessation of service as the Company’s Senior Executive Vice President, Chief Financial Officer and Treasurer (but in no event later than December 31, 2024), and the Employee desires to enter into an employment relationship with the Company, subject to the terms and conditions of this Agreement.</w:t>
      </w:r>
    </w:p>
    <w:p>
      <w:pPr>
        <w:spacing w:after="0" w:line="166" w:lineRule="exact"/>
        <w:rPr>
          <w:sz w:val="20"/>
          <w:szCs w:val="20"/>
          <w:color w:val="auto"/>
        </w:rPr>
      </w:pPr>
    </w:p>
    <w:p>
      <w:pPr>
        <w:jc w:val="both"/>
        <w:ind w:firstLine="632"/>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foregoing, of the mutual promises contained herein and of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are hereby acknowledged, the parties hereto hereby agree as follows:</w:t>
      </w:r>
    </w:p>
    <w:p>
      <w:pPr>
        <w:spacing w:after="0" w:line="97" w:lineRule="exact"/>
        <w:rPr>
          <w:sz w:val="20"/>
          <w:szCs w:val="20"/>
          <w:color w:val="auto"/>
        </w:rPr>
      </w:pPr>
    </w:p>
    <w:p>
      <w:pPr>
        <w:jc w:val="both"/>
        <w:ind w:firstLine="638"/>
        <w:spacing w:after="0" w:line="215" w:lineRule="auto"/>
        <w:tabs>
          <w:tab w:leader="none" w:pos="1265"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EMPLOYMENT TERM</w:t>
      </w:r>
      <w:r>
        <w:rPr>
          <w:rFonts w:ascii="Times New Roman" w:cs="Times New Roman" w:eastAsia="Times New Roman" w:hAnsi="Times New Roman"/>
          <w:sz w:val="21"/>
          <w:szCs w:val="21"/>
          <w:color w:val="auto"/>
        </w:rPr>
        <w:t>. The Company agrees to employ the Employee pursuant to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Employee agrees to be so employed, for a term commencing on November 1, 2024, except as otherwise determined by the Company (the actual first date of employment,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ending on the third anniversary of the Effective Date (the “</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xml:space="preserve">”). Notwithstanding the foregoing, the Employee’s employment hereunder may be earlier terminated in accordance with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hereof, subject to the provisions of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hereof. For the avoidance of doubt, in the event that the Employee remains employed by the Company through the Expiration Date, the Employee’s employment with the Company shall continue on an “at-will” basis and the Employee will remain an Eligible Employee under the Severance Plan (as defined below) and shall be eligible for severance benefits pursuant to the terms and conditions of the Severance Plan. In addition, the Company and the Employee hereby acknowledge and agree that the effectiveness of this Agreement shall be subject to approval by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period of time between the Effective Date and the termination of the Employee’s employment hereunder prior to the Expiration Date shall be referred to herein as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b w:val="1"/>
          <w:bCs w:val="1"/>
          <w:color w:val="auto"/>
        </w:rPr>
      </w:pPr>
    </w:p>
    <w:p>
      <w:pPr>
        <w:ind w:left="1280" w:hanging="642"/>
        <w:spacing w:after="0"/>
        <w:tabs>
          <w:tab w:leader="none" w:pos="128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POSITION AND DUTIES</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b w:val="1"/>
          <w:bCs w:val="1"/>
          <w:color w:val="auto"/>
        </w:rPr>
      </w:pPr>
    </w:p>
    <w:p>
      <w:pPr>
        <w:jc w:val="both"/>
        <w:ind w:firstLine="1270"/>
        <w:spacing w:after="0" w:line="220" w:lineRule="auto"/>
        <w:tabs>
          <w:tab w:leader="none" w:pos="189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During the Employment Term, the Employee shall initially serve as Senior Executive 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President, Chief Financial Officer and Treasurer-Elect of the Company, and transitioning to the role of Senior Executive Vice President, Chief Financial Officer and Treasurer on the later of (i) November 15, 2024 and (ii) the effective date of the resignation Senior Executive Vice President, Chief Financial Officer and Treasurer from his position or other cessation of service as the Company’s Senior Executive Vice President, Chief Financial Officer and Treasurer (but in no event later than December 31, 2024), in each case reporting directly to the Chief Executive Officer of the Company (the “</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 In each capacity,</w:t>
      </w:r>
    </w:p>
    <w:p>
      <w:pPr>
        <w:sectPr>
          <w:pgSz w:w="11900" w:h="16838" w:orient="portrait"/>
          <w:cols w:equalWidth="0" w:num="1">
            <w:col w:w="11240"/>
          </w:cols>
          <w:pgMar w:left="320" w:top="121" w:right="339" w:bottom="1440" w:gutter="0" w:footer="0" w:header="0"/>
        </w:sectPr>
      </w:pPr>
    </w:p>
    <w:bookmarkStart w:id="119" w:name="page120"/>
    <w:bookmarkEnd w:id="119"/>
    <w:p>
      <w:pPr>
        <w:jc w:val="both"/>
        <w:spacing w:after="0" w:line="231" w:lineRule="auto"/>
        <w:rPr>
          <w:sz w:val="20"/>
          <w:szCs w:val="20"/>
          <w:color w:val="auto"/>
        </w:rPr>
      </w:pPr>
      <w:r>
        <w:rPr>
          <w:rFonts w:ascii="Times New Roman" w:cs="Times New Roman" w:eastAsia="Times New Roman" w:hAnsi="Times New Roman"/>
          <w:sz w:val="21"/>
          <w:szCs w:val="21"/>
          <w:color w:val="auto"/>
        </w:rPr>
        <w:t>the Employee shall have the duties and responsibilities and authority customarily performed by and held by an employee in Employee’s position, and such other duties, authorities and responsibilities as may reasonably be assigned to the Employee from time to time by the CEO that are not inconsistent with the Employee’s position with the Company.</w:t>
      </w:r>
    </w:p>
    <w:p>
      <w:pPr>
        <w:spacing w:after="0" w:line="142" w:lineRule="exact"/>
        <w:rPr>
          <w:sz w:val="20"/>
          <w:szCs w:val="20"/>
          <w:color w:val="auto"/>
        </w:rPr>
      </w:pPr>
    </w:p>
    <w:p>
      <w:pPr>
        <w:jc w:val="both"/>
        <w:ind w:firstLine="1270"/>
        <w:spacing w:after="0" w:line="215" w:lineRule="auto"/>
        <w:tabs>
          <w:tab w:leader="none" w:pos="189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ACTIVITIES</w:t>
      </w:r>
      <w:r>
        <w:rPr>
          <w:rFonts w:ascii="Times New Roman" w:cs="Times New Roman" w:eastAsia="Times New Roman" w:hAnsi="Times New Roman"/>
          <w:sz w:val="21"/>
          <w:szCs w:val="21"/>
          <w:color w:val="auto"/>
        </w:rPr>
        <w:t>. During the Employment Term, the Employee shall devote substantially all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Employee’s business time, business judgment, knowledge and skill and the Employee’s reasonable best efforts to the performance of the Employee’s duties with the Company, provided that the foregoing shall not prevent the Employee from (i) with prior written notice to the Board, serving on the boards of directors of non-profit organizations and, with the prior written approval of the CEO (with such approval not to be unreasonably withheld), serving on up to one board of directors of a for-profit company (and, for the avoidance of doubt, the Employee shall be permitted to continue to serve on the for-profit company board of directors on which the Employee currently serves), (ii) participating in charitable, civic, educational, professional, community or industry affairs, and (iii) managing the Employee’s personal investments and affairs so long as such activities, either individually or in the aggregate, do not interfere or conflict with the Employee’s duties hereunder or create a potential business or fiduciary conflict. Employee will comply with the Company’s policies and rules, as they may be in effect from time to time during the Employment Term and provided to Employee.</w:t>
      </w:r>
    </w:p>
    <w:p>
      <w:pPr>
        <w:spacing w:after="0" w:line="149" w:lineRule="exact"/>
        <w:rPr>
          <w:rFonts w:ascii="Times New Roman" w:cs="Times New Roman" w:eastAsia="Times New Roman" w:hAnsi="Times New Roman"/>
          <w:sz w:val="21"/>
          <w:szCs w:val="21"/>
          <w:color w:val="auto"/>
        </w:rPr>
      </w:pPr>
    </w:p>
    <w:p>
      <w:pPr>
        <w:jc w:val="both"/>
        <w:ind w:firstLine="1270"/>
        <w:spacing w:after="0" w:line="223" w:lineRule="auto"/>
        <w:tabs>
          <w:tab w:leader="none" w:pos="189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PRINCIPAL WORK LOCATION</w:t>
      </w:r>
      <w:r>
        <w:rPr>
          <w:rFonts w:ascii="Times New Roman" w:cs="Times New Roman" w:eastAsia="Times New Roman" w:hAnsi="Times New Roman"/>
          <w:sz w:val="21"/>
          <w:szCs w:val="21"/>
          <w:color w:val="auto"/>
        </w:rPr>
        <w:t>. Employee’s principal place of employment and office will be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office located in Dallas, TX, which office is currently located at 8214 Westchester Drive, Dallas, TX 75225. Employee shall be required to travel domestically and internationally when Employee’s duties require for such travel or when reasonably requested by the CEO including regular travel to the Company’s offices and the Company’s properties located throughout the United States.</w:t>
      </w:r>
    </w:p>
    <w:p>
      <w:pPr>
        <w:spacing w:after="0" w:line="142" w:lineRule="exact"/>
        <w:rPr>
          <w:rFonts w:ascii="Times New Roman" w:cs="Times New Roman" w:eastAsia="Times New Roman" w:hAnsi="Times New Roman"/>
          <w:sz w:val="21"/>
          <w:szCs w:val="21"/>
          <w:color w:val="auto"/>
        </w:rPr>
      </w:pPr>
    </w:p>
    <w:p>
      <w:pPr>
        <w:jc w:val="both"/>
        <w:ind w:firstLine="638"/>
        <w:spacing w:after="0" w:line="220" w:lineRule="auto"/>
        <w:tabs>
          <w:tab w:leader="none" w:pos="1265"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During the Employment Term, the Company agrees to pay the Employee a base salary at an annual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rate of $600,000 payable in accordance with the regular payroll practices of the Company, but not less frequently than monthly. The Employee’s Base Salary shall be subject to annual review and may be increased from time to time by the Board (or a committee thereof). The base salary as determined herein and as increased from time to time shall constitute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for purposes of this Agreement. The Base Salary shall not be decreased at any time, or for any purpose, during the Employment Term (including, without limitation, for the purpose of determining benefits due under Section 7) without the Employee’s prior written consent.</w:t>
      </w:r>
    </w:p>
    <w:p>
      <w:pPr>
        <w:spacing w:after="0" w:line="147" w:lineRule="exact"/>
        <w:rPr>
          <w:rFonts w:ascii="Times New Roman" w:cs="Times New Roman" w:eastAsia="Times New Roman" w:hAnsi="Times New Roman"/>
          <w:sz w:val="21"/>
          <w:szCs w:val="21"/>
          <w:b w:val="1"/>
          <w:bCs w:val="1"/>
          <w:color w:val="auto"/>
        </w:rPr>
      </w:pPr>
    </w:p>
    <w:p>
      <w:pPr>
        <w:ind w:left="1280" w:hanging="642"/>
        <w:spacing w:after="0"/>
        <w:tabs>
          <w:tab w:leader="none" w:pos="128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INCENTIVE COMPENSATION</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b w:val="1"/>
          <w:bCs w:val="1"/>
          <w:color w:val="auto"/>
        </w:rPr>
      </w:pPr>
    </w:p>
    <w:p>
      <w:pPr>
        <w:jc w:val="both"/>
        <w:ind w:firstLine="1270"/>
        <w:spacing w:after="0" w:line="215" w:lineRule="auto"/>
        <w:tabs>
          <w:tab w:leader="none" w:pos="1894"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For each calendar year during the Employment Term, beginning with the 2025 calendar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 the Employee shall be eligible to receive an annual incentive payment under the Company’s annual bonus plan as may be in effect from time to time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based on a target bonus opportunity equal to 125% of the Employee’s Base Salary (the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upon the attainment of one or more pre-established performance goals established by the Board (or a committee thereof) in its sole discretion. The Company expects that the Board (or a committee thereof) will formally review performance at least annually in consultation with the Employee. The Employee’s Annual Bonus for a calendar year shall be determined by the Board (or a committee thereof) after the end of the applicable calendar year based on the level of achievement of the applicable performance criteria, and shall be paid to the Employee in the calendar year (but no later than March 15 of such calendar year) following the calendar year to which such Annual Bonus relates at the same time annual bonuses are paid to other senior executives of the Company, subject to continued employment at the time of payment. The Annual Bonus may be paid in the form of cash or equity under the 2003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as determined by the Compensation Committee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4" w:right="339" w:bottom="1440" w:gutter="0" w:footer="0" w:header="0"/>
        </w:sectPr>
      </w:pPr>
    </w:p>
    <w:bookmarkStart w:id="120" w:name="page121"/>
    <w:bookmarkEnd w:id="120"/>
    <w:p>
      <w:pPr>
        <w:jc w:val="both"/>
        <w:spacing w:after="0" w:line="215" w:lineRule="auto"/>
        <w:rPr>
          <w:sz w:val="20"/>
          <w:szCs w:val="20"/>
          <w:color w:val="auto"/>
        </w:rPr>
      </w:pPr>
      <w:r>
        <w:rPr>
          <w:rFonts w:ascii="Times New Roman" w:cs="Times New Roman" w:eastAsia="Times New Roman" w:hAnsi="Times New Roman"/>
          <w:sz w:val="21"/>
          <w:szCs w:val="21"/>
          <w:color w:val="auto"/>
        </w:rPr>
        <w:t>Board, following consultation with the Employee. Notwithstanding the forgoing, the Employee’s Annual Bonus for the 2024 calendar year will be paid entirely in cash and in the amount of $375,000 on or before December 31, 2024, provided the Employee is employed by the Company on the actual payment date, and the Employee’s Annual Bonus for the 2025 calendar year will be paid entirely in cash and in an amount no less than target, it being agreed that the Company will pay to the Employee an amount in cash equal to the Employee’s Target Bonus on or before December 31, 2025, and any amounts payable above target based on the actual level of achievement of the applicable performance criteria will be paid to the Employee at the same time annual bonuses are paid to other senior executives of the Company. For the avoidance of doubt, for purposes of calculating Employee’s “Bonus” under the Severance Plan, in the event Employee incurs a Qualifying Termination (as defined in the Severance Plan) (i) prior to the date on which Employee’s Annual Bonus for 2025 is paid, the “Bonus” shall be equal to Employee’s Target Bonus and (ii) prior to the date on which Employee’s Annual Bonus for 2026 is paid, the “Bonus” shall be equal to the average of Employee’s Target Bonus and Employee’s actual Annual Bonus for 2025.</w:t>
      </w:r>
    </w:p>
    <w:p>
      <w:pPr>
        <w:spacing w:after="0" w:line="146" w:lineRule="exact"/>
        <w:rPr>
          <w:sz w:val="20"/>
          <w:szCs w:val="20"/>
          <w:color w:val="auto"/>
        </w:rPr>
      </w:pPr>
    </w:p>
    <w:p>
      <w:pPr>
        <w:jc w:val="both"/>
        <w:ind w:firstLine="1270"/>
        <w:spacing w:after="0" w:line="212" w:lineRule="auto"/>
        <w:tabs>
          <w:tab w:leader="none" w:pos="189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LONG-TERM INCENTIVE AWARDS</w:t>
      </w:r>
      <w:r>
        <w:rPr>
          <w:rFonts w:ascii="Times New Roman" w:cs="Times New Roman" w:eastAsia="Times New Roman" w:hAnsi="Times New Roman"/>
          <w:sz w:val="21"/>
          <w:szCs w:val="21"/>
          <w:color w:val="auto"/>
        </w:rPr>
        <w:t>. During the Employment Term, beginning with the 2025 calendar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 the Employee shall be eligible to receive equity and other long-term incentive awards under any applicable plan adopted by the Company, including the LTI Award Program (the “LTI Program”) under the Plan. The target grant date fair value of the Employee’s annual LTI award beginning in 2025 will be $1,500,000 (“</w:t>
      </w:r>
      <w:r>
        <w:rPr>
          <w:rFonts w:ascii="Times New Roman" w:cs="Times New Roman" w:eastAsia="Times New Roman" w:hAnsi="Times New Roman"/>
          <w:sz w:val="21"/>
          <w:szCs w:val="21"/>
          <w:u w:val="single" w:color="auto"/>
          <w:color w:val="auto"/>
        </w:rPr>
        <w:t>Target LTI</w:t>
      </w:r>
      <w:r>
        <w:rPr>
          <w:rFonts w:ascii="Times New Roman" w:cs="Times New Roman" w:eastAsia="Times New Roman" w:hAnsi="Times New Roman"/>
          <w:sz w:val="21"/>
          <w:szCs w:val="21"/>
          <w:color w:val="auto"/>
        </w:rPr>
        <w:t xml:space="preserve">”) granted in the following allocations: 50% of the award as a time-vesting award in the form of LTIP units under the LTI Program, vesting ratably over three years (one-third per year measured from the date of grant), and 50% of the award as a performance-vesting award, also in the form of LTIP units, vesting over a three-year performance period based on one or more pre-established performance goals established by the Board (or a committee thereof) in its sole discretion. In each case the terms and conditions of any award shall be governed by one or more award agreements entered into between the Employee and the Company consistent with this Agreement and the form of Service-Based LTIP Award Agreement and Performance-Based LTIP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For each calendar year of the Employment Term, the Target LTI shall vest on the same terms as annual equity grants made to all other senior executive officers of the Company, as determined by the Compensation Committee of the Board, and shall be granted in the form of LTIP units or, to the extent permitted by the Compensation Committee of the Board in consultation with the Employee, restricted stock units. Notwithstanding the foregoing, all LTI grants to the Employee shall vest upon the Employee’s termination by the Company for no reason or for any reason other than Cause (as defined in the Company’s Amended and Restated Severance Pay Plan (the “</w:t>
      </w:r>
      <w:r>
        <w:rPr>
          <w:rFonts w:ascii="Times New Roman" w:cs="Times New Roman" w:eastAsia="Times New Roman" w:hAnsi="Times New Roman"/>
          <w:sz w:val="21"/>
          <w:szCs w:val="21"/>
          <w:u w:val="single" w:color="auto"/>
          <w:color w:val="auto"/>
        </w:rPr>
        <w:t>Severance Plan</w:t>
      </w:r>
      <w:r>
        <w:rPr>
          <w:rFonts w:ascii="Times New Roman" w:cs="Times New Roman" w:eastAsia="Times New Roman" w:hAnsi="Times New Roman"/>
          <w:sz w:val="21"/>
          <w:szCs w:val="21"/>
          <w:color w:val="auto"/>
        </w:rPr>
        <w:t xml:space="preserve">”)), termination of the Employee’s employment by the Employee with Good Reason (as defined in the Severance Plan), the Employee’s death, or Disability (as defined in the Severance Plan), on terms no less favorable than those contained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The Employee’s equity and/or other long-term incentive awards for each calendar year during the Employment Term shall be granted by the Company to the Employee at approximately the same time that annual equity and other long-term incentive awards are granted by the Company to other Company senior executive officers.</w:t>
      </w:r>
    </w:p>
    <w:p>
      <w:pPr>
        <w:spacing w:after="0" w:line="160" w:lineRule="exact"/>
        <w:rPr>
          <w:rFonts w:ascii="Times New Roman" w:cs="Times New Roman" w:eastAsia="Times New Roman" w:hAnsi="Times New Roman"/>
          <w:sz w:val="21"/>
          <w:szCs w:val="21"/>
          <w:color w:val="auto"/>
        </w:rPr>
      </w:pPr>
    </w:p>
    <w:p>
      <w:pPr>
        <w:jc w:val="both"/>
        <w:ind w:firstLine="1270"/>
        <w:spacing w:after="0" w:line="219" w:lineRule="auto"/>
        <w:tabs>
          <w:tab w:leader="none" w:pos="189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SIGN-ON LONG-TERM INCENTIVE AWARD</w:t>
      </w:r>
      <w:r>
        <w:rPr>
          <w:rFonts w:ascii="Times New Roman" w:cs="Times New Roman" w:eastAsia="Times New Roman" w:hAnsi="Times New Roman"/>
          <w:sz w:val="21"/>
          <w:szCs w:val="21"/>
          <w:color w:val="auto"/>
        </w:rPr>
        <w:t>. The Compensation Committee of the Board shall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an award of service-based LTIP units (to be granted within the two-week period beginning on the Effective Date) with a grant date fair value equal to $1,500,000, as determined by the Board in good faith (such grant, the “</w:t>
      </w:r>
      <w:r>
        <w:rPr>
          <w:rFonts w:ascii="Times New Roman" w:cs="Times New Roman" w:eastAsia="Times New Roman" w:hAnsi="Times New Roman"/>
          <w:sz w:val="21"/>
          <w:szCs w:val="21"/>
          <w:u w:val="single" w:color="auto"/>
          <w:color w:val="auto"/>
        </w:rPr>
        <w:t>Sign-On LTIP Grant</w:t>
      </w:r>
      <w:r>
        <w:rPr>
          <w:rFonts w:ascii="Times New Roman" w:cs="Times New Roman" w:eastAsia="Times New Roman" w:hAnsi="Times New Roman"/>
          <w:sz w:val="21"/>
          <w:szCs w:val="21"/>
          <w:color w:val="auto"/>
        </w:rPr>
        <w:t xml:space="preserve">”) and in accordance with the LTI Program. The Sign-On LTIP Grant will vest ratably over three years (one-third per year measured from the date of grant), in each case subject to the Employee’s continued service with the Company on each applicable vesting date, and the terms and conditions of the LTIP Unit Award Agreement evidencing such award, in substantially the form of award agreement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Sign-On LTIP Award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and any additional accelerated vesting to which Employee may become entitled pursuant to the terms of the Severance Plan.</w:t>
      </w:r>
    </w:p>
    <w:p>
      <w:pPr>
        <w:spacing w:after="0" w:line="176" w:lineRule="exact"/>
        <w:rPr>
          <w:sz w:val="20"/>
          <w:szCs w:val="20"/>
          <w:color w:val="auto"/>
        </w:rPr>
      </w:pPr>
    </w:p>
    <w:p>
      <w:pPr>
        <w:ind w:left="1280" w:hanging="642"/>
        <w:spacing w:after="0"/>
        <w:tabs>
          <w:tab w:leader="none" w:pos="128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EMPLOYEE BENEFITS</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b w:val="1"/>
          <w:bCs w:val="1"/>
          <w:color w:val="auto"/>
        </w:rPr>
      </w:pPr>
    </w:p>
    <w:p>
      <w:pPr>
        <w:jc w:val="both"/>
        <w:ind w:firstLine="1270"/>
        <w:spacing w:after="0" w:line="218" w:lineRule="auto"/>
        <w:tabs>
          <w:tab w:leader="none" w:pos="189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BENEFIT PLANS</w:t>
      </w:r>
      <w:r>
        <w:rPr>
          <w:rFonts w:ascii="Times New Roman" w:cs="Times New Roman" w:eastAsia="Times New Roman" w:hAnsi="Times New Roman"/>
          <w:sz w:val="21"/>
          <w:szCs w:val="21"/>
          <w:color w:val="auto"/>
        </w:rPr>
        <w:t>. During the Employment Term, the Employee shall be entitled to participate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benefit plan that the Company has adopted or may adopt, maintain or contribute to for the benefit of its employees generally, including (but not limited to) any deferred compensation program implemented pursuant to Section 5.4 of the Plan or otherwise adopted by the Company, subject to satisfying the applicable eligibility requirements, and except to the extent such plans are duplicative of the benefits otherwise provided hereunder. The Employee’s participation will be subject to the terms of the applicable plan documents and generally applicable Company policies. Notwithstanding the foregoing, the Company may modify or terminate any employee benefit plan at any time provided, Employee shall be treated no less favorably than other senior executives of the Company are treated.</w:t>
      </w:r>
    </w:p>
    <w:p>
      <w:pPr>
        <w:spacing w:after="0" w:line="142" w:lineRule="exact"/>
        <w:rPr>
          <w:rFonts w:ascii="Times New Roman" w:cs="Times New Roman" w:eastAsia="Times New Roman" w:hAnsi="Times New Roman"/>
          <w:sz w:val="21"/>
          <w:szCs w:val="21"/>
          <w:color w:val="auto"/>
        </w:rPr>
      </w:pPr>
    </w:p>
    <w:p>
      <w:pPr>
        <w:jc w:val="both"/>
        <w:ind w:firstLine="1270"/>
        <w:spacing w:after="0" w:line="232" w:lineRule="auto"/>
        <w:tabs>
          <w:tab w:leader="none" w:pos="189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VACATION TIME</w:t>
      </w:r>
      <w:r>
        <w:rPr>
          <w:rFonts w:ascii="Times New Roman" w:cs="Times New Roman" w:eastAsia="Times New Roman" w:hAnsi="Times New Roman"/>
          <w:sz w:val="21"/>
          <w:szCs w:val="21"/>
          <w:color w:val="auto"/>
        </w:rPr>
        <w:t>. During the Employment Term, the Employee will be eligible for paid time off, if any,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Company’s paid time off policy generally available to similarly situated employees of the Company, as it may be amended from time to time.</w:t>
      </w:r>
    </w:p>
    <w:p>
      <w:pPr>
        <w:spacing w:after="0" w:line="142" w:lineRule="exact"/>
        <w:rPr>
          <w:rFonts w:ascii="Times New Roman" w:cs="Times New Roman" w:eastAsia="Times New Roman" w:hAnsi="Times New Roman"/>
          <w:sz w:val="21"/>
          <w:szCs w:val="21"/>
          <w:color w:val="auto"/>
        </w:rPr>
      </w:pPr>
    </w:p>
    <w:p>
      <w:pPr>
        <w:jc w:val="both"/>
        <w:ind w:firstLine="1270"/>
        <w:spacing w:after="0" w:line="226" w:lineRule="auto"/>
        <w:tabs>
          <w:tab w:leader="none" w:pos="189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BUSINESS AND TRAVEL EXPENSES</w:t>
      </w:r>
      <w:r>
        <w:rPr>
          <w:rFonts w:ascii="Times New Roman" w:cs="Times New Roman" w:eastAsia="Times New Roman" w:hAnsi="Times New Roman"/>
          <w:sz w:val="21"/>
          <w:szCs w:val="21"/>
          <w:color w:val="auto"/>
        </w:rPr>
        <w:t>. Upon presentation of reasonable substantiation and documentation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the Company may specify from time to time, the Employee shall be reimbursed in accordance with the Company’s expense reimbursement policy, for all reasonable out-of-pocket business and travel expenses incurred and paid by the Employee during the Employment Term and in connection with the performance of the Employee’s duties hereunder.</w:t>
      </w:r>
    </w:p>
    <w:p>
      <w:pPr>
        <w:spacing w:after="0" w:line="144" w:lineRule="exact"/>
        <w:rPr>
          <w:rFonts w:ascii="Times New Roman" w:cs="Times New Roman" w:eastAsia="Times New Roman" w:hAnsi="Times New Roman"/>
          <w:sz w:val="21"/>
          <w:szCs w:val="21"/>
          <w:color w:val="auto"/>
        </w:rPr>
      </w:pPr>
    </w:p>
    <w:p>
      <w:pPr>
        <w:ind w:firstLine="1270"/>
        <w:spacing w:after="0" w:line="247" w:lineRule="auto"/>
        <w:tabs>
          <w:tab w:leader="none" w:pos="189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LEGAL FEES</w:t>
      </w:r>
      <w:r>
        <w:rPr>
          <w:rFonts w:ascii="Times New Roman" w:cs="Times New Roman" w:eastAsia="Times New Roman" w:hAnsi="Times New Roman"/>
          <w:sz w:val="21"/>
          <w:szCs w:val="21"/>
          <w:color w:val="auto"/>
        </w:rPr>
        <w:t>. The Company shall reimburse Employee for reasonable legal fees and expenses incurred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 review and negotiation of this Agreement and its Exhibits, with such reimbursement not to exceed $25,000.</w:t>
      </w:r>
    </w:p>
    <w:p>
      <w:pPr>
        <w:spacing w:after="0" w:line="135" w:lineRule="exact"/>
        <w:rPr>
          <w:rFonts w:ascii="Times New Roman" w:cs="Times New Roman" w:eastAsia="Times New Roman" w:hAnsi="Times New Roman"/>
          <w:sz w:val="21"/>
          <w:szCs w:val="21"/>
          <w:color w:val="auto"/>
        </w:rPr>
      </w:pPr>
    </w:p>
    <w:p>
      <w:pPr>
        <w:jc w:val="both"/>
        <w:ind w:firstLine="1270"/>
        <w:spacing w:after="0" w:line="220" w:lineRule="auto"/>
        <w:tabs>
          <w:tab w:leader="none" w:pos="189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 D&amp;O</w:t>
      </w:r>
      <w:r>
        <w:rPr>
          <w:rFonts w:ascii="Times New Roman" w:cs="Times New Roman" w:eastAsia="Times New Roman" w:hAnsi="Times New Roman"/>
          <w:sz w:val="21"/>
          <w:szCs w:val="21"/>
          <w:color w:val="auto"/>
        </w:rPr>
        <w:t>. The Employee will be indemnified to the extent permitted by applicable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organizational agreements of the Company and its affiliates and the Indemnification Agreement to be entered into between the Company and the Employee]for Employee’s services rendered as an officer and director of the Company and its affiliates and shall be covered by any applicable directors’ and officers’ liability insurance policy(ies) procured by the Company and its affiliates from time to time. Such coverage and indemnification shall continue during the Employment Term and thereafter, while liability may exist, on the same basis as other current and former directors and officers of the Company and its affiliates.</w:t>
      </w:r>
    </w:p>
    <w:p>
      <w:pPr>
        <w:spacing w:after="0" w:line="147" w:lineRule="exact"/>
        <w:rPr>
          <w:rFonts w:ascii="Times New Roman" w:cs="Times New Roman" w:eastAsia="Times New Roman" w:hAnsi="Times New Roman"/>
          <w:sz w:val="21"/>
          <w:szCs w:val="21"/>
          <w:color w:val="auto"/>
        </w:rPr>
      </w:pPr>
    </w:p>
    <w:p>
      <w:pPr>
        <w:ind w:firstLine="638"/>
        <w:spacing w:after="0" w:line="247" w:lineRule="auto"/>
        <w:tabs>
          <w:tab w:leader="none" w:pos="1265"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The Employee’s employment and the Employment Term shall terminate on the first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to occur:</w:t>
      </w:r>
    </w:p>
    <w:p>
      <w:pPr>
        <w:spacing w:after="0" w:line="135" w:lineRule="exact"/>
        <w:rPr>
          <w:rFonts w:ascii="Times New Roman" w:cs="Times New Roman" w:eastAsia="Times New Roman" w:hAnsi="Times New Roman"/>
          <w:sz w:val="21"/>
          <w:szCs w:val="21"/>
          <w:b w:val="1"/>
          <w:bCs w:val="1"/>
          <w:color w:val="auto"/>
        </w:rPr>
      </w:pPr>
    </w:p>
    <w:p>
      <w:pPr>
        <w:jc w:val="both"/>
        <w:ind w:firstLine="1270"/>
        <w:spacing w:after="0" w:line="232" w:lineRule="auto"/>
        <w:tabs>
          <w:tab w:leader="none" w:pos="189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Upon ten (10) days’ prior written notice by the Company to the Employee of a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due to Disability.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have the meaning assigned to such term in Severance Plan. The Employee shall cooperate in all respects with the Company if a question arises as to whether the Employee has become disabled.</w:t>
      </w:r>
    </w:p>
    <w:p>
      <w:pPr>
        <w:spacing w:after="0" w:line="142" w:lineRule="exact"/>
        <w:rPr>
          <w:rFonts w:ascii="Times New Roman" w:cs="Times New Roman" w:eastAsia="Times New Roman" w:hAnsi="Times New Roman"/>
          <w:sz w:val="21"/>
          <w:szCs w:val="21"/>
          <w:color w:val="auto"/>
        </w:rPr>
      </w:pPr>
    </w:p>
    <w:p>
      <w:pPr>
        <w:ind w:left="1900" w:hanging="630"/>
        <w:spacing w:after="0"/>
        <w:tabs>
          <w:tab w:leader="none" w:pos="190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DEATH</w:t>
      </w:r>
      <w:r>
        <w:rPr>
          <w:rFonts w:ascii="Times New Roman" w:cs="Times New Roman" w:eastAsia="Times New Roman" w:hAnsi="Times New Roman"/>
          <w:sz w:val="21"/>
          <w:szCs w:val="21"/>
          <w:color w:val="auto"/>
        </w:rPr>
        <w:t>. Automatically upon the date of the Employee’s death.</w:t>
      </w:r>
    </w:p>
    <w:p>
      <w:pPr>
        <w:spacing w:after="0" w:line="180" w:lineRule="exact"/>
        <w:rPr>
          <w:rFonts w:ascii="Times New Roman" w:cs="Times New Roman" w:eastAsia="Times New Roman" w:hAnsi="Times New Roman"/>
          <w:sz w:val="21"/>
          <w:szCs w:val="21"/>
          <w:color w:val="auto"/>
        </w:rPr>
      </w:pPr>
    </w:p>
    <w:p>
      <w:pPr>
        <w:ind w:firstLine="1270"/>
        <w:spacing w:after="0" w:line="247" w:lineRule="auto"/>
        <w:tabs>
          <w:tab w:leader="none" w:pos="189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Upon a termination by the Company for Cause.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have the meaning assigned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in the Severance Plan.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4" w:right="339" w:bottom="1440" w:gutter="0" w:footer="0" w:header="0"/>
        </w:sectPr>
      </w:pPr>
    </w:p>
    <w:bookmarkStart w:id="122" w:name="page123"/>
    <w:bookmarkEnd w:id="122"/>
    <w:p>
      <w:pPr>
        <w:ind w:left="1900" w:hanging="630"/>
        <w:spacing w:after="0"/>
        <w:tabs>
          <w:tab w:leader="none" w:pos="19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WITHOUT CAUSE</w:t>
      </w:r>
      <w:r>
        <w:rPr>
          <w:rFonts w:ascii="Times New Roman" w:cs="Times New Roman" w:eastAsia="Times New Roman" w:hAnsi="Times New Roman"/>
          <w:sz w:val="21"/>
          <w:szCs w:val="21"/>
          <w:color w:val="auto"/>
        </w:rPr>
        <w:t>. Upon an involuntary termination by the Company (other than for death, Disability, or</w:t>
      </w:r>
    </w:p>
    <w:p>
      <w:pPr>
        <w:spacing w:after="0"/>
        <w:rPr>
          <w:sz w:val="20"/>
          <w:szCs w:val="20"/>
          <w:color w:val="auto"/>
        </w:rPr>
      </w:pPr>
      <w:r>
        <w:rPr>
          <w:rFonts w:ascii="Times New Roman" w:cs="Times New Roman" w:eastAsia="Times New Roman" w:hAnsi="Times New Roman"/>
          <w:sz w:val="21"/>
          <w:szCs w:val="21"/>
          <w:color w:val="auto"/>
        </w:rPr>
        <w:t>Cause).</w:t>
      </w:r>
    </w:p>
    <w:p>
      <w:pPr>
        <w:spacing w:after="0" w:line="152" w:lineRule="exact"/>
        <w:rPr>
          <w:sz w:val="20"/>
          <w:szCs w:val="20"/>
          <w:color w:val="auto"/>
        </w:rPr>
      </w:pPr>
    </w:p>
    <w:p>
      <w:pPr>
        <w:ind w:firstLine="1270"/>
        <w:spacing w:after="0" w:line="247" w:lineRule="auto"/>
        <w:tabs>
          <w:tab w:leader="none" w:pos="189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Upon a termination by the Employee for Good Reason.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have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 assigned to such term in the Severance Plan.</w:t>
      </w:r>
    </w:p>
    <w:p>
      <w:pPr>
        <w:spacing w:after="0" w:line="135" w:lineRule="exact"/>
        <w:rPr>
          <w:rFonts w:ascii="Times New Roman" w:cs="Times New Roman" w:eastAsia="Times New Roman" w:hAnsi="Times New Roman"/>
          <w:sz w:val="21"/>
          <w:szCs w:val="21"/>
          <w:color w:val="auto"/>
        </w:rPr>
      </w:pPr>
    </w:p>
    <w:p>
      <w:pPr>
        <w:jc w:val="both"/>
        <w:ind w:firstLine="1270"/>
        <w:spacing w:after="0" w:line="232" w:lineRule="auto"/>
        <w:tabs>
          <w:tab w:leader="none" w:pos="189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WITHOUT GOOD REASON</w:t>
      </w:r>
      <w:r>
        <w:rPr>
          <w:rFonts w:ascii="Times New Roman" w:cs="Times New Roman" w:eastAsia="Times New Roman" w:hAnsi="Times New Roman"/>
          <w:sz w:val="21"/>
          <w:szCs w:val="21"/>
          <w:color w:val="auto"/>
        </w:rPr>
        <w:t>. Upon thirty (30) days’ prior written notice by the Employee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Employee’s voluntary termination of employment without Good Reason (which the Company may, in its sole discretion, make effective earlier than any notice date).</w:t>
      </w:r>
    </w:p>
    <w:p>
      <w:pPr>
        <w:spacing w:after="0" w:line="142" w:lineRule="exact"/>
        <w:rPr>
          <w:rFonts w:ascii="Times New Roman" w:cs="Times New Roman" w:eastAsia="Times New Roman" w:hAnsi="Times New Roman"/>
          <w:sz w:val="21"/>
          <w:szCs w:val="21"/>
          <w:color w:val="auto"/>
        </w:rPr>
      </w:pPr>
    </w:p>
    <w:p>
      <w:pPr>
        <w:ind w:left="1280" w:hanging="642"/>
        <w:spacing w:after="0"/>
        <w:tabs>
          <w:tab w:leader="none" w:pos="128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CONSEQUENCES OF TERMINATION</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b w:val="1"/>
          <w:bCs w:val="1"/>
          <w:color w:val="auto"/>
        </w:rPr>
      </w:pPr>
    </w:p>
    <w:p>
      <w:pPr>
        <w:jc w:val="both"/>
        <w:ind w:firstLine="1270"/>
        <w:spacing w:after="0" w:line="226" w:lineRule="auto"/>
        <w:tabs>
          <w:tab w:leader="none" w:pos="1894"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ACCRUED OBLIGATIONS. </w:t>
      </w:r>
      <w:r>
        <w:rPr>
          <w:rFonts w:ascii="Times New Roman" w:cs="Times New Roman" w:eastAsia="Times New Roman" w:hAnsi="Times New Roman"/>
          <w:sz w:val="21"/>
          <w:szCs w:val="21"/>
          <w:color w:val="auto"/>
        </w:rPr>
        <w:t>In the event that the Employee’s employment ends for any reason,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or the Employee’s estate, as the case may be, shall be entitled to the Accrued Obligations (as defined in the Severance Plan) which shall be paid within sixty (60) days following termination of employment, or such earlier date as may be required by applicable law.</w:t>
      </w:r>
    </w:p>
    <w:p>
      <w:pPr>
        <w:spacing w:after="0" w:line="144" w:lineRule="exact"/>
        <w:rPr>
          <w:rFonts w:ascii="Times New Roman" w:cs="Times New Roman" w:eastAsia="Times New Roman" w:hAnsi="Times New Roman"/>
          <w:sz w:val="21"/>
          <w:szCs w:val="21"/>
          <w:color w:val="auto"/>
        </w:rPr>
      </w:pPr>
    </w:p>
    <w:p>
      <w:pPr>
        <w:jc w:val="both"/>
        <w:ind w:firstLine="1270"/>
        <w:spacing w:after="0" w:line="218" w:lineRule="auto"/>
        <w:tabs>
          <w:tab w:leader="none" w:pos="1892"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SEVERANCE PLAN AND EQUITY AWARDS. </w:t>
      </w:r>
      <w:r>
        <w:rPr>
          <w:rFonts w:ascii="Times New Roman" w:cs="Times New Roman" w:eastAsia="Times New Roman" w:hAnsi="Times New Roman"/>
          <w:sz w:val="21"/>
          <w:szCs w:val="21"/>
          <w:color w:val="auto"/>
        </w:rPr>
        <w:t>The Employee is an Eligible Employee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Severance Plan and shall be eligible for severance benefits pursuant to the terms and conditions of the Severance Plan, subject to the Employee’s compliance with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and continued compliance with the obligations in </w:t>
      </w:r>
      <w:r>
        <w:rPr>
          <w:rFonts w:ascii="Times New Roman" w:cs="Times New Roman" w:eastAsia="Times New Roman" w:hAnsi="Times New Roman"/>
          <w:sz w:val="21"/>
          <w:szCs w:val="21"/>
          <w:u w:val="single" w:color="auto"/>
          <w:color w:val="auto"/>
        </w:rPr>
        <w:t>Sections 9 and 10,</w:t>
      </w:r>
      <w:r>
        <w:rPr>
          <w:rFonts w:ascii="Times New Roman" w:cs="Times New Roman" w:eastAsia="Times New Roman" w:hAnsi="Times New Roman"/>
          <w:sz w:val="21"/>
          <w:szCs w:val="21"/>
          <w:color w:val="auto"/>
        </w:rPr>
        <w:t xml:space="preserve"> (provided, that the Company shall provide the Employee with written notice of any alleged non-compliance and not less than 10 business days to cure, if curable), and the vesting and payment of the Employee’s equity awards upon Employee’s termination of employment will be governed by Section 5 of the applicable equity award agreement (or any similar provisions). This Agreement and the Severance Plan shall each be deemed to be a “</w:t>
      </w:r>
      <w:r>
        <w:rPr>
          <w:rFonts w:ascii="Times New Roman" w:cs="Times New Roman" w:eastAsia="Times New Roman" w:hAnsi="Times New Roman"/>
          <w:sz w:val="21"/>
          <w:szCs w:val="21"/>
          <w:i w:val="1"/>
          <w:iCs w:val="1"/>
          <w:color w:val="auto"/>
        </w:rPr>
        <w:t>Service Agreement</w:t>
      </w:r>
      <w:r>
        <w:rPr>
          <w:rFonts w:ascii="Times New Roman" w:cs="Times New Roman" w:eastAsia="Times New Roman" w:hAnsi="Times New Roman"/>
          <w:sz w:val="21"/>
          <w:szCs w:val="21"/>
          <w:color w:val="auto"/>
        </w:rPr>
        <w:t>” for purposes of Section 5 of each of the Employee’s equity award agreements, including the Sign-On LTIP Grant and each Target LTI award.</w:t>
      </w:r>
    </w:p>
    <w:p>
      <w:pPr>
        <w:spacing w:after="0" w:line="142" w:lineRule="exact"/>
        <w:rPr>
          <w:rFonts w:ascii="Times New Roman" w:cs="Times New Roman" w:eastAsia="Times New Roman" w:hAnsi="Times New Roman"/>
          <w:sz w:val="21"/>
          <w:szCs w:val="21"/>
          <w:color w:val="auto"/>
        </w:rPr>
      </w:pPr>
    </w:p>
    <w:p>
      <w:pPr>
        <w:jc w:val="both"/>
        <w:ind w:firstLine="1270"/>
        <w:spacing w:after="0" w:line="232" w:lineRule="auto"/>
        <w:tabs>
          <w:tab w:leader="none" w:pos="1894"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OBLIGATIONS</w:t>
      </w:r>
      <w:r>
        <w:rPr>
          <w:rFonts w:ascii="Times New Roman" w:cs="Times New Roman" w:eastAsia="Times New Roman" w:hAnsi="Times New Roman"/>
          <w:sz w:val="21"/>
          <w:szCs w:val="21"/>
          <w:color w:val="auto"/>
        </w:rPr>
        <w:t>. Upon any termination of the Employee’s employment with the Company,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shall be deemed to have resigned from any position as an officer, director or fiduciary of any Company-related entity effective on Employee’s termination date.</w:t>
      </w:r>
    </w:p>
    <w:p>
      <w:pPr>
        <w:spacing w:after="0" w:line="142" w:lineRule="exact"/>
        <w:rPr>
          <w:rFonts w:ascii="Times New Roman" w:cs="Times New Roman" w:eastAsia="Times New Roman" w:hAnsi="Times New Roman"/>
          <w:sz w:val="21"/>
          <w:szCs w:val="21"/>
          <w:color w:val="auto"/>
        </w:rPr>
      </w:pPr>
    </w:p>
    <w:p>
      <w:pPr>
        <w:jc w:val="both"/>
        <w:ind w:firstLine="638"/>
        <w:spacing w:after="0" w:line="214" w:lineRule="auto"/>
        <w:tabs>
          <w:tab w:leader="none" w:pos="1265"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RELEASE; NO MITIGATION; SET-OFFS</w:t>
      </w:r>
      <w:r>
        <w:rPr>
          <w:rFonts w:ascii="Times New Roman" w:cs="Times New Roman" w:eastAsia="Times New Roman" w:hAnsi="Times New Roman"/>
          <w:sz w:val="21"/>
          <w:szCs w:val="21"/>
          <w:color w:val="auto"/>
        </w:rPr>
        <w:t>. Any and all amounts payable and benefits or additional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provided pursuant to this Agreement and the Severance Plan beyond the Accrued Benefits shall only be payable if the Employee (or his estate, in the case of death) delivers to the Company and does not revoke a general release of claims in favor of the Company substantially in the form of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to the Severance Plan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Release shall be executed and delivered (and no longer subject to revocation, if applicable) within sixty (60) days following termination. For the avoidance of doubt, each Company equity award that vests in accordance with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hereof and the terms and conditions of the applicable award agreement shall remain outstanding and eligible to vest following the date of termination and shall actually vest and become exercisable (if applicable) and non-forfeitable upon the effectiveness of the Release (and any equity awards intended to be exempt from Code Section 409A as a “short-term deferral” shall be paid within the applicable short-term deferral period). In no event shall the Employee be obligated to seek other employment or take any other action by way of mitigation of the amounts payable to the Employee under any of the provisions of this Agreement, nor shall the amount of any payment hereunder be reduced by any compensation earned by the Employee as a result of employment by a subsequent employer or self-employment. Subject to the provisions of </w:t>
      </w:r>
      <w:r>
        <w:rPr>
          <w:rFonts w:ascii="Times New Roman" w:cs="Times New Roman" w:eastAsia="Times New Roman" w:hAnsi="Times New Roman"/>
          <w:sz w:val="21"/>
          <w:szCs w:val="21"/>
          <w:u w:val="single" w:color="auto"/>
          <w:color w:val="auto"/>
        </w:rPr>
        <w:t>Section 20(b)(v)</w:t>
      </w:r>
      <w:r>
        <w:rPr>
          <w:rFonts w:ascii="Times New Roman" w:cs="Times New Roman" w:eastAsia="Times New Roman" w:hAnsi="Times New Roman"/>
          <w:sz w:val="21"/>
          <w:szCs w:val="21"/>
          <w:color w:val="auto"/>
        </w:rPr>
        <w:t xml:space="preserve"> hereof; the Company’s obligations to pay the Employee amounts hereunder shall be subject to set-off, counterclaim or recoupment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7" w:right="339" w:bottom="1440" w:gutter="0" w:footer="0" w:header="0"/>
        </w:sectPr>
      </w:pPr>
    </w:p>
    <w:bookmarkStart w:id="123" w:name="page124"/>
    <w:bookmarkEnd w:id="123"/>
    <w:p>
      <w:pPr>
        <w:jc w:val="both"/>
        <w:spacing w:after="0" w:line="218" w:lineRule="auto"/>
        <w:rPr>
          <w:sz w:val="20"/>
          <w:szCs w:val="20"/>
          <w:color w:val="auto"/>
        </w:rPr>
      </w:pPr>
      <w:r>
        <w:rPr>
          <w:rFonts w:ascii="Times New Roman" w:cs="Times New Roman" w:eastAsia="Times New Roman" w:hAnsi="Times New Roman"/>
          <w:sz w:val="21"/>
          <w:szCs w:val="21"/>
          <w:color w:val="auto"/>
        </w:rPr>
        <w:t>amounts owed by the Employee to the Company or any of its affiliates (to the extent that such set-off, counterclaim or recoupment does not result in a violation of Code Section 409A). Except as otherwise provided in this Section 8, the Severance Plan, the Company’s clawback policy as in effect on the Effective Date, as may be amended or restated, or any other recoupment or clawback policy or program adopted by the Company and applicable to all senior executives of the Company, or as may be otherwise agreed in writing between the parties, the Employee’s incentive compensation (including any equity and/or long-term incentive awards) and severance shall not be subject to forfeiture or recoupment for any other reason (other than forfeiture or lapse in connection with certain terminations of employment and/or the failure to meet the applicable performance goals within the performance period).</w:t>
      </w:r>
    </w:p>
    <w:p>
      <w:pPr>
        <w:spacing w:after="0" w:line="147" w:lineRule="exact"/>
        <w:rPr>
          <w:sz w:val="20"/>
          <w:szCs w:val="20"/>
          <w:color w:val="auto"/>
        </w:rPr>
      </w:pPr>
    </w:p>
    <w:p>
      <w:pPr>
        <w:ind w:left="1280" w:hanging="642"/>
        <w:spacing w:after="0"/>
        <w:tabs>
          <w:tab w:leader="none" w:pos="128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RESTRICTIVE COVENANTS.</w:t>
      </w:r>
    </w:p>
    <w:p>
      <w:pPr>
        <w:spacing w:after="0" w:line="180" w:lineRule="exact"/>
        <w:rPr>
          <w:rFonts w:ascii="Times New Roman" w:cs="Times New Roman" w:eastAsia="Times New Roman" w:hAnsi="Times New Roman"/>
          <w:sz w:val="21"/>
          <w:szCs w:val="21"/>
          <w:b w:val="1"/>
          <w:bCs w:val="1"/>
          <w:color w:val="auto"/>
        </w:rPr>
      </w:pPr>
    </w:p>
    <w:p>
      <w:pPr>
        <w:jc w:val="both"/>
        <w:ind w:firstLine="1270"/>
        <w:spacing w:after="0" w:line="211" w:lineRule="auto"/>
        <w:tabs>
          <w:tab w:leader="none" w:pos="189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During the course of the Employee’s employment with the Company, the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have access to Confidential Information. For purposes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all confidential or proprietary data, information, ideas, concepts, discoveries, trade secrets, inventions (whether or not patentable or reduced to practice), innovations, improvements, know-how, developments, techniques, methods, processes, treatments, specifications, designs,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or any of its affiliates, including, without limitation, any such information relating to or concerning finances, financing sources, acquisitions, acquisition sources, marketing, advertising, transition, promotions, pricing, personnel, operations, customers and tenants (including tenant or mortgagee financial or operational data, or that of any guarantors of such obligations), suppliers, vendors, partners and deal sources and/or competitors. The Employee agrees that the Employee shall not, directly or indirectly, use, make available, sell, disclose or otherwise communicate to any person, other than in the course of the Employee’s assigned duties and for the benefit of the Company, either during the period of the Employee’s employment or at any time thereafter, any Confidential Information or other confidential or proprietary information received from third parties subject to a duty on the Company’s and its subsidiaries’ and affiliates’ part to maintain the confidentiality of such information, and to use such information only for certain limited purposes, in each case, which shall have been obtained by the Employee during the Employee’s employment by the Company (or any predecessor). The foregoing shall not apply to information that (i) was known to the public (or within the Company’s industry) prior to its disclosure to the Employee, (ii) becomes generally known to the public (or within the Company’s industry) subsequent to disclosure to the Employee through no wrongful act of the Employee or any representative of the Employee, or (iii) the Employee is required to disclose by applicable law, regulation or legal process (provided that, except to the extent disclosure by the Company or any of its affiliates is contemplated in connection with a potential Change in Control, the Employee, to the extent legally permitted, provides the Company with prior notice of the contemplated disclosure and cooperates with the Company at its sole expense in seeking a protective order or other appropriate protection of such information). Notwithstanding anything in this Agreement or elsewhere to the contrary, the Employee may disclose documents and information in confidence (x) to an attorney for the purpose of securing legal advice or (y) to people approved in advance and in writing by the Company’s General Counsel, in each case, provided that the Employee instructs any such person not to disclose or use any Confidential Information of the Company for any other purpose, and may use documents and information as reasonably necessary to enforce the Employee’s rights under this Agreement or otherwise. In addition, notwithstanding the generality of the foregoing, nothing in this Agreement is intended to prohibit the Employee from filing a charge with, reporting possible violations to, or participating or cooperating with the Securities and Exchange Commission or any other federal, state or local regulatory body or law enforcement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4" w:right="339" w:bottom="1440" w:gutter="0" w:footer="0" w:header="0"/>
        </w:sectPr>
      </w:pPr>
    </w:p>
    <w:bookmarkStart w:id="124" w:name="page125"/>
    <w:bookmarkEnd w:id="124"/>
    <w:p>
      <w:pPr>
        <w:spacing w:after="0" w:line="243" w:lineRule="auto"/>
        <w:rPr>
          <w:sz w:val="20"/>
          <w:szCs w:val="20"/>
          <w:color w:val="auto"/>
        </w:rPr>
      </w:pPr>
      <w:r>
        <w:rPr>
          <w:rFonts w:ascii="Times New Roman" w:cs="Times New Roman" w:eastAsia="Times New Roman" w:hAnsi="Times New Roman"/>
          <w:sz w:val="21"/>
          <w:szCs w:val="21"/>
          <w:color w:val="auto"/>
        </w:rPr>
        <w:t>including in relation to any whistleblower, anti-discrimination, or anti-retaliation provisions of federal, state or local law or regulation.</w:t>
      </w:r>
    </w:p>
    <w:p>
      <w:pPr>
        <w:spacing w:after="0" w:line="139" w:lineRule="exact"/>
        <w:rPr>
          <w:sz w:val="20"/>
          <w:szCs w:val="20"/>
          <w:color w:val="auto"/>
        </w:rPr>
      </w:pPr>
    </w:p>
    <w:p>
      <w:pPr>
        <w:jc w:val="both"/>
        <w:ind w:firstLine="1270"/>
        <w:spacing w:after="0" w:line="212" w:lineRule="auto"/>
        <w:tabs>
          <w:tab w:leader="none" w:pos="189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NONCOMPETITION</w:t>
      </w:r>
      <w:r>
        <w:rPr>
          <w:rFonts w:ascii="Times New Roman" w:cs="Times New Roman" w:eastAsia="Times New Roman" w:hAnsi="Times New Roman"/>
          <w:sz w:val="21"/>
          <w:szCs w:val="21"/>
          <w:color w:val="auto"/>
        </w:rPr>
        <w:t>. The Employee acknowledges that (i) the Employee shall perform services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unique nature for the Company that are irreplaceable, and that the Employee’s performance of such services to a “</w:t>
      </w:r>
      <w:r>
        <w:rPr>
          <w:rFonts w:ascii="Times New Roman" w:cs="Times New Roman" w:eastAsia="Times New Roman" w:hAnsi="Times New Roman"/>
          <w:sz w:val="21"/>
          <w:szCs w:val="21"/>
          <w:u w:val="single" w:color="auto"/>
          <w:color w:val="auto"/>
        </w:rPr>
        <w:t>Competitive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(as defined below) will result in irreparable harm to the Company, (ii) the Company shall provide the Employee access to Confidential Information which, if disclosed, would unfairly and inappropriately assist in competition against the Company and its affiliates, (iii) in the course of the Employee’s employment by a Competitive Business during the non-compete period set forth herein, the Employee would inevitably use or disclose such Confidential Information, (iv) the Company and its affiliates have substantial relationships with their customers and the Employee shall have access to these customers, (v) the Employee shall be expected to generate goodwill for the Company and its affiliates in the course of the Employee’s employment, (vi) the Company has invested significant time and expense in developing the Confidential Information and goodwill, and (vii) the Company’s operations and the operations upon with the Employee shall work are nationwide in scope. Accordingly, during the Employee’s employment hereunder and for a period of twelve (12) months following a termination of the Employee’s employment for any reason, the Employee agrees that the Employee will not, directly or indirectly, own, manage, operate, control, be employed by (whether as an employee, consultant, independent contractor or otherwise, and whether or not for compensation) or render services to any person, firm, corporation or other entity, in whatever form, engaged in a Competitive Business in the United States. Notwithstanding the foregoing, nothing herein shall prohibit the Employee from being a passive owner of not more than two percent (2%) of the equity securities of a publicly traded corporation engaged in a Competitive Business, so long as the Employee has no active participation in the business of such corporation. For purposes hereof, the term “</w:t>
      </w:r>
      <w:r>
        <w:rPr>
          <w:rFonts w:ascii="Times New Roman" w:cs="Times New Roman" w:eastAsia="Times New Roman" w:hAnsi="Times New Roman"/>
          <w:sz w:val="21"/>
          <w:szCs w:val="21"/>
          <w:u w:val="single" w:color="auto"/>
          <w:color w:val="auto"/>
        </w:rPr>
        <w:t>Competitive Business</w:t>
      </w:r>
      <w:r>
        <w:rPr>
          <w:rFonts w:ascii="Times New Roman" w:cs="Times New Roman" w:eastAsia="Times New Roman" w:hAnsi="Times New Roman"/>
          <w:sz w:val="21"/>
          <w:szCs w:val="21"/>
          <w:color w:val="auto"/>
        </w:rPr>
        <w:t>” shall mean a publicly traded real estate investment trust that is identified by the National Association of Real Estate Investment Trusts as a “mall REIT” or “shopping center REIT” (other than the Company or a surviving or resulting entity upon a Change of Control, or any of their respective affiliates) and the term “</w:t>
      </w:r>
      <w:r>
        <w:rPr>
          <w:rFonts w:ascii="Times New Roman" w:cs="Times New Roman" w:eastAsia="Times New Roman" w:hAnsi="Times New Roman"/>
          <w:sz w:val="21"/>
          <w:szCs w:val="21"/>
          <w:u w:val="single" w:color="auto"/>
          <w:color w:val="auto"/>
        </w:rPr>
        <w:t>Employee’s Termination</w:t>
      </w:r>
      <w:r>
        <w:rPr>
          <w:rFonts w:ascii="Times New Roman" w:cs="Times New Roman" w:eastAsia="Times New Roman" w:hAnsi="Times New Roman"/>
          <w:sz w:val="21"/>
          <w:szCs w:val="21"/>
          <w:color w:val="auto"/>
        </w:rPr>
        <w:t>” shall mean the date the Employee ceases to be employed by the Company for whatever reason, whether voluntarily or involuntarily.</w:t>
      </w:r>
    </w:p>
    <w:p>
      <w:pPr>
        <w:spacing w:after="0" w:line="157" w:lineRule="exact"/>
        <w:rPr>
          <w:rFonts w:ascii="Times New Roman" w:cs="Times New Roman" w:eastAsia="Times New Roman" w:hAnsi="Times New Roman"/>
          <w:sz w:val="21"/>
          <w:szCs w:val="21"/>
          <w:color w:val="auto"/>
        </w:rPr>
      </w:pPr>
    </w:p>
    <w:p>
      <w:pPr>
        <w:jc w:val="both"/>
        <w:ind w:firstLine="1270"/>
        <w:spacing w:after="0" w:line="228" w:lineRule="auto"/>
        <w:tabs>
          <w:tab w:leader="none" w:pos="189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NONSOLICITATION; NONINTERFERENCE</w:t>
      </w:r>
      <w:r>
        <w:rPr>
          <w:rFonts w:ascii="Times New Roman" w:cs="Times New Roman" w:eastAsia="Times New Roman" w:hAnsi="Times New Roman"/>
          <w:sz w:val="21"/>
          <w:szCs w:val="21"/>
          <w:color w:val="auto"/>
        </w:rPr>
        <w:t>. During the Employee’s employment hereunder and for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of twelve (12) months following the Employee’s Termination, the Employee agrees that the Employee shall not, except in the furtherance of the Employee’s duties hereunder, directly or indirectly, individually or on behalf of any other person, firm, corporation or other entity, (i) solicit, aid or induce any person or entity the Employee knows or reasonably should have known to be a customer, tenant or mortgagee (or any person or entity to whom the Company to the Employee’s knowledge (or reasonably should know) has leased property or provided capital, directly or indirectly, within the prior 18 months) of the Company or any of its affiliates to enter into transactions for the purchase, sale, lease, license or financing of mall or shopping center real property then offered by the Company or any of its affiliates from another person, firm, corporation or other entity or assist or aid any other person or entity in identifying or soliciting any such customer, tenant or counterparty, (ii) solicit, aid or induce any employee, representative or agent of the Company or any of its affiliates with whom the Employee, during the term of his employment had contact or became aware of, or about whom the Employee has trade secret or Confidential Information,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or (iii) interfere, or aid or induce any other person or entity in interfering, with the relationship between the Company or any of its affiliates and any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4" w:right="339" w:bottom="1440" w:gutter="0" w:footer="0" w:header="0"/>
        </w:sectPr>
      </w:pPr>
    </w:p>
    <w:bookmarkStart w:id="125" w:name="page126"/>
    <w:bookmarkEnd w:id="125"/>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entity the Employee knows or reasonably should have known to be one of their respective vendors, joint venturers or licensors. An employee, representative or agent shall be deemed covered by this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while so employed or retained and for a period of three (3) months thereafter. Notwithstanding the foregoing, the provisions of this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shall not be violated by general advertising or solicitation not specifically targeted at Company-related persons or entities.</w:t>
      </w:r>
    </w:p>
    <w:p>
      <w:pPr>
        <w:spacing w:after="0" w:line="144" w:lineRule="exact"/>
        <w:rPr>
          <w:sz w:val="20"/>
          <w:szCs w:val="20"/>
          <w:color w:val="auto"/>
        </w:rPr>
      </w:pPr>
    </w:p>
    <w:p>
      <w:pPr>
        <w:jc w:val="both"/>
        <w:ind w:firstLine="1270"/>
        <w:spacing w:after="0" w:line="219" w:lineRule="auto"/>
        <w:tabs>
          <w:tab w:leader="none" w:pos="189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NONDISPARAGEMENT</w:t>
      </w:r>
      <w:r>
        <w:rPr>
          <w:rFonts w:ascii="Times New Roman" w:cs="Times New Roman" w:eastAsia="Times New Roman" w:hAnsi="Times New Roman"/>
          <w:sz w:val="21"/>
          <w:szCs w:val="21"/>
          <w:color w:val="auto"/>
        </w:rPr>
        <w:t>. The Employee agrees not to make negative comments or otherwise disparage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or its officers, directors, employees, shareholders, members, agents or products other than in the good faith performance of the Employee’s duties to the Company. The Company agrees to direct the members of its Board and its executive officers not to make negative comments or otherwise disparage the Employee. The foregoing shall not be violated by truthful statements in response to legal process, required governmental testimony or filings, or administrative or arbitral proceedings (including, without limitation, depositions in connection with such proceedings), or statements reasonably made by one party to refute materially false or materially misleading statements made about such party by the other party hereto.</w:t>
      </w:r>
    </w:p>
    <w:p>
      <w:pPr>
        <w:spacing w:after="0" w:line="143" w:lineRule="exact"/>
        <w:rPr>
          <w:rFonts w:ascii="Times New Roman" w:cs="Times New Roman" w:eastAsia="Times New Roman" w:hAnsi="Times New Roman"/>
          <w:sz w:val="21"/>
          <w:szCs w:val="21"/>
          <w:color w:val="auto"/>
        </w:rPr>
      </w:pPr>
    </w:p>
    <w:p>
      <w:pPr>
        <w:jc w:val="both"/>
        <w:ind w:firstLine="1270"/>
        <w:spacing w:after="0" w:line="212" w:lineRule="auto"/>
        <w:tabs>
          <w:tab w:leader="none" w:pos="189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INVENTIONS</w:t>
      </w:r>
      <w:r>
        <w:rPr>
          <w:rFonts w:ascii="Times New Roman" w:cs="Times New Roman" w:eastAsia="Times New Roman" w:hAnsi="Times New Roman"/>
          <w:sz w:val="21"/>
          <w:szCs w:val="21"/>
          <w:color w:val="auto"/>
        </w:rPr>
        <w:t>. (i) The Employee acknowledges and agrees that all ideas, methods, inventions, discoveries,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improvements, work products, developments, software, know-how, processes, techniques, methods, works of authorship and other work product, whether patentable or unpatentable, (A) that are reduced to practice, created, invented, designed, developed, contributed to, or improved with the use of any resources of the Company or its subsidiaries and/or within the scope of the Employee’s work with the Company or its subsidiaries or that relate to the business, operations or actual or demonstrably anticipated research or development of the Company or its subsidiaries, and that are made or conceived by the Employee, solely or jointly with others, during the period of the Employee’s employment with the Company or its subsidiaries, or (B) suggested by any work that the Employee performs in connection with the Company or its subsidiaries, either while performing the Employee’s duties with the Company or its subsidiaries or on the Employee’s own time, but only insofar as the Inventions are related to the Employee’s work as an employee or other service provider to the Company or its subsidiaries, shall belong exclusively to the Company or its subsidiaries (or a designee), whether or not patent or other applications for intellectual property protection are filed thereon (the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The Employee will keep full and complete written records (the “</w:t>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in the manner prescribed by the Company or its subsidiaries, of all Inventions, and will promptly disclose all Inventions completely and in writing to the Company. The Records shall be the sole and exclusive property of the Company or its subsidiaries, and the Employee will surrender them upon the termination of the Employment Term, or upon request of the Company or any of its subsidiaries. The Employee will assign to the Company or its subsidiaries the Inventions and all patents or other intellectual property rights that may issue thereon in any and all countries, whether during or subsequent to the Employment Term, together with the right to file, in the Employee’s name or in the name of the Company or its subsidiaries (or a designee), applications for patents and equivalent rights (the “</w:t>
      </w:r>
      <w:r>
        <w:rPr>
          <w:rFonts w:ascii="Times New Roman" w:cs="Times New Roman" w:eastAsia="Times New Roman" w:hAnsi="Times New Roman"/>
          <w:sz w:val="21"/>
          <w:szCs w:val="21"/>
          <w:u w:val="single" w:color="auto"/>
          <w:color w:val="auto"/>
        </w:rPr>
        <w:t>Applications</w:t>
      </w:r>
      <w:r>
        <w:rPr>
          <w:rFonts w:ascii="Times New Roman" w:cs="Times New Roman" w:eastAsia="Times New Roman" w:hAnsi="Times New Roman"/>
          <w:sz w:val="21"/>
          <w:szCs w:val="21"/>
          <w:color w:val="auto"/>
        </w:rPr>
        <w:t>”). The Employee will, at any time during and subsequent to the Employment Term, make such applications, sign such papers, take all rightful oaths, and perform all other acts as may be requested from time to time by the Company or its subsidiaries to perfect, record, enforce, protect, patent or register the Company’s (or a subsidiary’s) rights in the Inventions, all without additional compensation to the Employee from the Company or its subsidiaries. The Employee will also execute assignments to the Company or its subsidiaries (or a designee) of the Applications, and give the Company, its subsidiaries and their attorneys all reasonable assistance (including the giving of testimony) to obtain the Inventions for the Company’s (or a subsidiary’s) benefit, all without additional compensation to the Employee from the Company or its subsidiaries, but entirely at the expense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4" w:right="339" w:bottom="1440" w:gutter="0" w:footer="0" w:header="0"/>
        </w:sectPr>
      </w:pPr>
    </w:p>
    <w:bookmarkStart w:id="126" w:name="page127"/>
    <w:bookmarkEnd w:id="126"/>
    <w:p>
      <w:pPr>
        <w:jc w:val="both"/>
        <w:ind w:firstLine="1902"/>
        <w:spacing w:after="0" w:line="212" w:lineRule="auto"/>
        <w:tabs>
          <w:tab w:leader="none" w:pos="2517"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Inventions will be deemed Work for Hire, as such term is defined under the copyright laws of the United States, on behalf of the Company or its subsidiaries, and the Employee agrees that the Company or any of its subsidiaries will be the sole owner of the Inventions, and all underlying rights therein, in all media now known or hereinafter devised, throughout the universe and in perpetuity without any further obligations to the Employee. If the Inventions, or any portion thereof, are deemed not to be Work for Hire, or the rights in such Inventions do not otherwise automatically vest in the Company or any of its subsidiaries, the Employee hereby irrevocably conveys, transfers and assigns to the Company or its subsidiaries, all rights, in all media now known or hereinafter devised, throughout the universe and in perpetuity, in and to the Inventions, including, without limitation, all of the Employee’s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Employee hereby waives any so-called “moral rights” with respect to the Inventions. To the extent that the Employee has any rights in the results and proceeds of the Employee’s service to the Company or its subsidiaries that cannot be assigned in the manner described herein, the Employee agrees to unconditionally waive the enforcement of such rights. The Employee hereby waives any and all currently existing and future monetary rights in and to the Inventions and all patents and other registrations for intellectual property that may issue thereon, including, without limitation, any rights that would otherwise accrue to the Employee’s benefit by virtue of the Employee being an employee of or other service provider to the Company or any of its subsidiaries.</w:t>
      </w:r>
    </w:p>
    <w:p>
      <w:pPr>
        <w:spacing w:after="0" w:line="158" w:lineRule="exact"/>
        <w:rPr>
          <w:rFonts w:ascii="Times New Roman" w:cs="Times New Roman" w:eastAsia="Times New Roman" w:hAnsi="Times New Roman"/>
          <w:sz w:val="21"/>
          <w:szCs w:val="21"/>
          <w:color w:val="auto"/>
        </w:rPr>
      </w:pPr>
    </w:p>
    <w:p>
      <w:pPr>
        <w:jc w:val="both"/>
        <w:ind w:firstLine="1270"/>
        <w:spacing w:after="0" w:line="219" w:lineRule="auto"/>
        <w:tabs>
          <w:tab w:leader="none" w:pos="189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RETURN OF COMPANY PROPERTY</w:t>
      </w:r>
      <w:r>
        <w:rPr>
          <w:rFonts w:ascii="Times New Roman" w:cs="Times New Roman" w:eastAsia="Times New Roman" w:hAnsi="Times New Roman"/>
          <w:sz w:val="21"/>
          <w:szCs w:val="21"/>
          <w:color w:val="auto"/>
        </w:rPr>
        <w:t>. On the date of the Employee’s Termination (or at any time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thereto at the Company’s reasonable request), the Employee shall return all property belonging to the Company or its affiliates (including, but not limited to, any Company-provided laptops, computers, cell phones, wireless electronic mail devices or other equipment, or documents and property belonging to the Company). Notwithstanding anything in this Agreement or anywhere to the contrary, the Employee may retain, and use appropriately: (i) the Employee’s rolodex and similar address books (and electronic equivalent) provided that such items only include contact information and (ii) documents and information relating to the Employee’s personal rights and obligations.</w:t>
      </w:r>
    </w:p>
    <w:p>
      <w:pPr>
        <w:spacing w:after="0" w:line="143" w:lineRule="exact"/>
        <w:rPr>
          <w:rFonts w:ascii="Times New Roman" w:cs="Times New Roman" w:eastAsia="Times New Roman" w:hAnsi="Times New Roman"/>
          <w:sz w:val="21"/>
          <w:szCs w:val="21"/>
          <w:color w:val="auto"/>
        </w:rPr>
      </w:pPr>
    </w:p>
    <w:p>
      <w:pPr>
        <w:jc w:val="both"/>
        <w:ind w:firstLine="1270"/>
        <w:spacing w:after="0" w:line="215" w:lineRule="auto"/>
        <w:tabs>
          <w:tab w:leader="none" w:pos="189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REASONABLENESS OF COVENANTS</w:t>
      </w:r>
      <w:r>
        <w:rPr>
          <w:rFonts w:ascii="Times New Roman" w:cs="Times New Roman" w:eastAsia="Times New Roman" w:hAnsi="Times New Roman"/>
          <w:sz w:val="21"/>
          <w:szCs w:val="21"/>
          <w:color w:val="auto"/>
        </w:rPr>
        <w:t>. In signing this Agreement, the Employee gives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assurance that the Employee has carefully read and considered all of the terms and conditions of this Agreement, including the restraints imposed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The Employee agrees that these restraints are necessary for the reasonable and proper protection of the Company and its affiliates and their Confidential Information and that each and every one of the restraints is reasonable in respect of subject matter, length of time and geographic area, and that these restraints, individually or in the aggregate, will not prevent the Employee from obtaining other suitable employment during the period in which the Employee is bound by the restraints. The Employee acknowledges that each of these covenants has a unique, very substantial and immeasurable value to the Company and its affiliates and that the Employee has sufficient assets and skills to provide a livelihood while such covenants remain in force. The Employee further covenants that the Employee will not challenge the reasonableness or enforceability of any of the covenants set forth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It is also agreed that each of the Company’s affiliates will have the right to seek to enforce all of the Employee’s obligations to that affiliate under this Agreement, including without limitation pursuant to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4" w:right="339" w:bottom="1440" w:gutter="0" w:footer="0" w:header="0"/>
        </w:sectPr>
      </w:pPr>
    </w:p>
    <w:bookmarkStart w:id="127" w:name="page128"/>
    <w:bookmarkEnd w:id="127"/>
    <w:p>
      <w:pPr>
        <w:jc w:val="both"/>
        <w:ind w:firstLine="1270"/>
        <w:spacing w:after="0" w:line="226" w:lineRule="auto"/>
        <w:tabs>
          <w:tab w:leader="none" w:pos="189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REFORMATION</w:t>
      </w:r>
      <w:r>
        <w:rPr>
          <w:rFonts w:ascii="Times New Roman" w:cs="Times New Roman" w:eastAsia="Times New Roman" w:hAnsi="Times New Roman"/>
          <w:sz w:val="21"/>
          <w:szCs w:val="21"/>
          <w:color w:val="auto"/>
        </w:rPr>
        <w:t>. If it is determined by a court of competent jurisdiction in any state that any restriction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is excessive in 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44" w:lineRule="exact"/>
        <w:rPr>
          <w:rFonts w:ascii="Times New Roman" w:cs="Times New Roman" w:eastAsia="Times New Roman" w:hAnsi="Times New Roman"/>
          <w:sz w:val="21"/>
          <w:szCs w:val="21"/>
          <w:color w:val="auto"/>
        </w:rPr>
      </w:pPr>
    </w:p>
    <w:p>
      <w:pPr>
        <w:jc w:val="both"/>
        <w:ind w:firstLine="1270"/>
        <w:spacing w:after="0" w:line="226" w:lineRule="auto"/>
        <w:tabs>
          <w:tab w:leader="none" w:pos="1885"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TOLLING</w:t>
      </w:r>
      <w:r>
        <w:rPr>
          <w:rFonts w:ascii="Times New Roman" w:cs="Times New Roman" w:eastAsia="Times New Roman" w:hAnsi="Times New Roman"/>
          <w:sz w:val="21"/>
          <w:szCs w:val="21"/>
          <w:color w:val="auto"/>
        </w:rPr>
        <w:t>. In the event of any violation of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9(b)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9(c)</w:t>
      </w:r>
      <w:r>
        <w:rPr>
          <w:rFonts w:ascii="Times New Roman" w:cs="Times New Roman" w:eastAsia="Times New Roman" w:hAnsi="Times New Roman"/>
          <w:sz w:val="21"/>
          <w:szCs w:val="21"/>
          <w:color w:val="auto"/>
        </w:rPr>
        <w:t>, the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acknowledges and agrees that the post termination restrictions contained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be extended by a period of time equal to the period of such violation, it being the intention of the parties hereto that the running of the applicable post termination restriction period shall be tolled during any period of such violation.</w:t>
      </w:r>
    </w:p>
    <w:p>
      <w:pPr>
        <w:spacing w:after="0" w:line="144" w:lineRule="exact"/>
        <w:rPr>
          <w:rFonts w:ascii="Times New Roman" w:cs="Times New Roman" w:eastAsia="Times New Roman" w:hAnsi="Times New Roman"/>
          <w:sz w:val="21"/>
          <w:szCs w:val="21"/>
          <w:color w:val="auto"/>
        </w:rPr>
      </w:pPr>
    </w:p>
    <w:p>
      <w:pPr>
        <w:jc w:val="both"/>
        <w:ind w:firstLine="1270"/>
        <w:spacing w:after="0" w:line="232" w:lineRule="auto"/>
        <w:tabs>
          <w:tab w:leader="none" w:pos="1885"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SURVIVAL OF PROVISIONS</w:t>
      </w:r>
      <w:r>
        <w:rPr>
          <w:rFonts w:ascii="Times New Roman" w:cs="Times New Roman" w:eastAsia="Times New Roman" w:hAnsi="Times New Roman"/>
          <w:sz w:val="21"/>
          <w:szCs w:val="21"/>
          <w:color w:val="auto"/>
        </w:rPr>
        <w:t>. The obligations contained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survive the termination or expiration of the Employment Term and the Employee’s employment with the Company and shall be fully enforceable thereafter.</w:t>
      </w:r>
    </w:p>
    <w:p>
      <w:pPr>
        <w:spacing w:after="0" w:line="142" w:lineRule="exact"/>
        <w:rPr>
          <w:rFonts w:ascii="Times New Roman" w:cs="Times New Roman" w:eastAsia="Times New Roman" w:hAnsi="Times New Roman"/>
          <w:sz w:val="21"/>
          <w:szCs w:val="21"/>
          <w:color w:val="auto"/>
        </w:rPr>
      </w:pPr>
    </w:p>
    <w:p>
      <w:pPr>
        <w:jc w:val="both"/>
        <w:ind w:firstLine="638"/>
        <w:spacing w:after="0" w:line="212" w:lineRule="auto"/>
        <w:tabs>
          <w:tab w:leader="none" w:pos="1265"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Upon receipt of reasonable written request from the Company (including outside counsel),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Employee agrees that (a) while employed by the Company and, for one year thereafter, the Employee will respond and provide information with regard to matters in which the Employee has knowledge as a result of the Employee’s employment with the Company, and (b) while employed by the Company and thereafter will provide reasonable assistance to the Company, its affiliates and their respective representatives in defense of all claims that may be made against the Company or its affiliates, and will reasonably assist the Company and its affiliates in the prosecution of all claims that may be made by the Company or its affiliates, to the extent that such claims may relate to the period of the Employee’s employment with the Company and does not unreasonably interfere with the Employee’s subsequent employment or self-employment. The Employee agrees to promptly inform the Company if the Employee becomes aware of any lawsuit involving such claims that may be filed or threatened against the Company or its affiliates. The Employee also agrees to promptly inform the Company (to the extent that the Employee is legally permitted to do so) if the Employee is asked to assist in any investigation of the Company or its affiliates (or their actions), regardless of whether a lawsuit or other proceeding has then been filed against the Company or its affiliates with respect to such investigation, and shall not do so unless legally required. Upon presentation of appropriate documentation, the Company shall pay or reimburse the Employee for all reasonable out-of-pocket travel, duplicating or telephonic expenses incurred by the Employee in complying with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and, after the Employment Term, the Company shall pay the Employee a daily fee, in an amount (rounded down to the nearest whole cent) determined by dividing the Employee’s Base Salary as in effect on the date of termination by 100, for services rendered by the Employee in complying with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provided that no such payment shall be required by the Company under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during any period in which severance is being paid to the Employee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hereof and the Severance Plan, or for any time Employee is or could be required to expend in order to comply with a subpoena, regardless of whether a subpoena is issued (including, without limitation, time spent testifying and any associated waiting and travel time).</w:t>
      </w:r>
    </w:p>
    <w:p>
      <w:pPr>
        <w:spacing w:after="0" w:line="160" w:lineRule="exact"/>
        <w:rPr>
          <w:rFonts w:ascii="Times New Roman" w:cs="Times New Roman" w:eastAsia="Times New Roman" w:hAnsi="Times New Roman"/>
          <w:sz w:val="21"/>
          <w:szCs w:val="21"/>
          <w:b w:val="1"/>
          <w:bCs w:val="1"/>
          <w:color w:val="auto"/>
        </w:rPr>
      </w:pPr>
    </w:p>
    <w:p>
      <w:pPr>
        <w:jc w:val="both"/>
        <w:ind w:firstLine="638"/>
        <w:spacing w:after="0" w:line="220" w:lineRule="auto"/>
        <w:tabs>
          <w:tab w:leader="none" w:pos="1253"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EQUITABLE RELIEF AND OTHER REMEDIES</w:t>
      </w:r>
      <w:r>
        <w:rPr>
          <w:rFonts w:ascii="Times New Roman" w:cs="Times New Roman" w:eastAsia="Times New Roman" w:hAnsi="Times New Roman"/>
          <w:sz w:val="21"/>
          <w:szCs w:val="21"/>
          <w:color w:val="auto"/>
        </w:rPr>
        <w:t>. The Employee acknowledges and agrees that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remedies at law for a breach or threatened breach of any of the provisions of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hereof would be inadequate and, in recognition of this fact, the Employee agrees that, in the event of such a breach or threatened breach, in addition to any remedies at law, the Company shall be entitled to seek equitable relief in the form of specific performance, a temporary restraining order, a temporary or permanent injunction or any other equitable remedy which may then be available, without the necessity of showing actual monetary damages or the posting of a bond or other security. In the event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0" w:right="339" w:bottom="1440" w:gutter="0" w:footer="0" w:header="0"/>
        </w:sectPr>
      </w:pPr>
    </w:p>
    <w:bookmarkStart w:id="128" w:name="page129"/>
    <w:bookmarkEnd w:id="128"/>
    <w:p>
      <w:pPr>
        <w:spacing w:after="0" w:line="221" w:lineRule="auto"/>
        <w:rPr>
          <w:sz w:val="20"/>
          <w:szCs w:val="20"/>
          <w:color w:val="auto"/>
        </w:rPr>
      </w:pPr>
      <w:r>
        <w:rPr>
          <w:rFonts w:ascii="Times New Roman" w:cs="Times New Roman" w:eastAsia="Times New Roman" w:hAnsi="Times New Roman"/>
          <w:sz w:val="21"/>
          <w:szCs w:val="21"/>
          <w:color w:val="auto"/>
        </w:rPr>
        <w:t xml:space="preserve">material violation by the Employee of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hereof, any severance being paid to the Employee pursuant to this Agreement or otherwise shall immediately cease; provided that Employee shall first be provided the opportunity of not less than ten</w:t>
      </w:r>
    </w:p>
    <w:p>
      <w:pPr>
        <w:spacing w:after="0" w:line="1" w:lineRule="exact"/>
        <w:rPr>
          <w:sz w:val="20"/>
          <w:szCs w:val="20"/>
          <w:color w:val="auto"/>
        </w:rPr>
      </w:pPr>
    </w:p>
    <w:p>
      <w:pPr>
        <w:ind w:firstLine="5"/>
        <w:spacing w:after="0" w:line="229" w:lineRule="auto"/>
        <w:tabs>
          <w:tab w:leader="none" w:pos="42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to promptly cure any violation reasonably determined by the Company to be curable following written notice from the Company.</w:t>
      </w:r>
    </w:p>
    <w:p>
      <w:pPr>
        <w:spacing w:after="0" w:line="143" w:lineRule="exact"/>
        <w:rPr>
          <w:rFonts w:ascii="Times New Roman" w:cs="Times New Roman" w:eastAsia="Times New Roman" w:hAnsi="Times New Roman"/>
          <w:sz w:val="21"/>
          <w:szCs w:val="21"/>
          <w:color w:val="auto"/>
        </w:rPr>
      </w:pPr>
    </w:p>
    <w:p>
      <w:pPr>
        <w:jc w:val="both"/>
        <w:ind w:firstLine="638"/>
        <w:spacing w:after="0" w:line="215" w:lineRule="auto"/>
        <w:tabs>
          <w:tab w:leader="none" w:pos="1265" w:val="left"/>
        </w:tabs>
        <w:numPr>
          <w:ilvl w:val="1"/>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ASSIGNMENTS</w:t>
      </w:r>
      <w:r>
        <w:rPr>
          <w:rFonts w:ascii="Times New Roman" w:cs="Times New Roman" w:eastAsia="Times New Roman" w:hAnsi="Times New Roman"/>
          <w:sz w:val="21"/>
          <w:szCs w:val="21"/>
          <w:color w:val="auto"/>
        </w:rPr>
        <w:t>. This Agreement is personal to each of the parties hereto. Except as provided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no party may assign or delegate any rights or obligations hereunder without first obtaining the written consent of the other party hereto. The Company may assign this Agreement to any successor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the Company and any successor to its business and/or assets, which assumes and agrees to perform the duties and obligations of the Company under this Agreement by operation of law or otherwise. In the event of the Employee’s death or a judicial determination of the Employee’s incapacity, references in this Agreement to the Employee shall be deemed, where appropriate, to be references to the Employee’s heir(s), beneficiar(ies), executor(s) or other legal representative(s), the intent of the foregoing being that amounts payable to Employee will be paid to his heir(s), beneficiar(ies), executor(s) or other legal representative(s).</w:t>
      </w:r>
    </w:p>
    <w:p>
      <w:pPr>
        <w:spacing w:after="0" w:line="149" w:lineRule="exact"/>
        <w:rPr>
          <w:rFonts w:ascii="Times New Roman" w:cs="Times New Roman" w:eastAsia="Times New Roman" w:hAnsi="Times New Roman"/>
          <w:sz w:val="21"/>
          <w:szCs w:val="21"/>
          <w:b w:val="1"/>
          <w:bCs w:val="1"/>
          <w:color w:val="auto"/>
        </w:rPr>
      </w:pPr>
    </w:p>
    <w:p>
      <w:pPr>
        <w:jc w:val="both"/>
        <w:ind w:firstLine="638"/>
        <w:spacing w:after="0" w:line="223" w:lineRule="auto"/>
        <w:tabs>
          <w:tab w:leader="none" w:pos="1265" w:val="left"/>
        </w:tabs>
        <w:numPr>
          <w:ilvl w:val="1"/>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For purposes of this Agreement, notices and all other communications provided for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in writing and 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to the Employee: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At the address (or to the email address or facsimile number)</w:t>
      </w:r>
    </w:p>
    <w:p>
      <w:pPr>
        <w:spacing w:after="0" w:line="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shown in the books and records of the Company.</w:t>
      </w: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The Macerich Company.</w:t>
      </w:r>
    </w:p>
    <w:p>
      <w:pPr>
        <w:spacing w:after="0" w:line="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401 Wilshire Boulevard, Suite 700</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Santa Monica, CA 90401</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Attention: Board of Directors</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Email: boardofdirectors@macerich.com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or to such other address as either party may have furnished to the other in writing in accordance herewith, except that notices of change of address shall be effective only upon receipt.</w:t>
      </w:r>
    </w:p>
    <w:p>
      <w:pPr>
        <w:spacing w:after="0" w:line="114" w:lineRule="exact"/>
        <w:rPr>
          <w:sz w:val="20"/>
          <w:szCs w:val="20"/>
          <w:color w:val="auto"/>
        </w:rPr>
      </w:pPr>
    </w:p>
    <w:p>
      <w:pPr>
        <w:jc w:val="both"/>
        <w:ind w:firstLine="638"/>
        <w:spacing w:after="0" w:line="226" w:lineRule="auto"/>
        <w:tabs>
          <w:tab w:leader="none" w:pos="1265"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HEADINGS; INCONSISTENCY</w:t>
      </w:r>
      <w:r>
        <w:rPr>
          <w:rFonts w:ascii="Times New Roman" w:cs="Times New Roman" w:eastAsia="Times New Roman" w:hAnsi="Times New Roman"/>
          <w:sz w:val="21"/>
          <w:szCs w:val="21"/>
          <w:color w:val="auto"/>
        </w:rPr>
        <w:t>. The section headings used in this Agreement are included solely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convenience and shall not 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4" w:right="339" w:bottom="1440" w:gutter="0" w:footer="0" w:header="0"/>
        </w:sectPr>
      </w:pPr>
    </w:p>
    <w:bookmarkStart w:id="129" w:name="page130"/>
    <w:bookmarkEnd w:id="129"/>
    <w:p>
      <w:pPr>
        <w:jc w:val="both"/>
        <w:ind w:firstLine="638"/>
        <w:spacing w:after="0" w:line="223" w:lineRule="auto"/>
        <w:tabs>
          <w:tab w:leader="none" w:pos="1265"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The provisions of this Agreement shall be deemed severable. The invalidity or unenforceability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provision of this 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applicable law.</w:t>
      </w:r>
    </w:p>
    <w:p>
      <w:pPr>
        <w:spacing w:after="0" w:line="142" w:lineRule="exact"/>
        <w:rPr>
          <w:rFonts w:ascii="Times New Roman" w:cs="Times New Roman" w:eastAsia="Times New Roman" w:hAnsi="Times New Roman"/>
          <w:sz w:val="21"/>
          <w:szCs w:val="21"/>
          <w:b w:val="1"/>
          <w:bCs w:val="1"/>
          <w:color w:val="auto"/>
        </w:rPr>
      </w:pPr>
    </w:p>
    <w:p>
      <w:pPr>
        <w:jc w:val="both"/>
        <w:ind w:firstLine="638"/>
        <w:spacing w:after="0" w:line="232" w:lineRule="auto"/>
        <w:tabs>
          <w:tab w:leader="none" w:pos="1265"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in several counterparts, each of which shall be deemed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original but all of which together will constitute one and the same instrument. Signatures delivered by facsimile (including, without limitation, by “pdf’) shall be deemed effective for all purposes.</w:t>
      </w:r>
    </w:p>
    <w:p>
      <w:pPr>
        <w:spacing w:after="0" w:line="142" w:lineRule="exact"/>
        <w:rPr>
          <w:rFonts w:ascii="Times New Roman" w:cs="Times New Roman" w:eastAsia="Times New Roman" w:hAnsi="Times New Roman"/>
          <w:sz w:val="21"/>
          <w:szCs w:val="21"/>
          <w:b w:val="1"/>
          <w:bCs w:val="1"/>
          <w:color w:val="auto"/>
        </w:rPr>
      </w:pPr>
    </w:p>
    <w:p>
      <w:pPr>
        <w:jc w:val="both"/>
        <w:ind w:firstLine="638"/>
        <w:spacing w:after="0" w:line="212" w:lineRule="auto"/>
        <w:tabs>
          <w:tab w:leader="none" w:pos="1265"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JURISDICTION</w:t>
      </w:r>
      <w:r>
        <w:rPr>
          <w:rFonts w:ascii="Times New Roman" w:cs="Times New Roman" w:eastAsia="Times New Roman" w:hAnsi="Times New Roman"/>
          <w:sz w:val="21"/>
          <w:szCs w:val="21"/>
          <w:color w:val="auto"/>
        </w:rPr>
        <w:t>. This Agreement, the rights and obligations of the parties hereto,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claims or disputes relating thereto, shall be governed by and construed in accordance with the laws of the State of Texas, without regard to the choice of law provisions thereof. Each of the parties agrees that any dispute between the parties shall be resolved only in the courts of the State of Texas or the United States District Court for the Northern District of Texas and the appellate courts having jurisdiction of appeals in such courts. In that context, and without limiting the generality of the foregoing, each of the parties hereto irrevocably and unconditionally (a) submits in any proceeding relating to this Agreement or the Employee’s employment by the Company or any affiliate, or for the recognition and enforcement of any judgment in respect thereof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to the exclusive jurisdiction of the courts of the State of Texas, the court of the United States of America for the Northern District of Texas, and appellate courts having jurisdiction of appeals from any of the foregoing, and agrees that all claims in respect of any such Proceeding shall be heard and determined in such Texas State court or, to the extent permitted by law, in such federal court, (b) consents that any such Proceeding may and shall be brought in such courts and waives any objection that the Employee or the Company may now or thereafter have to the venue or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the Employee’s employment by the Company or any affiliate of the Company, or the Employee’s or the Company’s performance under, or the enforcement of, this Agreement, (d) agrees that service of process in any such Proceeding may be effected by mailing a copy of such process by registered or certified mail (or any substantially similar form of mail), postage prepaid, to such party at the Employee’s or the Company’s address as provided in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hereof, and (e) agrees that nothing in this Agreement shall affect the right to effect service of process in any other manner permitted by the laws of the State of Texas. The parties acknowledge and agree that in connection with any dispute hereunder, each party shall pay all of its own costs and expenses, including, without limitation, its own legal fees and expenses. To the extent that any plan subject to the requirements of the Employee Retirement Income Security Act of 1974, as amended (“ERISA”) or Company policy or agreement reserves to the Company the right to make discretionary determinations that are not subject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such provisions shall have no force or effect and the review of such Company determinations shall be subject to a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standard of review.”</w:t>
      </w:r>
    </w:p>
    <w:p>
      <w:pPr>
        <w:spacing w:after="0" w:line="150" w:lineRule="exact"/>
        <w:rPr>
          <w:rFonts w:ascii="Times New Roman" w:cs="Times New Roman" w:eastAsia="Times New Roman" w:hAnsi="Times New Roman"/>
          <w:sz w:val="21"/>
          <w:szCs w:val="21"/>
          <w:b w:val="1"/>
          <w:bCs w:val="1"/>
          <w:color w:val="auto"/>
        </w:rPr>
      </w:pPr>
    </w:p>
    <w:p>
      <w:pPr>
        <w:jc w:val="both"/>
        <w:ind w:firstLine="638"/>
        <w:spacing w:after="0" w:line="220" w:lineRule="auto"/>
        <w:tabs>
          <w:tab w:leader="none" w:pos="1265"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 No provision of this Agreement may be modified, waived or discharged unless such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modification or discharge is agreed to in writing and signed by the Employee and such officer or director of the Company as may be designated by the Board. As of the Effective Date, this Agreement, together with the Severance Plan and all exhibits hereto sets forth the entire agreement of the parties hereto in respect of the subject matter contained herein and supersedes any and all prior agreements or understandings between the Employee and the Company with respect to the subject matter hereof. No agreements or representations, oral or otherwise, express or implied,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0" w:right="339" w:bottom="1440" w:gutter="0" w:footer="0" w:header="0"/>
        </w:sectPr>
      </w:pPr>
    </w:p>
    <w:bookmarkStart w:id="130" w:name="page131"/>
    <w:bookmarkEnd w:id="130"/>
    <w:p>
      <w:pPr>
        <w:jc w:val="both"/>
        <w:spacing w:after="0" w:line="231" w:lineRule="auto"/>
        <w:rPr>
          <w:sz w:val="20"/>
          <w:szCs w:val="20"/>
          <w:color w:val="auto"/>
        </w:rPr>
      </w:pPr>
      <w:r>
        <w:rPr>
          <w:rFonts w:ascii="Times New Roman" w:cs="Times New Roman" w:eastAsia="Times New Roman" w:hAnsi="Times New Roman"/>
          <w:sz w:val="21"/>
          <w:szCs w:val="21"/>
          <w:color w:val="auto"/>
        </w:rPr>
        <w:t>have been made by either party which are not expressly set forth in this Agreement. In the event of any inconsistency between the terms of this Agreement and the terms of any other plan, program, agreement or arrangement of the Company or any of its affiliates, the terms of this Agreement shall, to the extent more favorable to the Employee, control.</w:t>
      </w:r>
    </w:p>
    <w:p>
      <w:pPr>
        <w:spacing w:after="0" w:line="142" w:lineRule="exact"/>
        <w:rPr>
          <w:sz w:val="20"/>
          <w:szCs w:val="20"/>
          <w:color w:val="auto"/>
        </w:rPr>
      </w:pPr>
    </w:p>
    <w:p>
      <w:pPr>
        <w:jc w:val="both"/>
        <w:ind w:firstLine="638"/>
        <w:spacing w:after="0" w:line="220" w:lineRule="auto"/>
        <w:tabs>
          <w:tab w:leader="none" w:pos="1265"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REPRESENTATIONS</w:t>
      </w:r>
      <w:r>
        <w:rPr>
          <w:rFonts w:ascii="Times New Roman" w:cs="Times New Roman" w:eastAsia="Times New Roman" w:hAnsi="Times New Roman"/>
          <w:sz w:val="21"/>
          <w:szCs w:val="21"/>
          <w:color w:val="auto"/>
        </w:rPr>
        <w:t>. The Employee represents and warrants to the Company that (a) the Employee has the legal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 to enter into this Agreement and to perform all of the obligations on the Employee’s part to be performed hereunder in accordance with its terms, and (b) the Employee is not a party to any agreement or understanding, written or oral, and is not subject to any restriction, which, in either case, could prevent the Employee from entering into this Agreement or performing the Employee’s material duties and obligations hereunder. The Company represents and warrants to the Employee that it is duly authorized to enter into this Agreement and to perform all of its obligations in accordance with its terms.</w:t>
      </w:r>
    </w:p>
    <w:p>
      <w:pPr>
        <w:spacing w:after="0" w:line="147" w:lineRule="exact"/>
        <w:rPr>
          <w:rFonts w:ascii="Times New Roman" w:cs="Times New Roman" w:eastAsia="Times New Roman" w:hAnsi="Times New Roman"/>
          <w:sz w:val="21"/>
          <w:szCs w:val="21"/>
          <w:b w:val="1"/>
          <w:bCs w:val="1"/>
          <w:color w:val="auto"/>
        </w:rPr>
      </w:pPr>
    </w:p>
    <w:p>
      <w:pPr>
        <w:ind w:left="1280" w:hanging="642"/>
        <w:spacing w:after="0"/>
        <w:tabs>
          <w:tab w:leader="none" w:pos="128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b w:val="1"/>
          <w:bCs w:val="1"/>
          <w:color w:val="auto"/>
        </w:rPr>
      </w:pPr>
    </w:p>
    <w:p>
      <w:pPr>
        <w:ind w:firstLine="1270"/>
        <w:spacing w:after="0" w:line="247" w:lineRule="auto"/>
        <w:tabs>
          <w:tab w:leader="none" w:pos="1894"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w:t>
      </w:r>
      <w:r>
        <w:rPr>
          <w:rFonts w:ascii="Times New Roman" w:cs="Times New Roman" w:eastAsia="Times New Roman" w:hAnsi="Times New Roman"/>
          <w:sz w:val="21"/>
          <w:szCs w:val="21"/>
          <w:color w:val="auto"/>
        </w:rPr>
        <w:t>. The Company shall withhold from any and all amounts payable under this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such federal, state and local taxes as may be required to be withheld pursuant to any applicable law or regulation.</w:t>
      </w:r>
    </w:p>
    <w:p>
      <w:pPr>
        <w:spacing w:after="0" w:line="135" w:lineRule="exact"/>
        <w:rPr>
          <w:rFonts w:ascii="Times New Roman" w:cs="Times New Roman" w:eastAsia="Times New Roman" w:hAnsi="Times New Roman"/>
          <w:sz w:val="21"/>
          <w:szCs w:val="21"/>
          <w:color w:val="auto"/>
        </w:rPr>
      </w:pPr>
    </w:p>
    <w:p>
      <w:pPr>
        <w:ind w:left="1900" w:hanging="630"/>
        <w:spacing w:after="0"/>
        <w:tabs>
          <w:tab w:leader="none" w:pos="190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 COMPLIANCE</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firstLine="1902"/>
        <w:spacing w:after="0" w:line="215" w:lineRule="auto"/>
        <w:tabs>
          <w:tab w:leader="none" w:pos="2517" w:val="left"/>
        </w:tabs>
        <w:numPr>
          <w:ilvl w:val="2"/>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intent of the parties is that payments and benefits under this Agreement be exempt from or comply with Code Section 409A and, accordingly, to the maximum extent permitted, this Agreement shall be interpreted to be exempt from, or, to the extent not exempt, in compliance therewith. If the Company or Employee in good faith believes that any provision of this Agreement contravenes any regulations or guidance promulgated under Section 409A of the Code or would cause any Person to be subject to additional taxes, interest or penalties under Section 409A of the Code, then the Committee and Executive shall in good faith discuss modifications to this Agreement and attempt to modify such provision in order to comply with Code Section 409A, provided such modification shall be made in good faith and shall, to the maximum extent reasonably possible, maintain the original intent and economic benefit to the Employee and the Company of the applicable provision without violating the provisions of Code Section 409A. In no event shall the Company be liable for any additional tax, interest or penalty that may be imposed on the Employee by Code Section 409A, or damages for failing to comply with Code Section 409A, in each case, for any payments made consistent with the terms of this Agreement.</w:t>
      </w:r>
    </w:p>
    <w:p>
      <w:pPr>
        <w:spacing w:after="0" w:line="149" w:lineRule="exact"/>
        <w:rPr>
          <w:rFonts w:ascii="Times New Roman" w:cs="Times New Roman" w:eastAsia="Times New Roman" w:hAnsi="Times New Roman"/>
          <w:sz w:val="21"/>
          <w:szCs w:val="21"/>
          <w:color w:val="auto"/>
        </w:rPr>
      </w:pPr>
    </w:p>
    <w:p>
      <w:pPr>
        <w:jc w:val="both"/>
        <w:ind w:firstLine="1902"/>
        <w:spacing w:after="0" w:line="214" w:lineRule="auto"/>
        <w:tabs>
          <w:tab w:leader="none" w:pos="2523" w:val="left"/>
        </w:tabs>
        <w:numPr>
          <w:ilvl w:val="2"/>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termination of employment shall not be deemed to have occurred for purposes of any provision of this Agreement providing for the payment of any amount or benefit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Employee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Employee, and (B) the date of the Employee’s death, to the extent required under Code Section 409A. Upon the expiration of the foregoing delay period, all payments and benefits delayed pursuant to this </w:t>
      </w:r>
      <w:r>
        <w:rPr>
          <w:rFonts w:ascii="Times New Roman" w:cs="Times New Roman" w:eastAsia="Times New Roman" w:hAnsi="Times New Roman"/>
          <w:sz w:val="21"/>
          <w:szCs w:val="21"/>
          <w:u w:val="single" w:color="auto"/>
          <w:color w:val="auto"/>
        </w:rPr>
        <w:t>Section 20(b)(ii)</w:t>
      </w:r>
      <w:r>
        <w:rPr>
          <w:rFonts w:ascii="Times New Roman" w:cs="Times New Roman" w:eastAsia="Times New Roman" w:hAnsi="Times New Roman"/>
          <w:sz w:val="21"/>
          <w:szCs w:val="21"/>
          <w:color w:val="auto"/>
        </w:rPr>
        <w:t xml:space="preserve"> (whether they would have otherwise been payable in a single sum or in installments in the absence of such delay) shall be paid or reimbursed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4" w:right="339" w:bottom="1440" w:gutter="0" w:footer="0" w:header="0"/>
        </w:sectPr>
      </w:pPr>
    </w:p>
    <w:bookmarkStart w:id="131" w:name="page132"/>
    <w:bookmarkEnd w:id="131"/>
    <w:p>
      <w:pPr>
        <w:jc w:val="both"/>
        <w:spacing w:after="0" w:line="225" w:lineRule="auto"/>
        <w:rPr>
          <w:sz w:val="20"/>
          <w:szCs w:val="20"/>
          <w:color w:val="auto"/>
        </w:rPr>
      </w:pPr>
      <w:r>
        <w:rPr>
          <w:rFonts w:ascii="Times New Roman" w:cs="Times New Roman" w:eastAsia="Times New Roman" w:hAnsi="Times New Roman"/>
          <w:sz w:val="21"/>
          <w:szCs w:val="21"/>
          <w:color w:val="auto"/>
        </w:rPr>
        <w:t>in a lump sum, and all remaining payments and benefits due under this Agreement shall be paid or provided in accordance with the normal payment dates specified for them herein. The Employee shall have no duties following any termination of Employee’s employment hereunder that are inconsistent with the Employee having had a “separation from service” on or before his employment hereunder.</w:t>
      </w:r>
    </w:p>
    <w:p>
      <w:pPr>
        <w:spacing w:after="0" w:line="148" w:lineRule="exact"/>
        <w:rPr>
          <w:sz w:val="20"/>
          <w:szCs w:val="20"/>
          <w:color w:val="auto"/>
        </w:rPr>
      </w:pPr>
    </w:p>
    <w:p>
      <w:pPr>
        <w:jc w:val="both"/>
        <w:ind w:firstLine="1902"/>
        <w:spacing w:after="0" w:line="220" w:lineRule="auto"/>
        <w:tabs>
          <w:tab w:leader="none" w:pos="252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reimbursements or other in-kind benefits for the Employee constitute “nonqualified deferred compensation” for purposes of Code Section 409A, (A) all expenses or other reimbursements hereunder shall be made on or prior to the last day of the taxable year following the taxable year in which such expenses were incurred by the Employee, (B) any right to reimbursement or in-kind benefits shall not be subject to liquidation or exchange for another benefit, and (C) no such reimbursement, expenses eligible for reimbursement, or in- kind benefits provided in any taxable year shall in any way affect the expenses eligible for reimbursement, or in-kind benefits to be provided, in any other taxable year.</w:t>
      </w:r>
    </w:p>
    <w:p>
      <w:pPr>
        <w:spacing w:after="0" w:line="147" w:lineRule="exact"/>
        <w:rPr>
          <w:rFonts w:ascii="Times New Roman" w:cs="Times New Roman" w:eastAsia="Times New Roman" w:hAnsi="Times New Roman"/>
          <w:sz w:val="21"/>
          <w:szCs w:val="21"/>
          <w:color w:val="auto"/>
        </w:rPr>
      </w:pPr>
    </w:p>
    <w:p>
      <w:pPr>
        <w:jc w:val="both"/>
        <w:ind w:firstLine="1902"/>
        <w:spacing w:after="0" w:line="220" w:lineRule="auto"/>
        <w:tabs>
          <w:tab w:leader="none" w:pos="251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Code Section 409A, the Employee’s right to receive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and if such payment constitutes “nonqualified deferred compensation” for purposes of Code Section 409A and such payment period spans two calendar years, such payment shall be made in the second calendar year.</w:t>
      </w:r>
    </w:p>
    <w:p>
      <w:pPr>
        <w:spacing w:after="0" w:line="147" w:lineRule="exact"/>
        <w:rPr>
          <w:rFonts w:ascii="Times New Roman" w:cs="Times New Roman" w:eastAsia="Times New Roman" w:hAnsi="Times New Roman"/>
          <w:sz w:val="21"/>
          <w:szCs w:val="21"/>
          <w:color w:val="auto"/>
        </w:rPr>
      </w:pPr>
    </w:p>
    <w:p>
      <w:pPr>
        <w:jc w:val="both"/>
        <w:ind w:firstLine="1902"/>
        <w:spacing w:after="0" w:line="231" w:lineRule="auto"/>
        <w:tabs>
          <w:tab w:leader="none" w:pos="252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in no event shall any payment or benefit under this Agreement that constitutes “nonqualified deferred compensation” for purposes of Code Section 409A be subject to offset by any other amount unless otherwise permitted by Code Section 409A.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ectPr>
          <w:pgSz w:w="11900" w:h="16838" w:orient="portrait"/>
          <w:cols w:equalWidth="0" w:num="1">
            <w:col w:w="9499"/>
          </w:cols>
          <w:pgMar w:left="960" w:top="1386" w:right="1440" w:bottom="1440" w:gutter="0" w:footer="0" w:header="0"/>
        </w:sect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THE MACERICH COMPANY</w:t>
      </w:r>
    </w:p>
    <w:p>
      <w:pPr>
        <w:spacing w:after="0" w:line="200" w:lineRule="exact"/>
        <w:rPr>
          <w:sz w:val="20"/>
          <w:szCs w:val="20"/>
          <w:color w:val="auto"/>
        </w:rPr>
      </w:pPr>
    </w:p>
    <w:p>
      <w:pPr>
        <w:spacing w:after="0" w:line="35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By: /s/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-10160</wp:posOffset>
            </wp:positionV>
            <wp:extent cx="1130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1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Name: Ann C. Menard</w:t>
      </w:r>
    </w:p>
    <w:p>
      <w:pPr>
        <w:spacing w:after="0" w:line="22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Title: Senior Executive Vice President, Chief Legal Officer and Secretary</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22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/s/ Daniel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-10160</wp:posOffset>
            </wp:positionV>
            <wp:extent cx="14090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1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Daniel Swanstrom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9499"/>
          </w:cols>
          <w:pgMar w:left="960" w:top="1386" w:right="1440" w:bottom="1440" w:gutter="0" w:footer="0" w:header="0"/>
          <w:type w:val="continuous"/>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December 31,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Scott Kingsmore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Via Docusign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Re: </w:t>
      </w:r>
      <w:r>
        <w:rPr>
          <w:rFonts w:ascii="Times New Roman" w:cs="Times New Roman" w:eastAsia="Times New Roman" w:hAnsi="Times New Roman"/>
          <w:sz w:val="21"/>
          <w:szCs w:val="21"/>
          <w:u w:val="single" w:color="auto"/>
          <w:color w:val="auto"/>
        </w:rPr>
        <w:t>Consulting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Scott:</w:t>
      </w:r>
    </w:p>
    <w:p>
      <w:pPr>
        <w:spacing w:after="0" w:line="216"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21"/>
          <w:szCs w:val="21"/>
          <w:color w:val="auto"/>
        </w:rPr>
        <w:t>The Macerich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values your many contributions to the Company. The Company also appreciates your willingness to provide continued support and expertise to the Company for a limited period after your employment ends. This letter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sets forth the arrangements with respect to your anticipated service to the Company as a transitional advisor to the Company. The Company’s obligations under this Agreement are conditioned on your continued employment with the Company to December 31, 2024.</w:t>
      </w:r>
    </w:p>
    <w:p>
      <w:pPr>
        <w:spacing w:after="0" w:line="162" w:lineRule="exact"/>
        <w:rPr>
          <w:sz w:val="20"/>
          <w:szCs w:val="20"/>
          <w:color w:val="auto"/>
        </w:rPr>
      </w:pPr>
    </w:p>
    <w:p>
      <w:pPr>
        <w:jc w:val="both"/>
        <w:ind w:left="640" w:hanging="635"/>
        <w:spacing w:after="0" w:line="274" w:lineRule="auto"/>
        <w:tabs>
          <w:tab w:leader="none" w:pos="6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Consulting Relationship</w:t>
      </w:r>
      <w:r>
        <w:rPr>
          <w:rFonts w:ascii="Times New Roman" w:cs="Times New Roman" w:eastAsia="Times New Roman" w:hAnsi="Times New Roman"/>
          <w:sz w:val="21"/>
          <w:szCs w:val="21"/>
          <w:color w:val="auto"/>
        </w:rPr>
        <w:t>. Commencing on January 1, 2025 and ending on March 31, 2025 unless earlier terminated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Section 1.f below (the “</w:t>
      </w:r>
      <w:r>
        <w:rPr>
          <w:rFonts w:ascii="Times New Roman" w:cs="Times New Roman" w:eastAsia="Times New Roman" w:hAnsi="Times New Roman"/>
          <w:sz w:val="21"/>
          <w:szCs w:val="21"/>
          <w:b w:val="1"/>
          <w:bCs w:val="1"/>
          <w:i w:val="1"/>
          <w:iCs w:val="1"/>
          <w:color w:val="auto"/>
        </w:rPr>
        <w:t>Consulting Term</w:t>
      </w:r>
      <w:r>
        <w:rPr>
          <w:rFonts w:ascii="Times New Roman" w:cs="Times New Roman" w:eastAsia="Times New Roman" w:hAnsi="Times New Roman"/>
          <w:sz w:val="21"/>
          <w:szCs w:val="21"/>
          <w:color w:val="auto"/>
        </w:rPr>
        <w:t>”), you shall provide the Services (as defined below) to the Company as a transition consultant. During the Consulting Term:</w:t>
      </w:r>
    </w:p>
    <w:p>
      <w:pPr>
        <w:spacing w:after="0" w:line="151" w:lineRule="exact"/>
        <w:rPr>
          <w:rFonts w:ascii="Times New Roman" w:cs="Times New Roman" w:eastAsia="Times New Roman" w:hAnsi="Times New Roman"/>
          <w:sz w:val="21"/>
          <w:szCs w:val="21"/>
          <w:color w:val="auto"/>
        </w:rPr>
      </w:pPr>
    </w:p>
    <w:p>
      <w:pPr>
        <w:jc w:val="both"/>
        <w:ind w:left="1280" w:hanging="642"/>
        <w:spacing w:after="0" w:line="265" w:lineRule="auto"/>
        <w:tabs>
          <w:tab w:leader="none" w:pos="126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serve as a transitional advisor to the Company as requested by the Company’s Chief Executive Officer (the “</w:t>
      </w:r>
      <w:r>
        <w:rPr>
          <w:rFonts w:ascii="Times New Roman" w:cs="Times New Roman" w:eastAsia="Times New Roman" w:hAnsi="Times New Roman"/>
          <w:sz w:val="21"/>
          <w:szCs w:val="21"/>
          <w:b w:val="1"/>
          <w:bCs w:val="1"/>
          <w:i w:val="1"/>
          <w:iCs w:val="1"/>
          <w:color w:val="auto"/>
        </w:rPr>
        <w:t>CEO</w:t>
      </w:r>
      <w:r>
        <w:rPr>
          <w:rFonts w:ascii="Times New Roman" w:cs="Times New Roman" w:eastAsia="Times New Roman" w:hAnsi="Times New Roman"/>
          <w:sz w:val="21"/>
          <w:szCs w:val="21"/>
          <w:color w:val="auto"/>
        </w:rPr>
        <w:t>”) or its Chief Financial Officer (the “</w:t>
      </w:r>
      <w:r>
        <w:rPr>
          <w:rFonts w:ascii="Times New Roman" w:cs="Times New Roman" w:eastAsia="Times New Roman" w:hAnsi="Times New Roman"/>
          <w:sz w:val="21"/>
          <w:szCs w:val="21"/>
          <w:b w:val="1"/>
          <w:bCs w:val="1"/>
          <w:i w:val="1"/>
          <w:iCs w:val="1"/>
          <w:color w:val="auto"/>
        </w:rPr>
        <w:t>CFO</w:t>
      </w:r>
      <w:r>
        <w:rPr>
          <w:rFonts w:ascii="Times New Roman" w:cs="Times New Roman" w:eastAsia="Times New Roman" w:hAnsi="Times New Roman"/>
          <w:sz w:val="21"/>
          <w:szCs w:val="21"/>
          <w:color w:val="auto"/>
        </w:rPr>
        <w:t>”). You shall provide transitional services and other services that are appropriate for an individual of your knowledge, experience and past status as CFO (the “</w:t>
      </w:r>
      <w:r>
        <w:rPr>
          <w:rFonts w:ascii="Times New Roman" w:cs="Times New Roman" w:eastAsia="Times New Roman" w:hAnsi="Times New Roman"/>
          <w:sz w:val="21"/>
          <w:szCs w:val="21"/>
          <w:b w:val="1"/>
          <w:bCs w:val="1"/>
          <w:i w:val="1"/>
          <w:iCs w:val="1"/>
          <w:color w:val="auto"/>
        </w:rPr>
        <w:t>Services</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left="1280" w:hanging="642"/>
        <w:spacing w:after="0" w:line="264" w:lineRule="auto"/>
        <w:tabs>
          <w:tab w:leader="none" w:pos="128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agree to be available to perform requested Services for up to thirty (30) hours per week during normal business hours, at times and on schedules as reasonably requested by the Company. You may commence other non-competitive employment during the Consulting Term;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employment does not unreasonably interfere with your availability to perform and your performance of your obligations pursuant to this Agreement.</w:t>
      </w:r>
    </w:p>
    <w:p>
      <w:pPr>
        <w:spacing w:after="0" w:line="158" w:lineRule="exact"/>
        <w:rPr>
          <w:rFonts w:ascii="Times New Roman" w:cs="Times New Roman" w:eastAsia="Times New Roman" w:hAnsi="Times New Roman"/>
          <w:sz w:val="21"/>
          <w:szCs w:val="21"/>
          <w:color w:val="auto"/>
        </w:rPr>
      </w:pPr>
    </w:p>
    <w:p>
      <w:pPr>
        <w:jc w:val="both"/>
        <w:ind w:left="1280" w:hanging="642"/>
        <w:spacing w:after="0" w:line="259" w:lineRule="auto"/>
        <w:tabs>
          <w:tab w:leader="none" w:pos="126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receive an advisory fee in respect of such Services of $100,000 per month (the “</w:t>
      </w:r>
      <w:r>
        <w:rPr>
          <w:rFonts w:ascii="Times New Roman" w:cs="Times New Roman" w:eastAsia="Times New Roman" w:hAnsi="Times New Roman"/>
          <w:sz w:val="21"/>
          <w:szCs w:val="21"/>
          <w:b w:val="1"/>
          <w:bCs w:val="1"/>
          <w:i w:val="1"/>
          <w:iCs w:val="1"/>
          <w:color w:val="auto"/>
        </w:rPr>
        <w:t>Consulting Fee</w:t>
      </w:r>
      <w:r>
        <w:rPr>
          <w:rFonts w:ascii="Times New Roman" w:cs="Times New Roman" w:eastAsia="Times New Roman" w:hAnsi="Times New Roman"/>
          <w:sz w:val="21"/>
          <w:szCs w:val="21"/>
          <w:color w:val="auto"/>
        </w:rPr>
        <w:t>”), which will be paid for three (3) consecutive months, in each case no later than thirty (30) days after the end of the month of Services. Such payments shall be reported to you as income on a Form 1099-MISC. In addition, the Company will provide you with reasonable travel expense reimbursement based on the Company’s policies as they may be in effect from time to time to the extent the Services requested by the CEO or the CFO necessitate travel and are approved by the CEO or the CFO.</w:t>
      </w:r>
    </w:p>
    <w:p>
      <w:pPr>
        <w:spacing w:after="0" w:line="166" w:lineRule="exact"/>
        <w:rPr>
          <w:rFonts w:ascii="Times New Roman" w:cs="Times New Roman" w:eastAsia="Times New Roman" w:hAnsi="Times New Roman"/>
          <w:sz w:val="21"/>
          <w:szCs w:val="21"/>
          <w:color w:val="auto"/>
        </w:rPr>
      </w:pPr>
    </w:p>
    <w:p>
      <w:pPr>
        <w:jc w:val="both"/>
        <w:ind w:left="1280" w:hanging="642"/>
        <w:spacing w:after="0" w:line="272" w:lineRule="auto"/>
        <w:tabs>
          <w:tab w:leader="none" w:pos="128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Consulting Term, you will not be entitled to participate in any vacation, medical, retirement or other health and welfare or fringe benefit plan of the Company, and you will not make any claim of entitlement under any such employee plan,</w:t>
      </w:r>
    </w:p>
    <w:p>
      <w:pPr>
        <w:sectPr>
          <w:pgSz w:w="11900" w:h="16838" w:orient="portrait"/>
          <w:cols w:equalWidth="0" w:num="1">
            <w:col w:w="11240"/>
          </w:cols>
          <w:pgMar w:left="320" w:top="114" w:right="339" w:bottom="1440" w:gutter="0" w:footer="0" w:header="0"/>
        </w:sectPr>
      </w:pPr>
    </w:p>
    <w:bookmarkStart w:id="134" w:name="page135"/>
    <w:bookmarkEnd w:id="134"/>
    <w:p>
      <w:pPr>
        <w:spacing w:after="0" w:line="200" w:lineRule="exact"/>
        <w:rPr>
          <w:sz w:val="20"/>
          <w:szCs w:val="20"/>
          <w:color w:val="auto"/>
        </w:rPr>
      </w:pPr>
    </w:p>
    <w:p>
      <w:pPr>
        <w:spacing w:after="0" w:line="328" w:lineRule="exact"/>
        <w:rPr>
          <w:sz w:val="20"/>
          <w:szCs w:val="20"/>
          <w:color w:val="auto"/>
        </w:rPr>
      </w:pPr>
    </w:p>
    <w:p>
      <w:pPr>
        <w:jc w:val="both"/>
        <w:ind w:left="642"/>
        <w:spacing w:after="0" w:line="265" w:lineRule="auto"/>
        <w:rPr>
          <w:sz w:val="20"/>
          <w:szCs w:val="20"/>
          <w:color w:val="auto"/>
        </w:rPr>
      </w:pPr>
      <w:r>
        <w:rPr>
          <w:rFonts w:ascii="Times New Roman" w:cs="Times New Roman" w:eastAsia="Times New Roman" w:hAnsi="Times New Roman"/>
          <w:sz w:val="21"/>
          <w:szCs w:val="21"/>
          <w:color w:val="auto"/>
        </w:rPr>
        <w:t xml:space="preserve">program or benefit on the basis of the Services;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this does not supersede or otherwise affect your rights to continued medical, dental or group health following December 31, 2024 pursuant to COBRA or your right to payments and benefits pursuant to the Severance Pay Plan based on the termination of your employment effective on December 31, 2024 and your qualification for such payments and benefits.</w:t>
      </w:r>
    </w:p>
    <w:p>
      <w:pPr>
        <w:spacing w:after="0" w:line="161" w:lineRule="exact"/>
        <w:rPr>
          <w:sz w:val="20"/>
          <w:szCs w:val="20"/>
          <w:color w:val="auto"/>
        </w:rPr>
      </w:pPr>
    </w:p>
    <w:p>
      <w:pPr>
        <w:jc w:val="both"/>
        <w:ind w:left="642" w:hanging="642"/>
        <w:spacing w:after="0" w:line="254" w:lineRule="auto"/>
        <w:tabs>
          <w:tab w:leader="none" w:pos="63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Consulting Term, you will operate at all times as an independent contractor of the Company and nothing herein shall be construed as creating an employer/employee relationship. You will not be authorized to act as an agent of the Company or its affiliates or make commitments on behalf of the Company or its affiliates or bind the Company or its affiliates to any obligation whatsoever during the Consulting Term, except as authorized in advance in writing by the CEO or the CFO. As an independent contractor, you will be responsible for the payment of all taxes required to be paid in respect of the Consulting Fee, as the Company cannot withhold or remit tax payments for its independent contractors. While you may receive instructions or directions concerning the objects and goals of the Services, the Company has no right to control the manner in which you perform the Services. You may perform the Services from any location;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doing so is consistent with the needs for particular Services. It is the expectation of the Company that the Services will generally be performed remotely. Subject to any performance deadlines and needs to interact with others in the performance of the Services, you may determine your hours of performing the Services and time to devote to performance of the Services. You shall not be obligated to provide regular status reports concerning progress in the performance of the Services;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shall not be construed to prevent the Company from directing you to perform Services that may involve the preparation of written reports.</w:t>
      </w:r>
    </w:p>
    <w:p>
      <w:pPr>
        <w:spacing w:after="0" w:line="176" w:lineRule="exact"/>
        <w:rPr>
          <w:rFonts w:ascii="Times New Roman" w:cs="Times New Roman" w:eastAsia="Times New Roman" w:hAnsi="Times New Roman"/>
          <w:sz w:val="21"/>
          <w:szCs w:val="21"/>
          <w:color w:val="auto"/>
        </w:rPr>
      </w:pPr>
    </w:p>
    <w:p>
      <w:pPr>
        <w:jc w:val="both"/>
        <w:ind w:left="642" w:hanging="642"/>
        <w:spacing w:after="0" w:line="254" w:lineRule="auto"/>
        <w:tabs>
          <w:tab w:leader="none" w:pos="63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end the Consulting Term before March 31, 2025 upon written notice to you for any of the following reasons: (i) you fail to use your best efforts to perform requested Services; (ii) you engage in willful misconduct; (iii) you display gross negligence in connection with the performance of the Services; (iv) you breach any of the provisions of this Agreement; or (v) you either fail to execute the Release Agreement pursuant to the Company’s Amended and Restated Severance Pay Plan that was proposed to you (the “</w:t>
      </w:r>
      <w:r>
        <w:rPr>
          <w:rFonts w:ascii="Times New Roman" w:cs="Times New Roman" w:eastAsia="Times New Roman" w:hAnsi="Times New Roman"/>
          <w:sz w:val="21"/>
          <w:szCs w:val="21"/>
          <w:b w:val="1"/>
          <w:bCs w:val="1"/>
          <w:i w:val="1"/>
          <w:iCs w:val="1"/>
          <w:color w:val="auto"/>
        </w:rPr>
        <w:t>Release Agreement</w:t>
      </w:r>
      <w:r>
        <w:rPr>
          <w:rFonts w:ascii="Times New Roman" w:cs="Times New Roman" w:eastAsia="Times New Roman" w:hAnsi="Times New Roman"/>
          <w:sz w:val="21"/>
          <w:szCs w:val="21"/>
          <w:color w:val="auto"/>
        </w:rPr>
        <w:t>”) within 45 days after the proposal of the Release Agreement or you revoke the Release Agreement after signing. In the event of the termination of the Consulting Term on anything other than the last day of a calendar month, the Company shall pay you a prorated portion of the monthly Consulting Fee with respect to such month. You may terminate the Consulting Term upon written notice if the Company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62"/>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02"/>
          </w:cols>
          <w:pgMar w:left="958" w:top="1440" w:right="339" w:bottom="1440" w:gutter="0" w:footer="0" w:header="0"/>
        </w:sectPr>
      </w:pPr>
    </w:p>
    <w:bookmarkStart w:id="135" w:name="page136"/>
    <w:bookmarkEnd w:id="135"/>
    <w:p>
      <w:pPr>
        <w:spacing w:after="0" w:line="200" w:lineRule="exact"/>
        <w:rPr>
          <w:sz w:val="20"/>
          <w:szCs w:val="20"/>
          <w:color w:val="auto"/>
        </w:rPr>
      </w:pPr>
    </w:p>
    <w:p>
      <w:pPr>
        <w:spacing w:after="0" w:line="326" w:lineRule="exact"/>
        <w:rPr>
          <w:sz w:val="20"/>
          <w:szCs w:val="20"/>
          <w:color w:val="auto"/>
        </w:rPr>
      </w:pPr>
    </w:p>
    <w:p>
      <w:pPr>
        <w:ind w:left="640" w:hanging="635"/>
        <w:spacing w:after="0"/>
        <w:tabs>
          <w:tab w:leader="none" w:pos="6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 and Insurance.</w:t>
      </w:r>
    </w:p>
    <w:p>
      <w:pPr>
        <w:spacing w:after="0" w:line="236" w:lineRule="exact"/>
        <w:rPr>
          <w:rFonts w:ascii="Times New Roman" w:cs="Times New Roman" w:eastAsia="Times New Roman" w:hAnsi="Times New Roman"/>
          <w:sz w:val="21"/>
          <w:szCs w:val="21"/>
          <w:color w:val="auto"/>
        </w:rPr>
      </w:pPr>
    </w:p>
    <w:p>
      <w:pPr>
        <w:jc w:val="both"/>
        <w:ind w:left="1280" w:hanging="642"/>
        <w:spacing w:after="0" w:line="257" w:lineRule="auto"/>
        <w:tabs>
          <w:tab w:leader="none" w:pos="126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continue to be covered under any errors and omissions or other liability insurance covering officers and directors (“</w:t>
      </w:r>
      <w:r>
        <w:rPr>
          <w:rFonts w:ascii="Times New Roman" w:cs="Times New Roman" w:eastAsia="Times New Roman" w:hAnsi="Times New Roman"/>
          <w:sz w:val="21"/>
          <w:szCs w:val="21"/>
          <w:b w:val="1"/>
          <w:bCs w:val="1"/>
          <w:i w:val="1"/>
          <w:iCs w:val="1"/>
          <w:color w:val="auto"/>
        </w:rPr>
        <w:t>Insurance</w:t>
      </w:r>
      <w:r>
        <w:rPr>
          <w:rFonts w:ascii="Times New Roman" w:cs="Times New Roman" w:eastAsia="Times New Roman" w:hAnsi="Times New Roman"/>
          <w:sz w:val="21"/>
          <w:szCs w:val="21"/>
          <w:color w:val="auto"/>
        </w:rPr>
        <w:t xml:space="preserve">”) for the periods that you are or were serving as an employee, officer, director or consultant of or to the Company or any subsidiary or affiliate in accordance with the terms of such Insurance, which the Company shall continue to maintain for the benefit of you in respect of your period of service with the Company at least through all applicable statute of limitations periods;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not be prohibited from amending or replacing the Insurance and the Company shall provide you with notice of any material modification of the Insurance.</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jc w:val="both"/>
        <w:ind w:left="1280" w:hanging="642"/>
        <w:spacing w:after="0" w:line="264" w:lineRule="auto"/>
        <w:tabs>
          <w:tab w:leader="none" w:pos="128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of this Agreement to the contrary, the terms of any indemnification agreement or provision applicable to you by reason of the fact that you are or were serving as an employee, officer, director or consultant of or to the Company or any subsidiary or affiliate thereof shall survive your termination of employment and any expiration of the Consulting Term.</w:t>
      </w:r>
    </w:p>
    <w:p>
      <w:pPr>
        <w:spacing w:after="0" w:line="158"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Covenants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1280" w:hanging="642"/>
        <w:spacing w:after="0" w:line="265" w:lineRule="auto"/>
        <w:tabs>
          <w:tab w:leader="none" w:pos="126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subject to Section 4 below, at all times during the Consulting Term, you shall refrain from making disparaging, false or defamatory statements regarding the Company, any member of its Board of Directors or any officer of the Company in any public medium or forum.</w:t>
      </w:r>
    </w:p>
    <w:p>
      <w:pPr>
        <w:spacing w:after="0" w:line="161" w:lineRule="exact"/>
        <w:rPr>
          <w:rFonts w:ascii="Times New Roman" w:cs="Times New Roman" w:eastAsia="Times New Roman" w:hAnsi="Times New Roman"/>
          <w:sz w:val="21"/>
          <w:szCs w:val="21"/>
          <w:color w:val="auto"/>
        </w:rPr>
      </w:pPr>
    </w:p>
    <w:p>
      <w:pPr>
        <w:ind w:left="1280" w:right="40" w:hanging="642"/>
        <w:spacing w:after="0" w:line="256" w:lineRule="auto"/>
        <w:tabs>
          <w:tab w:leader="none" w:pos="128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during the Consulting Term, you shall not, directly or indirectly, in any manner, solicit, entice or attempt to persuade any Employee or Independent Contractor of the Company to cease employment or engagement with the Company. “</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Independent Contractor</w:t>
      </w:r>
      <w:r>
        <w:rPr>
          <w:rFonts w:ascii="Times New Roman" w:cs="Times New Roman" w:eastAsia="Times New Roman" w:hAnsi="Times New Roman"/>
          <w:sz w:val="21"/>
          <w:szCs w:val="21"/>
          <w:color w:val="auto"/>
        </w:rPr>
        <w:t>” shall mean a Company employee or independent contractor, as applicable, with whom you had material contact during your employment with the Company or about whom you learned confidential information during the last five (5) years of your employment with the Company. You acknowledge that it would be a violation of this Section 2.b if, other than for the benefit of the Company during your employment or engagement with the Company, you were to provide information about an Employee or Independent Contractor to an individual who you know or should know will use such information for the purpose of soliciting such Employee or Independent Contractor.</w:t>
      </w:r>
    </w:p>
    <w:p>
      <w:pPr>
        <w:spacing w:after="0" w:line="171" w:lineRule="exact"/>
        <w:rPr>
          <w:rFonts w:ascii="Times New Roman" w:cs="Times New Roman" w:eastAsia="Times New Roman" w:hAnsi="Times New Roman"/>
          <w:sz w:val="21"/>
          <w:szCs w:val="21"/>
          <w:color w:val="auto"/>
        </w:rPr>
      </w:pPr>
    </w:p>
    <w:p>
      <w:pPr>
        <w:jc w:val="both"/>
        <w:ind w:left="1280" w:hanging="642"/>
        <w:spacing w:after="0" w:line="260" w:lineRule="auto"/>
        <w:tabs>
          <w:tab w:leader="none" w:pos="126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and agree that you have been employed in a position of confidence and trust and will continue to serve in a position of confidence and trust throughout the Consulting Term. You have had and you will continue to have access to information concerning the Company that the Company treats as confidential and the disclosure of which could negatively affect the Company’s interests (“</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Confidential Information includes, without limitation, confidential financial information; business forecasts; and business plans, prospects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330" w:lineRule="exact"/>
        <w:rPr>
          <w:sz w:val="20"/>
          <w:szCs w:val="20"/>
          <w:color w:val="auto"/>
        </w:rPr>
      </w:pPr>
    </w:p>
    <w:p>
      <w:pPr>
        <w:ind w:left="1280"/>
        <w:spacing w:after="0" w:line="295" w:lineRule="auto"/>
        <w:rPr>
          <w:sz w:val="20"/>
          <w:szCs w:val="20"/>
          <w:color w:val="auto"/>
        </w:rPr>
      </w:pPr>
      <w:r>
        <w:rPr>
          <w:rFonts w:ascii="Times New Roman" w:cs="Times New Roman" w:eastAsia="Times New Roman" w:hAnsi="Times New Roman"/>
          <w:sz w:val="21"/>
          <w:szCs w:val="21"/>
          <w:color w:val="auto"/>
        </w:rPr>
        <w:t>opportunities. You agree that, subject to Section 4 below, you shall not use or disclose any Confidential Information at any time except as reasonably necessary to perform the Services without the written consent of the Company.</w:t>
      </w:r>
    </w:p>
    <w:p>
      <w:pPr>
        <w:spacing w:after="0" w:line="131" w:lineRule="exact"/>
        <w:rPr>
          <w:sz w:val="20"/>
          <w:szCs w:val="20"/>
          <w:color w:val="auto"/>
        </w:rPr>
      </w:pPr>
    </w:p>
    <w:p>
      <w:pPr>
        <w:jc w:val="both"/>
        <w:ind w:left="1280" w:hanging="642"/>
        <w:spacing w:after="0" w:line="258" w:lineRule="auto"/>
        <w:tabs>
          <w:tab w:leader="none" w:pos="1280" w:val="left"/>
        </w:tabs>
        <w:numPr>
          <w:ilvl w:val="1"/>
          <w:numId w:val="7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No later than the end of the Consulting Term, and sooner if so requested by the Company, you shall deliver to the Company all Company documents, equipment and other property in your possession, custody or control, including all files, letters, notes, memoranda, reports, records and other material, including without limitation documents containing Confidential Information, and other materials relating to your services for the Company as an employee and you shall not take or keep in your possession any of the foregoing or any copies thereof, including without limitation any such documents in electronic form.</w:t>
      </w:r>
    </w:p>
    <w:p>
      <w:pPr>
        <w:spacing w:after="0" w:line="168" w:lineRule="exact"/>
        <w:rPr>
          <w:rFonts w:ascii="Times New Roman" w:cs="Times New Roman" w:eastAsia="Times New Roman" w:hAnsi="Times New Roman"/>
          <w:sz w:val="21"/>
          <w:szCs w:val="21"/>
          <w:i w:val="1"/>
          <w:iCs w:val="1"/>
          <w:color w:val="auto"/>
        </w:rPr>
      </w:pPr>
    </w:p>
    <w:p>
      <w:pPr>
        <w:ind w:left="1280" w:hanging="642"/>
        <w:spacing w:after="0" w:line="282" w:lineRule="auto"/>
        <w:tabs>
          <w:tab w:leader="none" w:pos="1268"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throughout the Consulting Term, you shall refrain from performing any services for any business that is then engaged in competition with the Company.</w:t>
      </w:r>
    </w:p>
    <w:p>
      <w:pPr>
        <w:spacing w:after="0" w:line="143" w:lineRule="exact"/>
        <w:rPr>
          <w:rFonts w:ascii="Times New Roman" w:cs="Times New Roman" w:eastAsia="Times New Roman" w:hAnsi="Times New Roman"/>
          <w:sz w:val="21"/>
          <w:szCs w:val="21"/>
          <w:color w:val="auto"/>
        </w:rPr>
      </w:pPr>
    </w:p>
    <w:p>
      <w:pPr>
        <w:jc w:val="both"/>
        <w:ind w:left="1280" w:hanging="642"/>
        <w:spacing w:after="0" w:line="256" w:lineRule="auto"/>
        <w:tabs>
          <w:tab w:leader="none" w:pos="1271"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at the request of the Company, you will execute, and deliver such further documents and instruments as may be reasonably necessary to carry out and effectuate fully the transition provided for herein including, without limitation, assigning your ownership interest in the one (1) Series A Preferred Share of Macerich PPR Corp (“</w:t>
      </w:r>
      <w:r>
        <w:rPr>
          <w:rFonts w:ascii="Times New Roman" w:cs="Times New Roman" w:eastAsia="Times New Roman" w:hAnsi="Times New Roman"/>
          <w:sz w:val="21"/>
          <w:szCs w:val="21"/>
          <w:b w:val="1"/>
          <w:bCs w:val="1"/>
          <w:i w:val="1"/>
          <w:iCs w:val="1"/>
          <w:color w:val="auto"/>
        </w:rPr>
        <w:t>PPR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Corp</w:t>
      </w:r>
      <w:r>
        <w:rPr>
          <w:rFonts w:ascii="Times New Roman" w:cs="Times New Roman" w:eastAsia="Times New Roman" w:hAnsi="Times New Roman"/>
          <w:sz w:val="21"/>
          <w:szCs w:val="21"/>
          <w:color w:val="auto"/>
        </w:rPr>
        <w:t>”) that you currently hold to a designated officer in exchange for the Redemption Price that would otherwise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paid if PPR Corp were to redeem such interest pursuant to Section 5, Exhibit A of the Articles of the Amendment and Restatement of Macerich PPR Corp or redeeming the same in connection with the potential liquidation of Pacific Premier Retail Trust.</w:t>
      </w:r>
    </w:p>
    <w:p>
      <w:pPr>
        <w:spacing w:after="0" w:line="182" w:lineRule="exact"/>
        <w:rPr>
          <w:rFonts w:ascii="Times New Roman" w:cs="Times New Roman" w:eastAsia="Times New Roman" w:hAnsi="Times New Roman"/>
          <w:sz w:val="21"/>
          <w:szCs w:val="21"/>
          <w:color w:val="auto"/>
        </w:rPr>
      </w:pPr>
    </w:p>
    <w:p>
      <w:pPr>
        <w:jc w:val="both"/>
        <w:ind w:left="640" w:hanging="635"/>
        <w:spacing w:after="0" w:line="254" w:lineRule="auto"/>
        <w:tabs>
          <w:tab w:leader="none" w:pos="6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Protected Activities</w:t>
      </w:r>
      <w:r>
        <w:rPr>
          <w:rFonts w:ascii="Times New Roman" w:cs="Times New Roman" w:eastAsia="Times New Roman" w:hAnsi="Times New Roman"/>
          <w:sz w:val="21"/>
          <w:szCs w:val="21"/>
          <w:color w:val="auto"/>
        </w:rPr>
        <w:t>. Nothing contained in this Agreement limits your ability, with or without notice to the Company, to: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file a charge or complaint with any governmental authority, including without limitation, the Equal Employment Opportunity Commission,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or the National Labor Relations Board (a “</w:t>
      </w:r>
      <w:r>
        <w:rPr>
          <w:rFonts w:ascii="Times New Roman" w:cs="Times New Roman" w:eastAsia="Times New Roman" w:hAnsi="Times New Roman"/>
          <w:sz w:val="21"/>
          <w:szCs w:val="21"/>
          <w:b w:val="1"/>
          <w:bCs w:val="1"/>
          <w:i w:val="1"/>
          <w:iCs w:val="1"/>
          <w:color w:val="auto"/>
        </w:rPr>
        <w:t>Government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Agency</w:t>
      </w:r>
      <w:r>
        <w:rPr>
          <w:rFonts w:ascii="Times New Roman" w:cs="Times New Roman" w:eastAsia="Times New Roman" w:hAnsi="Times New Roman"/>
          <w:sz w:val="21"/>
          <w:szCs w:val="21"/>
          <w:color w:val="auto"/>
        </w:rPr>
        <w:t>”); (ii) communicate with any Government Agency or otherwise participate in any investigation or proceeding that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may be conducted by any Government Agency, including by providing non-privileged documents or information; (iii) discuss or disclose information about unlawful acts in the workplace, such as harassment or discrimination or any other conduct that you have reason to believe is unlawful; or (iv)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w:t>
      </w:r>
    </w:p>
    <w:p>
      <w:pPr>
        <w:spacing w:after="0" w:line="184" w:lineRule="exact"/>
        <w:rPr>
          <w:rFonts w:ascii="Times New Roman" w:cs="Times New Roman" w:eastAsia="Times New Roman" w:hAnsi="Times New Roman"/>
          <w:sz w:val="21"/>
          <w:szCs w:val="21"/>
          <w:color w:val="auto"/>
        </w:rPr>
      </w:pPr>
    </w:p>
    <w:p>
      <w:pPr>
        <w:jc w:val="both"/>
        <w:ind w:left="640" w:hanging="635"/>
        <w:spacing w:after="0" w:line="261" w:lineRule="auto"/>
        <w:tabs>
          <w:tab w:leader="none" w:pos="6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 This Agreement shall be binding upon you and upon your respective heirs, administrators, representatives,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executors, successors and assigns, and shall ensure to the benefit of you and your heirs, administrators, representatives, executors, successors and assigns. No waiver of any breach of any term or provision of this Agreement shall be construed to be, nor shall be, a waiver of any other breach of this Agreement. No waiver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p>
    <w:p>
      <w:pPr>
        <w:spacing w:after="0" w:line="33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1"/>
          <w:szCs w:val="21"/>
          <w:color w:val="auto"/>
        </w:rPr>
        <w:t>shall be binding unless in writing and signed by the party waiving the breach. This Agreement may not be amended or modified other than by a written agreement executed by you and an authorized officer of the Company. Should any provision of this Agreement be declared or determined by any court or by an arbitrator to be illegal or invalid, the validity of the remaining parts, terms and provisions shall not be affected thereby and the illegal or invalid part, term or provision shall not be deemed to be a part of this Agreement. This Agreement may be executed in separate counterparts. When both counterparts are signed, they shall be treated together as one and the same document.</w:t>
      </w:r>
    </w:p>
    <w:p>
      <w:pPr>
        <w:spacing w:after="0" w:line="177" w:lineRule="exact"/>
        <w:rPr>
          <w:sz w:val="20"/>
          <w:szCs w:val="20"/>
          <w:color w:val="auto"/>
        </w:rPr>
      </w:pPr>
    </w:p>
    <w:p>
      <w:pPr>
        <w:jc w:val="both"/>
        <w:ind w:left="640" w:hanging="635"/>
        <w:spacing w:after="0" w:line="261" w:lineRule="auto"/>
        <w:tabs>
          <w:tab w:leader="none" w:pos="6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Complete Agreement</w:t>
      </w:r>
      <w:r>
        <w:rPr>
          <w:rFonts w:ascii="Times New Roman" w:cs="Times New Roman" w:eastAsia="Times New Roman" w:hAnsi="Times New Roman"/>
          <w:sz w:val="21"/>
          <w:szCs w:val="21"/>
          <w:color w:val="auto"/>
        </w:rPr>
        <w:t>. You acknowledge that this Agreement constitutes the entire and exclusive agreement between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you with respect to the subject matter of a post-employment consulting arrangement with the Company and that no other promise, inducement or agreement has been made to you in connection with the subject matter of this Agreement.</w:t>
      </w:r>
    </w:p>
    <w:p>
      <w:pPr>
        <w:spacing w:after="0" w:line="161" w:lineRule="exact"/>
        <w:rPr>
          <w:rFonts w:ascii="Times New Roman" w:cs="Times New Roman" w:eastAsia="Times New Roman" w:hAnsi="Times New Roman"/>
          <w:sz w:val="21"/>
          <w:szCs w:val="21"/>
          <w:color w:val="auto"/>
        </w:rPr>
      </w:pPr>
    </w:p>
    <w:p>
      <w:pPr>
        <w:jc w:val="both"/>
        <w:ind w:left="640" w:hanging="635"/>
        <w:spacing w:after="0" w:line="253" w:lineRule="auto"/>
        <w:tabs>
          <w:tab w:leader="none" w:pos="6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 Dispute Resolution</w:t>
      </w:r>
      <w:r>
        <w:rPr>
          <w:rFonts w:ascii="Times New Roman" w:cs="Times New Roman" w:eastAsia="Times New Roman" w:hAnsi="Times New Roman"/>
          <w:sz w:val="21"/>
          <w:szCs w:val="21"/>
          <w:color w:val="auto"/>
        </w:rPr>
        <w:t>. You agree that this Agreement shall be construed and enforced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internal laws of the State of California, without regard to conflicts of law principles. If a dispute or claim shall arise with respect to (i) any of the terms or provisions of this Agreement, or the performance of any party hereunder, or (ii) matters relating to this Agreement, then the aggrieved party may, by notice as herein provided and given no later than the expiration of the statute of limitation that California state law prescribes for such a claim, require that the dispute be submitted under the Judicial Arbitration and Mediation Services, Inc. (“</w:t>
      </w:r>
      <w:r>
        <w:rPr>
          <w:rFonts w:ascii="Times New Roman" w:cs="Times New Roman" w:eastAsia="Times New Roman" w:hAnsi="Times New Roman"/>
          <w:sz w:val="21"/>
          <w:szCs w:val="21"/>
          <w:b w:val="1"/>
          <w:bCs w:val="1"/>
          <w:i w:val="1"/>
          <w:iCs w:val="1"/>
          <w:color w:val="auto"/>
        </w:rPr>
        <w:t>JAMS</w:t>
      </w:r>
      <w:r>
        <w:rPr>
          <w:rFonts w:ascii="Times New Roman" w:cs="Times New Roman" w:eastAsia="Times New Roman" w:hAnsi="Times New Roman"/>
          <w:sz w:val="21"/>
          <w:szCs w:val="21"/>
          <w:color w:val="auto"/>
        </w:rPr>
        <w:t>”). The JAMS Employment Arbitration Rules &amp; Procedures in effect at the time of the claim or dispute is arbitrated will govern the procedure for the arbitration proceedings between the parties, except as expressly set forth herein. The written decision of the arbitrator shall be binding and conclusive on the parties. Judgment may be entered in any court having jurisdiction and the parties consent to the jurisdiction of the Superior Court of Los Angeles County, California for this purpose. Any arbitration undertaken pursuant to the terms of this Agreement shall occur in Los Angeles County, California unless the parties mutually agree in writing to some other venue. The Company will pay the arbitrator’s fees and costs and the JAMS administrative fees and costs, except for your filing fee. Each party will pay for its own costs and attorneys’ fees, if any, but if any party prevails on a claim which affords the prevailing party attorneys’ fees, the Arbitrator may award reasonable fees to the prevailing party as provided by law. The Arbitrator will resolve any disputes regarding costs/fees associated with arbitration. This arbitration obligation shall not apply to any action by the Company or its affiliates for injunctive or other equitable relief.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3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Sincerely,</w:t>
      </w: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THE MACERICH COMPANY</w:t>
      </w:r>
    </w:p>
    <w:p>
      <w:pPr>
        <w:spacing w:after="0" w:line="2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By: /s/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-10160</wp:posOffset>
            </wp:positionV>
            <wp:extent cx="1130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Ann C. Menard</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Senior Executive Vice President,</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AND AGREED: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Scott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330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Scott Kingsmore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 Kingsmore Consulting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39"/>
          </w:cols>
          <w:pgMar w:left="320" w:top="1440" w:right="1440" w:bottom="1440" w:gutter="0" w:footer="0" w:header="0"/>
        </w:sectPr>
      </w:pPr>
    </w:p>
    <w:bookmarkStart w:id="139" w:name="page140"/>
    <w:bookmarkEnd w:id="139"/>
    <w:p>
      <w:pPr>
        <w:ind w:left="634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19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THE MACERICH COMPANY</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b w:val="1"/>
          <w:bCs w:val="1"/>
          <w:color w:val="auto"/>
        </w:rPr>
        <w:t>February 13, 2025</w:t>
      </w:r>
    </w:p>
    <w:p>
      <w:pPr>
        <w:spacing w:after="0" w:line="263"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The Macerich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the following policy and procedures for securities trading by Company directors and employees (this “</w:t>
      </w:r>
      <w:r>
        <w:rPr>
          <w:rFonts w:ascii="Times New Roman" w:cs="Times New Roman" w:eastAsia="Times New Roman" w:hAnsi="Times New Roman"/>
          <w:sz w:val="21"/>
          <w:szCs w:val="21"/>
          <w:u w:val="single" w:color="auto"/>
          <w:color w:val="auto"/>
        </w:rPr>
        <w:t>Insider Trading Policy</w:t>
      </w:r>
      <w:r>
        <w:rPr>
          <w:rFonts w:ascii="Times New Roman" w:cs="Times New Roman" w:eastAsia="Times New Roman" w:hAnsi="Times New Roman"/>
          <w:sz w:val="21"/>
          <w:szCs w:val="21"/>
          <w:color w:val="auto"/>
        </w:rPr>
        <w:t>”). This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w:t>
      </w:r>
    </w:p>
    <w:p>
      <w:pPr>
        <w:spacing w:after="0" w:line="271"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Our Board of Directors has approved this Insider Trading Policy, and we have appointed our Chief Legal Officer as the Compliance Officer (with their designees, the “</w:t>
      </w:r>
      <w:r>
        <w:rPr>
          <w:rFonts w:ascii="Times New Roman" w:cs="Times New Roman" w:eastAsia="Times New Roman" w:hAnsi="Times New Roman"/>
          <w:sz w:val="21"/>
          <w:szCs w:val="21"/>
          <w:u w:val="single" w:color="auto"/>
          <w:color w:val="auto"/>
        </w:rPr>
        <w:t>Compliance Officer</w:t>
      </w:r>
      <w:r>
        <w:rPr>
          <w:rFonts w:ascii="Times New Roman" w:cs="Times New Roman" w:eastAsia="Times New Roman" w:hAnsi="Times New Roman"/>
          <w:sz w:val="21"/>
          <w:szCs w:val="21"/>
          <w:color w:val="auto"/>
        </w:rPr>
        <w:t>”) to administer this Insider Trading Policy and oversee insider trading matters in general. See Part I, Section E below for further information and procedures for contacting the Compliance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 OVERVIEW</w:t>
      </w:r>
    </w:p>
    <w:p>
      <w:pPr>
        <w:spacing w:after="0" w:line="3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A.</w:t>
      </w:r>
      <w:r>
        <w:rPr>
          <w:sz w:val="20"/>
          <w:szCs w:val="20"/>
          <w:color w:val="auto"/>
        </w:rPr>
        <w:tab/>
      </w:r>
      <w:r>
        <w:rPr>
          <w:rFonts w:ascii="Times New Roman" w:cs="Times New Roman" w:eastAsia="Times New Roman" w:hAnsi="Times New Roman"/>
          <w:sz w:val="20"/>
          <w:szCs w:val="20"/>
          <w:b w:val="1"/>
          <w:bCs w:val="1"/>
          <w:color w:val="auto"/>
        </w:rPr>
        <w:t>Who Must Comply?</w:t>
      </w:r>
    </w:p>
    <w:p>
      <w:pPr>
        <w:spacing w:after="0" w:line="224"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This Insider Trading Policy applies to all of our employees and members of our Board of Directors, including anyone employed by or acting as a director or officer of any of the Company’s subsidiaries, as well as any other individuals whom the Compliance Officer may designate as Insiders (defined below) because they may have access to material nonpublic information about the Company.</w:t>
      </w:r>
    </w:p>
    <w:p>
      <w:pPr>
        <w:spacing w:after="0" w:line="163"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In addition, all of our directors and executive officers (as defined by Section 16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employees who may be designated from time to time, must comply with the Trading Procedures included in Part II of this Insider Trading Policy (the “</w:t>
      </w:r>
      <w:r>
        <w:rPr>
          <w:rFonts w:ascii="Times New Roman" w:cs="Times New Roman" w:eastAsia="Times New Roman" w:hAnsi="Times New Roman"/>
          <w:sz w:val="21"/>
          <w:szCs w:val="21"/>
          <w:u w:val="single" w:color="auto"/>
          <w:color w:val="auto"/>
        </w:rPr>
        <w:t>Trading Procedures</w:t>
      </w:r>
      <w:r>
        <w:rPr>
          <w:rFonts w:ascii="Times New Roman" w:cs="Times New Roman" w:eastAsia="Times New Roman" w:hAnsi="Times New Roman"/>
          <w:sz w:val="21"/>
          <w:szCs w:val="21"/>
          <w:color w:val="auto"/>
        </w:rPr>
        <w:t>”). We will refer to these individuals who must comply with the Trading Procedures in Part II of this Insider Trading Policy as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1"/>
          <w:szCs w:val="21"/>
          <w:color w:val="auto"/>
        </w:rPr>
        <w:t>.” The Trading Procedures provide rules for when Insiders can trade in our securities and explain the process for mandatory pre-clearance of proposed trades. You will be notified by the Compliance Officer or another executive officer if you are considered to be an Insider who is required to comply with the Trading Procedures. A list of Insiders will be maintained by the Compliance Officer.</w:t>
      </w:r>
    </w:p>
    <w:p>
      <w:pPr>
        <w:spacing w:after="0" w:line="173"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This Insider Trading Policy and, for Insiders, the Trading Procedures also apply to the following persons (“</w:t>
      </w:r>
      <w:r>
        <w:rPr>
          <w:rFonts w:ascii="Times New Roman" w:cs="Times New Roman" w:eastAsia="Times New Roman" w:hAnsi="Times New Roman"/>
          <w:sz w:val="21"/>
          <w:szCs w:val="21"/>
          <w:u w:val="single" w:color="auto"/>
          <w:color w:val="auto"/>
        </w:rPr>
        <w:t>Affiliated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Persons</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ind w:left="1280" w:hanging="642"/>
        <w:spacing w:after="0" w:line="282" w:lineRule="auto"/>
        <w:tabs>
          <w:tab w:leader="none" w:pos="127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w:t>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(“Family Members” are (a) your spouse or domestic partner, your children, stepchildren, grandchildren, parents, stepparents, grandparents, siblings</w:t>
      </w:r>
    </w:p>
    <w:p>
      <w:pPr>
        <w:sectPr>
          <w:pgSz w:w="11900" w:h="16838" w:orient="portrait"/>
          <w:cols w:equalWidth="0" w:num="1">
            <w:col w:w="11240"/>
          </w:cols>
          <w:pgMar w:left="320" w:top="1386" w:right="339" w:bottom="1440" w:gutter="0" w:footer="0" w:header="0"/>
        </w:sectPr>
      </w:pPr>
    </w:p>
    <w:bookmarkStart w:id="140" w:name="page141"/>
    <w:bookmarkEnd w:id="140"/>
    <w:p>
      <w:pPr>
        <w:jc w:val="both"/>
        <w:ind w:left="1280"/>
        <w:spacing w:after="0" w:line="260" w:lineRule="auto"/>
        <w:rPr>
          <w:sz w:val="20"/>
          <w:szCs w:val="20"/>
          <w:color w:val="auto"/>
        </w:rPr>
      </w:pPr>
      <w:r>
        <w:rPr>
          <w:rFonts w:ascii="Times New Roman" w:cs="Times New Roman" w:eastAsia="Times New Roman" w:hAnsi="Times New Roman"/>
          <w:sz w:val="21"/>
          <w:szCs w:val="21"/>
          <w:color w:val="auto"/>
        </w:rPr>
        <w:t>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(e.g., materially contributing to financial support would include paying an individual’s rent but not just a phone bill);</w:t>
      </w:r>
    </w:p>
    <w:p>
      <w:pPr>
        <w:spacing w:after="0" w:line="167" w:lineRule="exact"/>
        <w:rPr>
          <w:sz w:val="20"/>
          <w:szCs w:val="20"/>
          <w:color w:val="auto"/>
        </w:rPr>
      </w:pPr>
    </w:p>
    <w:p>
      <w:pPr>
        <w:ind w:left="1280" w:hanging="642"/>
        <w:spacing w:after="0" w:line="282" w:lineRule="auto"/>
        <w:tabs>
          <w:tab w:leader="none" w:pos="127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43"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persons who execute trades on your behalf; and</w:t>
      </w:r>
    </w:p>
    <w:p>
      <w:pPr>
        <w:spacing w:after="0" w:line="232" w:lineRule="exact"/>
        <w:rPr>
          <w:rFonts w:ascii="Times New Roman" w:cs="Times New Roman" w:eastAsia="Times New Roman" w:hAnsi="Times New Roman"/>
          <w:sz w:val="21"/>
          <w:szCs w:val="21"/>
          <w:color w:val="auto"/>
        </w:rPr>
      </w:pPr>
    </w:p>
    <w:p>
      <w:pPr>
        <w:jc w:val="both"/>
        <w:ind w:left="1280" w:hanging="642"/>
        <w:spacing w:after="0" w:line="253" w:lineRule="auto"/>
        <w:tabs>
          <w:tab w:leader="none" w:pos="127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90"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You are responsible for ensuring compliance with this Insider Trading Policy, including the Trading Procedures contained herein, by all of your Affiliated Persons.</w:t>
      </w:r>
    </w:p>
    <w:p>
      <w:pPr>
        <w:spacing w:after="0" w:line="2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1"/>
          <w:szCs w:val="21"/>
          <w:b w:val="1"/>
          <w:bCs w:val="1"/>
          <w:color w:val="auto"/>
        </w:rPr>
        <w:t>B.</w:t>
      </w:r>
      <w:r>
        <w:rPr>
          <w:sz w:val="20"/>
          <w:szCs w:val="20"/>
          <w:color w:val="auto"/>
        </w:rPr>
        <w:tab/>
      </w:r>
      <w:r>
        <w:rPr>
          <w:rFonts w:ascii="Times New Roman" w:cs="Times New Roman" w:eastAsia="Times New Roman" w:hAnsi="Times New Roman"/>
          <w:sz w:val="20"/>
          <w:szCs w:val="20"/>
          <w:b w:val="1"/>
          <w:bCs w:val="1"/>
          <w:color w:val="auto"/>
        </w:rPr>
        <w:t>What is Prohibited by this Insider Trading Policy?</w:t>
      </w:r>
    </w:p>
    <w:p>
      <w:pPr>
        <w:spacing w:after="0" w:line="224"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You and your Affiliated Persons are prohibited from engaging in insider trading and from trading in securities in violation of this Insider Trading Policy. “</w:t>
      </w:r>
      <w:r>
        <w:rPr>
          <w:rFonts w:ascii="Times New Roman" w:cs="Times New Roman" w:eastAsia="Times New Roman" w:hAnsi="Times New Roman"/>
          <w:sz w:val="21"/>
          <w:szCs w:val="21"/>
          <w:u w:val="single" w:color="auto"/>
          <w:color w:val="auto"/>
        </w:rPr>
        <w:t>Insider trading</w:t>
      </w:r>
      <w:r>
        <w:rPr>
          <w:rFonts w:ascii="Times New Roman" w:cs="Times New Roman" w:eastAsia="Times New Roman" w:hAnsi="Times New Roman"/>
          <w:sz w:val="21"/>
          <w:szCs w:val="21"/>
          <w:color w:val="auto"/>
        </w:rPr>
        <w:t>” is (1) trading (buying or selling) the securities of a company whether for your account or for the account of another, while in the possession of material nonpublic information (see definition and discussion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b w:val="1"/>
          <w:bCs w:val="1"/>
          <w:i w:val="1"/>
          <w:iCs w:val="1"/>
          <w:color w:val="auto"/>
        </w:rPr>
        <w:t>Prohibition on Trading in Company Securities</w:t>
      </w:r>
    </w:p>
    <w:p>
      <w:pPr>
        <w:spacing w:after="0" w:line="22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When you are in possession of material nonpublic information about the Company, whether positive or negative, you are prohibited from trading (whether for your account or for the account of another) in the Company’s securities, which includes common stock, options to purchase common stock, any other type of securities that the Company may issue (such as preferred stock, convertible debentures, warrants and exchange-traded options), any units of The Macerich Partnership, L.P. and any derivative securities that provide the economic equivalent of ownership of any the Company’s securities or an opportunity, direct or indirect, to profit from any change in the value of the Company’s securities, except for trades made pursuant to plans approved by the Compliance Officer in accordance with the Company’s Rule 10b5-1 Trading Plan Policy that are intended to comply with Rule 10b5-1 under the Exchange Act.</w:t>
      </w:r>
    </w:p>
    <w:p>
      <w:pPr>
        <w:spacing w:after="0" w:line="171"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do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apply to: (1) an exercise of an employee stock option when payment of the exercise price is made in cash; (2) the redemption of redeemable securities with the Company or its subsidiaries for shares of the Company’s stock; or (3)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68"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w:t>
      </w:r>
      <w:r>
        <w:rPr>
          <w:rFonts w:ascii="Times New Roman" w:cs="Times New Roman" w:eastAsia="Times New Roman" w:hAnsi="Times New Roman"/>
          <w:sz w:val="21"/>
          <w:szCs w:val="21"/>
          <w:u w:val="single" w:color="auto"/>
          <w:color w:val="auto"/>
        </w:rPr>
        <w:t>do</w:t>
      </w:r>
      <w:r>
        <w:rPr>
          <w:rFonts w:ascii="Times New Roman" w:cs="Times New Roman" w:eastAsia="Times New Roman" w:hAnsi="Times New Roman"/>
          <w:sz w:val="21"/>
          <w:szCs w:val="21"/>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Prohibition on Tipping</w:t>
      </w:r>
    </w:p>
    <w:p>
      <w:pPr>
        <w:spacing w:after="0" w:line="237"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21"/>
          <w:szCs w:val="21"/>
          <w:u w:val="single" w:color="auto"/>
          <w:color w:val="auto"/>
        </w:rPr>
        <w:t>tipping</w:t>
      </w:r>
      <w:r>
        <w:rPr>
          <w:rFonts w:ascii="Times New Roman" w:cs="Times New Roman" w:eastAsia="Times New Roman" w:hAnsi="Times New Roman"/>
          <w:sz w:val="21"/>
          <w:szCs w:val="21"/>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Prohibition on Trading in Securities of Other Companies</w:t>
      </w:r>
    </w:p>
    <w:p>
      <w:pPr>
        <w:spacing w:after="0" w:line="224"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(2) with which the Company is in active discussions concerning a potential transaction or business relationship, neither you nor your Affiliated Persons may trade in any securities of that company, give trading advice about that company, tip or disclose that information,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6" w:right="339" w:bottom="1440" w:gutter="0" w:footer="0" w:header="0"/>
        </w:sectPr>
      </w:pPr>
    </w:p>
    <w:bookmarkStart w:id="142" w:name="page143"/>
    <w:bookmarkEnd w:id="142"/>
    <w:p>
      <w:pPr>
        <w:jc w:val="both"/>
        <w:spacing w:after="0" w:line="265" w:lineRule="auto"/>
        <w:rPr>
          <w:sz w:val="20"/>
          <w:szCs w:val="20"/>
          <w:color w:val="auto"/>
        </w:rPr>
      </w:pPr>
      <w:r>
        <w:rPr>
          <w:rFonts w:ascii="Times New Roman" w:cs="Times New Roman" w:eastAsia="Times New Roman" w:hAnsi="Times New Roman"/>
          <w:sz w:val="21"/>
          <w:szCs w:val="21"/>
          <w:color w:val="auto"/>
        </w:rPr>
        <w:t>pass it on to others or engage in any other action to take advantage of that information. If your work regularly involves handling or discussing confidential information of companies in either of the foregoing categories, you should consult with the Compliance Officer before trading in any of those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Prohibited Transactions</w:t>
      </w:r>
    </w:p>
    <w:p>
      <w:pPr>
        <w:spacing w:after="0" w:line="222" w:lineRule="exact"/>
        <w:rPr>
          <w:sz w:val="20"/>
          <w:szCs w:val="20"/>
          <w:color w:val="auto"/>
        </w:rPr>
      </w:pPr>
    </w:p>
    <w:p>
      <w:pPr>
        <w:jc w:val="both"/>
        <w:ind w:left="1280" w:hanging="326"/>
        <w:spacing w:after="0" w:line="255" w:lineRule="auto"/>
        <w:tabs>
          <w:tab w:leader="none" w:pos="127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Short Sales and Publicly Traded Options. </w:t>
      </w:r>
      <w:r>
        <w:rPr>
          <w:rFonts w:ascii="Times New Roman" w:cs="Times New Roman" w:eastAsia="Times New Roman" w:hAnsi="Times New Roman"/>
          <w:sz w:val="21"/>
          <w:szCs w:val="21"/>
          <w:color w:val="auto"/>
        </w:rPr>
        <w:t>There are various types of transactions in common stock and securities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derived from common stock whose profit potential depends on short term fluctuations in the price of common stock. Examples include purchases and sales of publicly traded put and call options, short sales and sales against the box. Engaging in transactions of this nature is not appropriate for directors, officers and employees of an issuer, since it suggests an intention to make a short term profit based on the possession of inside information. Directors, officers and employees of the Company therefore must not buy or sell publicly traded options on Company common stock and not engage in any short sales of Company securities (selling shares they do not own) or selling Company securities against the box (selling shares they own but do not deliver within the required period).</w:t>
      </w:r>
    </w:p>
    <w:p>
      <w:pPr>
        <w:spacing w:after="0" w:line="173" w:lineRule="exact"/>
        <w:rPr>
          <w:rFonts w:ascii="Times New Roman" w:cs="Times New Roman" w:eastAsia="Times New Roman" w:hAnsi="Times New Roman"/>
          <w:sz w:val="21"/>
          <w:szCs w:val="21"/>
          <w:color w:val="auto"/>
        </w:rPr>
      </w:pPr>
    </w:p>
    <w:p>
      <w:pPr>
        <w:jc w:val="both"/>
        <w:ind w:left="1280" w:hanging="326"/>
        <w:spacing w:after="0" w:line="258" w:lineRule="auto"/>
        <w:tabs>
          <w:tab w:leader="none" w:pos="127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Hedging Transactions. </w:t>
      </w:r>
      <w:r>
        <w:rPr>
          <w:rFonts w:ascii="Times New Roman" w:cs="Times New Roman" w:eastAsia="Times New Roman" w:hAnsi="Times New Roman"/>
          <w:sz w:val="21"/>
          <w:szCs w:val="21"/>
          <w:color w:val="auto"/>
        </w:rPr>
        <w:t>Hedging or monetization transactions, such as prepaid variable forwards, equity swaps, collars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exchange funds, that are designed to hedge or offset any decrease in the market value of Company securities may permit ownership of Company securities without the full risks and rewards of ownership. When that occurs, a director, officer or employee entering into such transactions may be viewed as having weaker alignment with the interests of the Company’s other stockholders. Therefore, directors, officers and employees are prohibited from engaging in these types of hedging or monetization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Duration of Trading Prohibitions</w:t>
      </w:r>
    </w:p>
    <w:p>
      <w:pPr>
        <w:spacing w:after="0" w:line="237"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66"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This Insider Trading Policy applies to you and your Affiliated Persons so long as you are associated with the Company. If you leave the Company for any reason, this Insider Trading Policy, including, if applicable, the Trading Procedures described in Part II, will continue to apply to you and your Affiliated Persons until the later of: (1) the third business day following the public release of earnings for the fiscal quarter in which you leave the Company or (2) the third business day after any material nonpublic information known to you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0" w:right="339" w:bottom="1440" w:gutter="0" w:footer="0" w:header="0"/>
        </w:sectPr>
      </w:pPr>
    </w:p>
    <w:bookmarkStart w:id="143" w:name="page144"/>
    <w:bookmarkEnd w:id="143"/>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C.</w:t>
        <w:tab/>
        <w:t>What is Material Nonpublic Information?</w:t>
      </w:r>
    </w:p>
    <w:p>
      <w:pPr>
        <w:spacing w:after="0" w:line="224"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If you have a question whether certain information you are aware of is material or has been made public, you should consult with the Compliance Officer.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“Material” Information</w:t>
      </w:r>
    </w:p>
    <w:p>
      <w:pPr>
        <w:spacing w:after="0" w:line="224"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that would preclude you from trading in their securities.</w:t>
      </w:r>
    </w:p>
    <w:p>
      <w:pPr>
        <w:spacing w:after="0" w:line="167"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135" w:lineRule="exact"/>
        <w:rPr>
          <w:sz w:val="20"/>
          <w:szCs w:val="20"/>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projections of future earnings or losses, funds from operations or other earnings guidance;</w:t>
      </w:r>
    </w:p>
    <w:p>
      <w:pPr>
        <w:spacing w:after="0" w:line="74"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quarterly financial results that are known but have not been publicly disclosed;</w:t>
      </w:r>
    </w:p>
    <w:p>
      <w:pPr>
        <w:spacing w:after="0" w:line="74" w:lineRule="exact"/>
        <w:rPr>
          <w:rFonts w:ascii="Times New Roman" w:cs="Times New Roman" w:eastAsia="Times New Roman" w:hAnsi="Times New Roman"/>
          <w:sz w:val="21"/>
          <w:szCs w:val="21"/>
          <w:color w:val="auto"/>
        </w:rPr>
      </w:pPr>
    </w:p>
    <w:p>
      <w:pPr>
        <w:ind w:left="1280" w:hanging="642"/>
        <w:spacing w:after="0" w:line="243" w:lineRule="auto"/>
        <w:tabs>
          <w:tab w:leader="none" w:pos="127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potential restatements of the Company’s financial statements, changes in auditors or auditor notification that the Company may no longer rely on an auditor’s audit report;</w:t>
      </w:r>
    </w:p>
    <w:p>
      <w:pPr>
        <w:spacing w:after="0" w:line="37"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proposed corporate mergers, acquisitions, tender offers or joint ventures;</w:t>
      </w:r>
    </w:p>
    <w:p>
      <w:pPr>
        <w:spacing w:after="0" w:line="74"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proposed acquisitions or dispositions of significant assets, properties or portfolios;</w:t>
      </w:r>
    </w:p>
    <w:p>
      <w:pPr>
        <w:spacing w:after="0" w:line="74"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property casualty or injury at one of the Company’s properties due to a fire or other natural disaster;</w:t>
      </w:r>
    </w:p>
    <w:p>
      <w:pPr>
        <w:spacing w:after="0" w:line="74"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senior management or to the members of our Board of Directors;</w:t>
      </w:r>
    </w:p>
    <w:p>
      <w:pPr>
        <w:spacing w:after="0" w:line="74"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actual or threatened litigation or governmental investigations or major developments in such matters;</w:t>
      </w:r>
    </w:p>
    <w:p>
      <w:pPr>
        <w:spacing w:after="0" w:line="74"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risks and incidents, including the discovery of significant vulnerabilities or breaches;</w:t>
      </w:r>
    </w:p>
    <w:p>
      <w:pPr>
        <w:spacing w:after="0" w:line="74" w:lineRule="exact"/>
        <w:rPr>
          <w:rFonts w:ascii="Times New Roman" w:cs="Times New Roman" w:eastAsia="Times New Roman" w:hAnsi="Times New Roman"/>
          <w:sz w:val="21"/>
          <w:szCs w:val="21"/>
          <w:color w:val="auto"/>
        </w:rPr>
      </w:pPr>
    </w:p>
    <w:p>
      <w:pPr>
        <w:ind w:left="1280" w:hanging="642"/>
        <w:spacing w:after="0" w:line="243" w:lineRule="auto"/>
        <w:tabs>
          <w:tab w:leader="none" w:pos="127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regarding core markets, new lines of business, tenants or contracts (e.g., the acquisition or loss of a contract);</w:t>
      </w:r>
    </w:p>
    <w:p>
      <w:pPr>
        <w:spacing w:after="0" w:line="37"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dividend policy or declarations of stock splits;</w:t>
      </w:r>
    </w:p>
    <w:p>
      <w:pPr>
        <w:spacing w:after="0" w:line="74"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proposed public or private securities offerings or other financings;</w:t>
      </w:r>
    </w:p>
    <w:p>
      <w:pPr>
        <w:spacing w:after="0" w:line="74" w:lineRule="exact"/>
        <w:rPr>
          <w:rFonts w:ascii="Times New Roman" w:cs="Times New Roman" w:eastAsia="Times New Roman" w:hAnsi="Times New Roman"/>
          <w:sz w:val="21"/>
          <w:szCs w:val="21"/>
          <w:color w:val="auto"/>
        </w:rPr>
      </w:pPr>
    </w:p>
    <w:p>
      <w:pPr>
        <w:ind w:left="1280" w:hanging="642"/>
        <w:spacing w:after="0" w:line="243" w:lineRule="auto"/>
        <w:tabs>
          <w:tab w:leader="none" w:pos="127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potential defaults under the Company’s or its subsidiaries credit agreements or indentures or potential material liquidity issues; and</w:t>
      </w:r>
    </w:p>
    <w:p>
      <w:pPr>
        <w:spacing w:after="0" w:line="37"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bankruptcies or receiverships.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6" w:right="339" w:bottom="1440" w:gutter="0" w:footer="0" w:header="0"/>
        </w:sectPr>
      </w:pPr>
    </w:p>
    <w:bookmarkStart w:id="144" w:name="page145"/>
    <w:bookmarkEnd w:id="144"/>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The above items will not always be material and there may be other items not described above that are material. No “bright-line” standard or list of items can adequately address the range of situations that may arise; information and events should be carefully considered in terms of their materiality to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“Nonpublic” Information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w:t>
      </w:r>
    </w:p>
    <w:p>
      <w:pPr>
        <w:spacing w:after="0" w:line="220"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To demonstrate that information is public, one must be able to point to some fact that establishes that the information has become publicly available, such as the filing of a report with the U.S.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the distribution of a press release or publishing the information on our website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at the start of regular trading hours on the New York Stock Exchange (the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on the third business day following our public release of the information, or such other time as the Compliance Officer deems appropriate.</w:t>
      </w:r>
    </w:p>
    <w:p>
      <w:pPr>
        <w:spacing w:after="0" w:line="174"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For example, if the Company publicly discloses material nonpublic information on Monday evening, then under this Insider Trading Policy, the information will generally be deemed public on Thursday morning, the third business day after the release of the information.</w:t>
      </w:r>
    </w:p>
    <w:p>
      <w:pPr>
        <w:spacing w:after="0" w:line="2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D.</w:t>
      </w:r>
      <w:r>
        <w:rPr>
          <w:sz w:val="20"/>
          <w:szCs w:val="20"/>
          <w:color w:val="auto"/>
        </w:rPr>
        <w:tab/>
      </w:r>
      <w:r>
        <w:rPr>
          <w:rFonts w:ascii="Times New Roman" w:cs="Times New Roman" w:eastAsia="Times New Roman" w:hAnsi="Times New Roman"/>
          <w:sz w:val="20"/>
          <w:szCs w:val="20"/>
          <w:b w:val="1"/>
          <w:bCs w:val="1"/>
          <w:color w:val="auto"/>
        </w:rPr>
        <w:t>What are the Penalties for Insider Trading and Noncompliance with this Insider Trading Policy?</w:t>
      </w:r>
    </w:p>
    <w:p>
      <w:pPr>
        <w:spacing w:after="0" w:line="224"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Both the SEC and the national securities exchanges, through the Financial Industry Regulatory Authority (“</w:t>
      </w:r>
      <w:r>
        <w:rPr>
          <w:rFonts w:ascii="Times New Roman" w:cs="Times New Roman" w:eastAsia="Times New Roman" w:hAnsi="Times New Roman"/>
          <w:sz w:val="21"/>
          <w:szCs w:val="21"/>
          <w:u w:val="single" w:color="auto"/>
          <w:color w:val="auto"/>
        </w:rPr>
        <w:t>FINRA</w:t>
      </w:r>
      <w:r>
        <w:rPr>
          <w:rFonts w:ascii="Times New Roman" w:cs="Times New Roman" w:eastAsia="Times New Roman" w:hAnsi="Times New Roman"/>
          <w:sz w:val="21"/>
          <w:szCs w:val="21"/>
          <w:color w:val="auto"/>
        </w:rPr>
        <w:t>”), investigate and are very effective at detecting insider trading. The U.S. government pursues insider trading violations vigorously, routinely discovering, and successfully prosecuting, for example, trading by employees in foreign accounts, trading by family members and friends of insiders and trading involving only a small number of shares.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penalties for violating rules against insider trading can be severe and include:</w:t>
      </w:r>
    </w:p>
    <w:p>
      <w:pPr>
        <w:spacing w:after="0" w:line="193" w:lineRule="exact"/>
        <w:rPr>
          <w:sz w:val="20"/>
          <w:szCs w:val="20"/>
          <w:color w:val="auto"/>
        </w:rPr>
      </w:pPr>
    </w:p>
    <w:p>
      <w:pPr>
        <w:ind w:left="940" w:hanging="302"/>
        <w:spacing w:after="0"/>
        <w:tabs>
          <w:tab w:leader="none" w:pos="9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forfeiting any profit gained or loss avoided by the trading;</w:t>
      </w:r>
    </w:p>
    <w:p>
      <w:pPr>
        <w:spacing w:after="0" w:line="74" w:lineRule="exact"/>
        <w:rPr>
          <w:rFonts w:ascii="Times New Roman" w:cs="Times New Roman" w:eastAsia="Times New Roman" w:hAnsi="Times New Roman"/>
          <w:sz w:val="21"/>
          <w:szCs w:val="21"/>
          <w:color w:val="auto"/>
        </w:rPr>
      </w:pPr>
    </w:p>
    <w:p>
      <w:pPr>
        <w:ind w:left="960" w:hanging="322"/>
        <w:spacing w:after="0" w:line="243" w:lineRule="auto"/>
        <w:tabs>
          <w:tab w:leader="none" w:pos="95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the loss suffered by the persons who, contemporaneously with the purchase or sale of securities that are subject of a violation, have purchased or sold securities of the same class;</w:t>
      </w:r>
    </w:p>
    <w:p>
      <w:pPr>
        <w:spacing w:after="0" w:line="37"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criminal penalties of up to $5,000,000;</w:t>
      </w:r>
    </w:p>
    <w:p>
      <w:pPr>
        <w:spacing w:after="0" w:line="74"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civil penalties of up to three times the profit made or loss avoided; and</w:t>
      </w:r>
    </w:p>
    <w:p>
      <w:pPr>
        <w:spacing w:after="0" w:line="74"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imprisonment for up to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90" w:right="339" w:bottom="1440" w:gutter="0" w:footer="0" w:header="0"/>
        </w:sectPr>
      </w:pPr>
    </w:p>
    <w:bookmarkStart w:id="145" w:name="page146"/>
    <w:bookmarkEnd w:id="145"/>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The Company and/or the supervisors of the person engaged in insider trading may also be required to pay civil penalties or fines of $2.5 million or more, up to three times the profit made or loss avoided, as well as criminal penalties of up to $25,000,000, and could under some circumstances be subject to private lawsuits.</w:t>
      </w:r>
    </w:p>
    <w:p>
      <w:pPr>
        <w:spacing w:after="0" w:line="175"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164" w:lineRule="exact"/>
        <w:rPr>
          <w:sz w:val="20"/>
          <w:szCs w:val="20"/>
          <w:color w:val="auto"/>
        </w:rPr>
      </w:pPr>
    </w:p>
    <w:p>
      <w:pPr>
        <w:ind w:left="400" w:hanging="395"/>
        <w:spacing w:after="0"/>
        <w:tabs>
          <w:tab w:leader="none" w:pos="40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How Do You Report a Violation of this Insider Trading Policy?</w:t>
      </w:r>
    </w:p>
    <w:p>
      <w:pPr>
        <w:spacing w:after="0" w:line="224"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officer or employee of the Company, you should report the violation immediately to Ann Menard, as the Compliance Officer.</w:t>
      </w:r>
    </w:p>
    <w:p>
      <w:pPr>
        <w:spacing w:after="0" w:line="179"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However, if the conduct in question involves Ms. Menard, as the Compliance Officer, or if you have reported such conduct to Ms. Menard and do not believe that she has dealt with it properly, or if you do not feel that you can discuss the matter with Ms. Menard, you may raise the matter with Dan Swanstrom, the Company’s Senior 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90" w:right="339" w:bottom="1440" w:gutter="0" w:footer="0" w:header="0"/>
        </w:sectPr>
      </w:pPr>
    </w:p>
    <w:bookmarkStart w:id="146" w:name="page147"/>
    <w:bookmarkEnd w:id="146"/>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TRADING PROCEDURES</w:t>
      </w:r>
    </w:p>
    <w:p>
      <w:pPr>
        <w:spacing w:after="0" w:line="220" w:lineRule="exact"/>
        <w:rPr>
          <w:sz w:val="20"/>
          <w:szCs w:val="20"/>
          <w:color w:val="auto"/>
        </w:rPr>
      </w:pPr>
    </w:p>
    <w:p>
      <w:pPr>
        <w:ind w:left="420" w:hanging="415"/>
        <w:spacing w:after="0"/>
        <w:tabs>
          <w:tab w:leader="none" w:pos="42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Special Trading Restrictions Applicable to Insiders</w:t>
      </w:r>
    </w:p>
    <w:p>
      <w:pPr>
        <w:spacing w:after="0" w:line="224"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In addition to needing to comply with the restrictions on trading in our securities set forth in Part I of this Insider Trading Policy, Insiders and their Affiliated Persons are subject to the following special trading restrictions:</w:t>
      </w:r>
    </w:p>
    <w:p>
      <w:pPr>
        <w:spacing w:after="0" w:line="127" w:lineRule="exact"/>
        <w:rPr>
          <w:sz w:val="20"/>
          <w:szCs w:val="20"/>
          <w:color w:val="auto"/>
        </w:rPr>
      </w:pPr>
    </w:p>
    <w:p>
      <w:pPr>
        <w:ind w:left="1000" w:hanging="362"/>
        <w:spacing w:after="0"/>
        <w:tabs>
          <w:tab w:leader="none" w:pos="100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Trading During Quarterly Trading Bans</w:t>
      </w:r>
      <w:r>
        <w:rPr>
          <w:rFonts w:ascii="Times New Roman" w:cs="Times New Roman" w:eastAsia="Times New Roman" w:hAnsi="Times New Roman"/>
          <w:sz w:val="21"/>
          <w:szCs w:val="21"/>
          <w:color w:val="auto"/>
        </w:rPr>
        <w:t>.</w:t>
      </w:r>
    </w:p>
    <w:p>
      <w:pPr>
        <w:spacing w:after="0" w:line="250"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not trade in Company securities during these four quarterly trading bans. Unless otherwise advised, the four quarterly trading bans consist of the periods that begin on the first day of a fiscal quarter and end at the start of regular trading hours on the NYSE on the third business day following the Company’s issuance of a press release (or other method of broad public dissemination) announcing its quarterly or annual earnings for the prior fiscal quarter or year.</w:t>
      </w:r>
    </w:p>
    <w:p>
      <w:pPr>
        <w:spacing w:after="0" w:line="174"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For example, if the Company issues its quarterly earnings release on Tuesday, the first time an Insider can buy or sell Company securities is after the market opens on Friday, the third business day after the release of the information. Under this Insider Trading Policy, the end of the quarterly trading ban is the same regardless of whether the earnings release is issued prior to or during regular trading hours on Tuesday.</w:t>
      </w:r>
    </w:p>
    <w:p>
      <w:pPr>
        <w:jc w:val="both"/>
        <w:ind w:firstLine="632"/>
        <w:spacing w:after="0" w:line="254" w:lineRule="auto"/>
        <w:rPr>
          <w:sz w:val="20"/>
          <w:szCs w:val="20"/>
          <w:color w:val="auto"/>
        </w:rPr>
      </w:pPr>
      <w:r>
        <w:rPr>
          <w:rFonts w:ascii="Times New Roman" w:cs="Times New Roman" w:eastAsia="Times New Roman" w:hAnsi="Times New Roman"/>
          <w:sz w:val="21"/>
          <w:szCs w:val="21"/>
          <w:color w:val="auto"/>
        </w:rPr>
        <w:t>Insiders may be allowed to trade during a quarterly trading ban only (a) pursuant to a pre-approved Rule 10b5-1 Plan as described in Section C-1 below or (b) if granted a waiver in accordance with the procedure for granting waivers as described in Section D below. Periods between quarterly trading bans are referred to herein as “permitted trading windows” or “open trading windows” and Insiders are still required to obtain pre-clearance from the Compliance Officer in accordance with the procedures set forth below in order to trade during such a window.</w:t>
      </w:r>
    </w:p>
    <w:p>
      <w:pPr>
        <w:spacing w:after="0" w:line="196" w:lineRule="exact"/>
        <w:rPr>
          <w:sz w:val="20"/>
          <w:szCs w:val="20"/>
          <w:color w:val="auto"/>
        </w:rPr>
      </w:pPr>
    </w:p>
    <w:p>
      <w:pPr>
        <w:ind w:left="1000" w:hanging="362"/>
        <w:spacing w:after="0"/>
        <w:tabs>
          <w:tab w:leader="none" w:pos="100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Special Closed Trading Periods</w:t>
      </w:r>
      <w:r>
        <w:rPr>
          <w:rFonts w:ascii="Times New Roman" w:cs="Times New Roman" w:eastAsia="Times New Roman" w:hAnsi="Times New Roman"/>
          <w:sz w:val="21"/>
          <w:szCs w:val="21"/>
          <w:color w:val="auto"/>
        </w:rPr>
        <w:t>.</w:t>
      </w:r>
    </w:p>
    <w:p>
      <w:pPr>
        <w:spacing w:after="0" w:line="250"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The Compliance Officer may designate, from time to time, a “Special Closed Window” during what would otherwise be a permitted trading window. During a Special Closed Window, designated Insiders (which could be all Insiders or a subset of Insiders) may not trade in the Company’s securities. The Compliance Officer may also impose a Special Closed Window on Insiders or a subset of Insiders to prohibit trading in the securities of other companies, including specified peers or competitors of the Company. The imposition of a Special Closed Window will not be announced to the Company generally, should not be communicated to any other person, and may</w:t>
      </w:r>
    </w:p>
    <w:p>
      <w:pPr>
        <w:sectPr>
          <w:pgSz w:w="11900" w:h="16838" w:orient="portrait"/>
          <w:cols w:equalWidth="0" w:num="1">
            <w:col w:w="11240"/>
          </w:cols>
          <w:pgMar w:left="320" w:top="144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color w:val="auto"/>
        </w:rPr>
        <w:t>itself be considered under this Insider Trading Policy to be material nonpublic information about the Company.</w:t>
      </w:r>
    </w:p>
    <w:p>
      <w:pPr>
        <w:spacing w:after="0" w:line="242" w:lineRule="exact"/>
        <w:rPr>
          <w:sz w:val="20"/>
          <w:szCs w:val="20"/>
          <w:color w:val="auto"/>
        </w:rPr>
      </w:pPr>
    </w:p>
    <w:p>
      <w:pPr>
        <w:ind w:left="1000" w:hanging="362"/>
        <w:spacing w:after="0"/>
        <w:tabs>
          <w:tab w:leader="none" w:pos="100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Gifts and Other Distributions in Kind</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No Insider may donate or make any other transfer of Company securities without consideration (e.g., a gift) when the Insider is not permitted to trade unless the Compliance Officer approves such gift, which approval generally will not be granted unless the donee agrees not to sell the securities until the Insider is permitted to sell. In addition to charitable donations or gifts to family members, friends, trusts or others, this prohibition applies to distributions to limited partners by limited partnerships that are subject to this Insider Trading Policy.</w:t>
      </w:r>
    </w:p>
    <w:p>
      <w:pPr>
        <w:spacing w:after="0" w:line="163" w:lineRule="exact"/>
        <w:rPr>
          <w:sz w:val="20"/>
          <w:szCs w:val="20"/>
          <w:color w:val="auto"/>
        </w:rPr>
      </w:pPr>
    </w:p>
    <w:p>
      <w:pPr>
        <w:ind w:left="1000" w:hanging="362"/>
        <w:spacing w:after="0"/>
        <w:tabs>
          <w:tab w:leader="none" w:pos="100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Trading During Retirement Plan Blackout Periods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No Insider may trade in any Company securities that were acquired in connection with the Insider’s service or employment with the Company during a retirement plan “blackout period” except as specifically permitted below. A blackout period includes any period of more than three (3) consecutive business days during which at least fifty percent (50%) of all participants and beneficiaries under all of the individual account plans maintained by the Company and members of the Company’s controlled group are prohibited from trading in Company securities through their plan accounts. Insiders will receive advance notice of any such blackout period from the Compliance Officer or his or her designee.</w:t>
      </w:r>
    </w:p>
    <w:p>
      <w:pPr>
        <w:spacing w:after="0" w:line="209" w:lineRule="exact"/>
        <w:rPr>
          <w:sz w:val="20"/>
          <w:szCs w:val="20"/>
          <w:color w:val="auto"/>
        </w:rPr>
      </w:pPr>
    </w:p>
    <w:p>
      <w:pPr>
        <w:ind w:left="640" w:hanging="424"/>
        <w:spacing w:after="0"/>
        <w:tabs>
          <w:tab w:leader="none" w:pos="64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Prohibited Transactions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266"/>
        <w:spacing w:after="0" w:line="260" w:lineRule="auto"/>
        <w:rPr>
          <w:sz w:val="20"/>
          <w:szCs w:val="20"/>
          <w:color w:val="auto"/>
        </w:rPr>
      </w:pPr>
      <w:r>
        <w:rPr>
          <w:rFonts w:ascii="Times New Roman" w:cs="Times New Roman" w:eastAsia="Times New Roman" w:hAnsi="Times New Roman"/>
          <w:sz w:val="21"/>
          <w:szCs w:val="21"/>
          <w:color w:val="auto"/>
        </w:rPr>
        <w:t>It is recommended that Insiders not pledge Company securities, such as for collateral for a loan or in connection with a margin account or otherwise. Any Insider that is subject to the Company’s stock ownership policy is specifically prohibited from pledging Company securities if they are unable to meet the requirements of the Company’s stock ownership policy without reference to such pledged shares.</w:t>
      </w:r>
    </w:p>
    <w:p>
      <w:pPr>
        <w:spacing w:after="0" w:line="175" w:lineRule="exact"/>
        <w:rPr>
          <w:sz w:val="20"/>
          <w:szCs w:val="20"/>
          <w:color w:val="auto"/>
        </w:rPr>
      </w:pPr>
    </w:p>
    <w:p>
      <w:pPr>
        <w:ind w:left="460" w:hanging="455"/>
        <w:spacing w:after="0"/>
        <w:tabs>
          <w:tab w:leader="none" w:pos="460"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Pre-Clearance Procedures</w:t>
      </w:r>
    </w:p>
    <w:p>
      <w:pPr>
        <w:spacing w:after="0" w:line="224"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No Insider may trade in our securities, even during an open trading window, unless the trade has been approved by the Compliance Officer, or his or her designee, in accordance with the procedures described below. In reviewing trading requests, the Compliance Officer may consult with our other officers and/or outside legal counsel and will seek approval of their own trades from the Chief Financial Officer.</w:t>
      </w:r>
    </w:p>
    <w:p>
      <w:pPr>
        <w:spacing w:after="0" w:line="175" w:lineRule="exact"/>
        <w:rPr>
          <w:sz w:val="20"/>
          <w:szCs w:val="20"/>
          <w:color w:val="auto"/>
        </w:rPr>
      </w:pPr>
    </w:p>
    <w:p>
      <w:pPr>
        <w:ind w:left="1280" w:hanging="642"/>
        <w:spacing w:after="0"/>
        <w:tabs>
          <w:tab w:leader="none" w:pos="128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Procedures. </w:t>
      </w:r>
      <w:r>
        <w:rPr>
          <w:rFonts w:ascii="Times New Roman" w:cs="Times New Roman" w:eastAsia="Times New Roman" w:hAnsi="Times New Roman"/>
          <w:sz w:val="21"/>
          <w:szCs w:val="21"/>
          <w:color w:val="auto"/>
        </w:rPr>
        <w:t>No Insider may trade in our securities unless:</w:t>
      </w:r>
    </w:p>
    <w:p>
      <w:pPr>
        <w:spacing w:after="0" w:line="223" w:lineRule="exact"/>
        <w:rPr>
          <w:rFonts w:ascii="Times New Roman" w:cs="Times New Roman" w:eastAsia="Times New Roman" w:hAnsi="Times New Roman"/>
          <w:sz w:val="21"/>
          <w:szCs w:val="21"/>
          <w:b w:val="1"/>
          <w:bCs w:val="1"/>
          <w:color w:val="auto"/>
        </w:rPr>
      </w:pPr>
    </w:p>
    <w:p>
      <w:pPr>
        <w:jc w:val="both"/>
        <w:ind w:left="1580" w:hanging="310"/>
        <w:spacing w:after="0" w:line="260" w:lineRule="auto"/>
        <w:tabs>
          <w:tab w:leader="none" w:pos="1575" w:val="left"/>
        </w:tabs>
        <w:numPr>
          <w:ilvl w:val="1"/>
          <w:numId w:val="9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 xml:space="preserve">The Insider has notified the Compliance Officer of the amount and nature of the proposed trade(s) using the Stock Transaction Request form attached to this Insider Trading Policy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such other format as the Compliance Officer deems acceptable (such request, the “</w:t>
      </w:r>
      <w:r>
        <w:rPr>
          <w:rFonts w:ascii="Times New Roman" w:cs="Times New Roman" w:eastAsia="Times New Roman" w:hAnsi="Times New Roman"/>
          <w:sz w:val="21"/>
          <w:szCs w:val="21"/>
          <w:u w:val="single" w:color="auto"/>
          <w:color w:val="auto"/>
        </w:rPr>
        <w:t>Stock Transaction Request</w:t>
      </w:r>
      <w:r>
        <w:rPr>
          <w:rFonts w:ascii="Times New Roman" w:cs="Times New Roman" w:eastAsia="Times New Roman" w:hAnsi="Times New Roman"/>
          <w:sz w:val="21"/>
          <w:szCs w:val="21"/>
          <w:color w:val="auto"/>
        </w:rPr>
        <w:t>”). To provide adequate time for the preparation of any required reports under Section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90" w:right="339" w:bottom="1440" w:gutter="0" w:footer="0" w:header="0"/>
        </w:sectPr>
      </w:pPr>
    </w:p>
    <w:bookmarkStart w:id="148" w:name="page149"/>
    <w:bookmarkEnd w:id="148"/>
    <w:p>
      <w:pPr>
        <w:ind w:left="1580"/>
        <w:spacing w:after="0" w:line="282" w:lineRule="auto"/>
        <w:rPr>
          <w:sz w:val="20"/>
          <w:szCs w:val="20"/>
          <w:color w:val="auto"/>
        </w:rPr>
      </w:pPr>
      <w:r>
        <w:rPr>
          <w:rFonts w:ascii="Times New Roman" w:cs="Times New Roman" w:eastAsia="Times New Roman" w:hAnsi="Times New Roman"/>
          <w:sz w:val="21"/>
          <w:szCs w:val="21"/>
          <w:color w:val="auto"/>
        </w:rPr>
        <w:t>of the Exchange Act, a Stock Transaction Request should, if practicable, be received by the Compliance Officer at least two (2) business days before the intended trade date;</w:t>
      </w:r>
    </w:p>
    <w:p>
      <w:pPr>
        <w:spacing w:after="0" w:line="144" w:lineRule="exact"/>
        <w:rPr>
          <w:sz w:val="20"/>
          <w:szCs w:val="20"/>
          <w:color w:val="auto"/>
        </w:rPr>
      </w:pPr>
    </w:p>
    <w:p>
      <w:pPr>
        <w:ind w:left="1580" w:hanging="310"/>
        <w:spacing w:after="0" w:line="295" w:lineRule="auto"/>
        <w:tabs>
          <w:tab w:leader="none" w:pos="1575" w:val="left"/>
        </w:tabs>
        <w:numPr>
          <w:ilvl w:val="0"/>
          <w:numId w:val="9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The Insider has certified to the Compliance Officer in writing before the proposed trade(s) that the Insider does not possess material nonpublic information concerning the Company;</w:t>
      </w:r>
    </w:p>
    <w:p>
      <w:pPr>
        <w:spacing w:after="0" w:line="130" w:lineRule="exact"/>
        <w:rPr>
          <w:rFonts w:ascii="Times New Roman" w:cs="Times New Roman" w:eastAsia="Times New Roman" w:hAnsi="Times New Roman"/>
          <w:sz w:val="21"/>
          <w:szCs w:val="21"/>
          <w:i w:val="1"/>
          <w:iCs w:val="1"/>
          <w:color w:val="auto"/>
        </w:rPr>
      </w:pPr>
    </w:p>
    <w:p>
      <w:pPr>
        <w:ind w:left="1580" w:hanging="310"/>
        <w:spacing w:after="0" w:line="282" w:lineRule="auto"/>
        <w:tabs>
          <w:tab w:leader="none" w:pos="1575" w:val="left"/>
        </w:tabs>
        <w:numPr>
          <w:ilvl w:val="0"/>
          <w:numId w:val="9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If the Insider is an executive officer or director, the Insider has informed the Compliance Officer, pursuant to his or her Stock Transaction Request, whether, to the Insider’s best knowledge:</w:t>
      </w:r>
    </w:p>
    <w:p>
      <w:pPr>
        <w:spacing w:after="0" w:line="143" w:lineRule="exact"/>
        <w:rPr>
          <w:rFonts w:ascii="Times New Roman" w:cs="Times New Roman" w:eastAsia="Times New Roman" w:hAnsi="Times New Roman"/>
          <w:sz w:val="21"/>
          <w:szCs w:val="21"/>
          <w:i w:val="1"/>
          <w:iCs w:val="1"/>
          <w:color w:val="auto"/>
        </w:rPr>
      </w:pPr>
    </w:p>
    <w:p>
      <w:pPr>
        <w:ind w:left="2540" w:hanging="321"/>
        <w:spacing w:after="0" w:line="282" w:lineRule="auto"/>
        <w:tabs>
          <w:tab w:leader="none" w:pos="2528"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Insider has (or is deemed to have) engaged in any opposite way transactions within the previous six months that were not exempt from Section 16(b) of the Exchange Act; and</w:t>
      </w:r>
    </w:p>
    <w:p>
      <w:pPr>
        <w:spacing w:after="0" w:line="157" w:lineRule="exact"/>
        <w:rPr>
          <w:rFonts w:ascii="Times New Roman" w:cs="Times New Roman" w:eastAsia="Times New Roman" w:hAnsi="Times New Roman"/>
          <w:sz w:val="21"/>
          <w:szCs w:val="21"/>
          <w:color w:val="auto"/>
        </w:rPr>
      </w:pPr>
    </w:p>
    <w:p>
      <w:pPr>
        <w:jc w:val="both"/>
        <w:ind w:left="2540" w:hanging="321"/>
        <w:spacing w:after="0" w:line="265" w:lineRule="auto"/>
        <w:tabs>
          <w:tab w:leader="none" w:pos="2534"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whether the transaction meets all of the applicable conditions of Rule 144; and</w:t>
      </w:r>
    </w:p>
    <w:p>
      <w:pPr>
        <w:spacing w:after="0" w:line="161" w:lineRule="exact"/>
        <w:rPr>
          <w:rFonts w:ascii="Times New Roman" w:cs="Times New Roman" w:eastAsia="Times New Roman" w:hAnsi="Times New Roman"/>
          <w:sz w:val="21"/>
          <w:szCs w:val="21"/>
          <w:color w:val="auto"/>
        </w:rPr>
      </w:pPr>
    </w:p>
    <w:p>
      <w:pPr>
        <w:ind w:left="1580" w:hanging="310"/>
        <w:spacing w:after="0" w:line="282" w:lineRule="auto"/>
        <w:tabs>
          <w:tab w:leader="none" w:pos="1575" w:val="left"/>
        </w:tabs>
        <w:numPr>
          <w:ilvl w:val="0"/>
          <w:numId w:val="9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The Compliance Officer has approved the trade(s) and has certified their approval in writing (which may be by email).</w:t>
      </w:r>
    </w:p>
    <w:p>
      <w:pPr>
        <w:spacing w:after="0" w:line="144"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The Compliance Officer does not assume responsibility for, and approval by the Compliance Officer does not protect the Insider from, the consequences of prohibited insider trading.</w:t>
      </w:r>
    </w:p>
    <w:p>
      <w:pPr>
        <w:spacing w:after="0" w:line="127" w:lineRule="exact"/>
        <w:rPr>
          <w:sz w:val="20"/>
          <w:szCs w:val="20"/>
          <w:color w:val="auto"/>
        </w:rPr>
      </w:pPr>
    </w:p>
    <w:p>
      <w:pPr>
        <w:ind w:left="1280" w:hanging="642"/>
        <w:spacing w:after="0"/>
        <w:tabs>
          <w:tab w:leader="none" w:pos="1280"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Information.</w:t>
      </w:r>
    </w:p>
    <w:p>
      <w:pPr>
        <w:spacing w:after="0" w:line="224"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Insiders shall provide to the Compliance Officer any documentation the Compliance Officer reasonably requires in furtherance of the foregoing procedures. Any failure to provide such information will be grounds for the Compliance Officer to deny approval of the trade request.</w:t>
      </w:r>
    </w:p>
    <w:p>
      <w:pPr>
        <w:spacing w:after="0" w:line="171" w:lineRule="exact"/>
        <w:rPr>
          <w:sz w:val="20"/>
          <w:szCs w:val="20"/>
          <w:color w:val="auto"/>
        </w:rPr>
      </w:pPr>
    </w:p>
    <w:p>
      <w:pPr>
        <w:ind w:left="1280" w:hanging="642"/>
        <w:spacing w:after="0"/>
        <w:tabs>
          <w:tab w:leader="none" w:pos="128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Notification of Brokers of Insider Status.</w:t>
      </w:r>
    </w:p>
    <w:p>
      <w:pPr>
        <w:spacing w:after="0" w:line="224" w:lineRule="exact"/>
        <w:rPr>
          <w:sz w:val="20"/>
          <w:szCs w:val="20"/>
          <w:color w:val="auto"/>
        </w:rPr>
      </w:pPr>
    </w:p>
    <w:p>
      <w:pPr>
        <w:jc w:val="both"/>
        <w:ind w:firstLine="217"/>
        <w:spacing w:after="0" w:line="265" w:lineRule="auto"/>
        <w:rPr>
          <w:sz w:val="20"/>
          <w:szCs w:val="20"/>
          <w:color w:val="auto"/>
        </w:rPr>
      </w:pPr>
      <w:r>
        <w:rPr>
          <w:rFonts w:ascii="Times New Roman" w:cs="Times New Roman" w:eastAsia="Times New Roman" w:hAnsi="Times New Roman"/>
          <w:sz w:val="21"/>
          <w:szCs w:val="21"/>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Compliance Officer on the day of a trade.</w:t>
      </w:r>
    </w:p>
    <w:p>
      <w:pPr>
        <w:spacing w:after="0" w:line="158" w:lineRule="exact"/>
        <w:rPr>
          <w:sz w:val="20"/>
          <w:szCs w:val="20"/>
          <w:color w:val="auto"/>
        </w:rPr>
      </w:pPr>
    </w:p>
    <w:p>
      <w:pPr>
        <w:ind w:left="1280" w:hanging="642"/>
        <w:spacing w:after="0"/>
        <w:tabs>
          <w:tab w:leader="none" w:pos="128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Obligation to Approve Trades.</w:t>
      </w:r>
    </w:p>
    <w:p>
      <w:pPr>
        <w:spacing w:after="0" w:line="237"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The foregoing approval procedures do not in any way obligate the Compliance Officer to approve any trade. The Compliance Officer has sole discretion to reject any trading request.</w:t>
      </w:r>
    </w:p>
    <w:p>
      <w:pPr>
        <w:spacing w:after="0" w:line="144"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From time to time, an event may occur that is material to the Company and is known by only a limited number of directors and employees. The Compliance Officer may decline an Insider’s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0" w:right="339" w:bottom="1440" w:gutter="0" w:footer="0" w:header="0"/>
        </w:sectPr>
      </w:pPr>
    </w:p>
    <w:bookmarkStart w:id="149" w:name="page150"/>
    <w:bookmarkEnd w:id="149"/>
    <w:p>
      <w:pPr>
        <w:jc w:val="both"/>
        <w:spacing w:after="0" w:line="256" w:lineRule="auto"/>
        <w:rPr>
          <w:sz w:val="20"/>
          <w:szCs w:val="20"/>
          <w:color w:val="auto"/>
        </w:rPr>
      </w:pPr>
      <w:r>
        <w:rPr>
          <w:rFonts w:ascii="Times New Roman" w:cs="Times New Roman" w:eastAsia="Times New Roman" w:hAnsi="Times New Roman"/>
          <w:sz w:val="21"/>
          <w:szCs w:val="21"/>
          <w:color w:val="auto"/>
        </w:rPr>
        <w:t>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decide not to approve any transactions in the Company’s securities. The Compliance Officer will subsequently notify the Insider once the material nonpublic development is disclosed to the public or resolved. If an Insider requests preclearance of a trade during the pendency of such an event, the Compliance Officer may reject the trading request without disclosing the reason.</w:t>
      </w:r>
    </w:p>
    <w:p>
      <w:pPr>
        <w:spacing w:after="0" w:line="169" w:lineRule="exact"/>
        <w:rPr>
          <w:sz w:val="20"/>
          <w:szCs w:val="20"/>
          <w:color w:val="auto"/>
        </w:rPr>
      </w:pPr>
    </w:p>
    <w:p>
      <w:pPr>
        <w:ind w:left="1280" w:hanging="642"/>
        <w:spacing w:after="0"/>
        <w:tabs>
          <w:tab w:leader="none" w:pos="1280"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Completion of Trades.</w:t>
      </w:r>
    </w:p>
    <w:p>
      <w:pPr>
        <w:spacing w:after="0" w:line="237"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After receiving written clearance to engage in a trade signed by the Compliance Officer, an Insider must complete the proposed trade within two (2)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62" w:lineRule="exact"/>
        <w:rPr>
          <w:sz w:val="20"/>
          <w:szCs w:val="20"/>
          <w:color w:val="auto"/>
        </w:rPr>
      </w:pPr>
    </w:p>
    <w:p>
      <w:pPr>
        <w:ind w:left="1280" w:hanging="642"/>
        <w:spacing w:after="0"/>
        <w:tabs>
          <w:tab w:leader="none" w:pos="1280"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Post-Trade Reporting.</w:t>
      </w:r>
    </w:p>
    <w:p>
      <w:pPr>
        <w:spacing w:after="0" w:line="224"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The details of any transactions in our securities (including transactions effected pursuant to a Rule 10b5-1 Plan) by an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Insider’s broker provide) a trade order confirmation to the Compliance Officer if the Compliance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276" w:lineRule="exact"/>
        <w:rPr>
          <w:sz w:val="20"/>
          <w:szCs w:val="20"/>
          <w:color w:val="auto"/>
        </w:rPr>
      </w:pPr>
    </w:p>
    <w:p>
      <w:pPr>
        <w:ind w:left="420" w:hanging="415"/>
        <w:spacing w:after="0"/>
        <w:tabs>
          <w:tab w:leader="none" w:pos="420"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Exemptions</w:t>
      </w:r>
    </w:p>
    <w:p>
      <w:pPr>
        <w:spacing w:after="0" w:line="233" w:lineRule="exact"/>
        <w:rPr>
          <w:sz w:val="20"/>
          <w:szCs w:val="20"/>
          <w:color w:val="auto"/>
        </w:rPr>
      </w:pPr>
    </w:p>
    <w:p>
      <w:pPr>
        <w:ind w:left="1280" w:hanging="642"/>
        <w:spacing w:after="0"/>
        <w:tabs>
          <w:tab w:leader="none" w:pos="1280"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Pre-Approved Rule 10b5-1 Plan.</w:t>
      </w:r>
    </w:p>
    <w:p>
      <w:pPr>
        <w:spacing w:after="0" w:line="224"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Transactions made pursuant to an approved Rule 10b5-1 Plan (as defined below) will not be subject to our quarterly trading bans, retirement plan blackout periods or pre-clearance procedures and Insiders are not required to submit a Stock Transaction Request for such transactions. Rule 10b5-1 of the Exchange Act provides an affirmative defense from insider trading liability under the federal securities laws for trading plans, arrangements or instructions that meet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0" w:right="339" w:bottom="1440" w:gutter="0" w:footer="0" w:header="0"/>
        </w:sectPr>
      </w:pPr>
    </w:p>
    <w:bookmarkStart w:id="150" w:name="page151"/>
    <w:bookmarkEnd w:id="150"/>
    <w:p>
      <w:pPr>
        <w:jc w:val="both"/>
        <w:spacing w:after="0" w:line="265" w:lineRule="auto"/>
        <w:rPr>
          <w:sz w:val="20"/>
          <w:szCs w:val="20"/>
          <w:color w:val="auto"/>
        </w:rPr>
      </w:pPr>
      <w:r>
        <w:rPr>
          <w:rFonts w:ascii="Times New Roman" w:cs="Times New Roman" w:eastAsia="Times New Roman" w:hAnsi="Times New Roman"/>
          <w:sz w:val="21"/>
          <w:szCs w:val="21"/>
          <w:color w:val="auto"/>
        </w:rPr>
        <w:t>requirements. A trading plan, arrangement or instruction that meets the requirements of the SEC’s Rule 10b5-1 (a “</w:t>
      </w:r>
      <w:r>
        <w:rPr>
          <w:rFonts w:ascii="Times New Roman" w:cs="Times New Roman" w:eastAsia="Times New Roman" w:hAnsi="Times New Roman"/>
          <w:sz w:val="21"/>
          <w:szCs w:val="21"/>
          <w:u w:val="single" w:color="auto"/>
          <w:color w:val="auto"/>
        </w:rPr>
        <w:t>Rule 10b5-1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enables Insiders to trade in Company securities inside of our quarterly trading bans or other blackout periods, even when in possession of material nonpublic information.</w:t>
      </w:r>
    </w:p>
    <w:p>
      <w:pPr>
        <w:spacing w:after="0" w:line="17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The Company has adopted a separate Rule 10b5-1 Trading Plan Policy that sets forth the requirements for putting in place a Rule 10b5-1 Plan with respect to Company securities.</w:t>
      </w:r>
    </w:p>
    <w:p>
      <w:pPr>
        <w:spacing w:after="0" w:line="140" w:lineRule="exact"/>
        <w:rPr>
          <w:sz w:val="20"/>
          <w:szCs w:val="20"/>
          <w:color w:val="auto"/>
        </w:rPr>
      </w:pPr>
    </w:p>
    <w:p>
      <w:pPr>
        <w:ind w:left="1280" w:hanging="642"/>
        <w:spacing w:after="0"/>
        <w:tabs>
          <w:tab w:leader="none" w:pos="1280"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Employee Equity and Retirement Plans.</w:t>
      </w:r>
    </w:p>
    <w:p>
      <w:pPr>
        <w:spacing w:after="0" w:line="220" w:lineRule="exact"/>
        <w:rPr>
          <w:sz w:val="20"/>
          <w:szCs w:val="20"/>
          <w:color w:val="auto"/>
        </w:rPr>
      </w:pPr>
    </w:p>
    <w:p>
      <w:pPr>
        <w:jc w:val="both"/>
        <w:ind w:firstLine="290"/>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Exercise of Stock Options and Redemptions of Securities</w:t>
      </w:r>
      <w:r>
        <w:rPr>
          <w:rFonts w:ascii="Times New Roman" w:cs="Times New Roman" w:eastAsia="Times New Roman" w:hAnsi="Times New Roman"/>
          <w:sz w:val="21"/>
          <w:szCs w:val="21"/>
          <w:color w:val="auto"/>
        </w:rPr>
        <w:t>. The trading prohibitions and restrictions set forth in these Trading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Procedures do not apply to (i) the exercise of an option to purchase securities of the Company when payment of the exercise price is made in cash; or (ii) the redemption of redeemable securities with the Company or its subsidiaries for shares of the Company’s stock. However, the exercise of an option to purchase securities of the Company or redemption of redeemable securities for shares of the Company’s stock are subject to the current reporting requirements of Section 16 of the Exchange Act and, therefore, Insiders must comply with the post-trade reporting requirement described in Section B above for any such transaction. In addition, the securities acquired upon the exercise of an option to purchase Company securities or redemption of redeemable securities are subject to all of the requirements of these Trading Procedures and the Insider Trading Policy. Moreover, these Trading Procedures apply to the use of outstanding Company securities to constitute part or all of the exercise price of an option, any sale of stock as part of a broker-assisted cashless exercise of an option, or any other market sale for the purpose of generating the cash needed to pay the exercise price of an option.</w:t>
      </w:r>
    </w:p>
    <w:p>
      <w:pPr>
        <w:spacing w:after="0" w:line="168"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Tax Withholding on Restricted Stock/Units</w:t>
      </w:r>
      <w:r>
        <w:rPr>
          <w:rFonts w:ascii="Times New Roman" w:cs="Times New Roman" w:eastAsia="Times New Roman" w:hAnsi="Times New Roman"/>
          <w:sz w:val="21"/>
          <w:szCs w:val="21"/>
          <w:color w:val="auto"/>
        </w:rPr>
        <w:t>. The trading prohibitions and restrictions set forth in these Trading Procedures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do 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these Trading Procedures.</w:t>
      </w:r>
    </w:p>
    <w:p>
      <w:pPr>
        <w:spacing w:after="0" w:line="159"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b w:val="1"/>
          <w:bCs w:val="1"/>
          <w:i w:val="1"/>
          <w:iCs w:val="1"/>
          <w:color w:val="auto"/>
        </w:rPr>
        <w:t>Employee Stock Purchase Plan</w:t>
      </w:r>
      <w:r>
        <w:rPr>
          <w:rFonts w:ascii="Times New Roman" w:cs="Times New Roman" w:eastAsia="Times New Roman" w:hAnsi="Times New Roman"/>
          <w:sz w:val="21"/>
          <w:szCs w:val="21"/>
          <w:color w:val="auto"/>
        </w:rPr>
        <w:t>. If the Company has an employee stock purchase plan, the trading prohibitions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restrictions set forth in these Trading Procedures do not apply to periodic wage withholding contributions by the Company or employees of the Company which are used to purchase the Company’s securities pursuant to the employees’ advance instructions under such employee stock purchase plan. However, no Insider may: (a) elect to participate in such employee stock purchase plan or alter his or her instructions regarding the level of withholding or purchase by the Insider of Company securities under such employee stock purchase plan; or (b) make cash contributions to such employee stock purchase plan (other than through periodic wage withholding) without complying with these Trading Procedures. Any sale of securities acquired under such employee stock purchase plan is subject to the prohibitions and restrictions of these Trading Procedures.</w:t>
      </w:r>
    </w:p>
    <w:p>
      <w:pPr>
        <w:spacing w:after="0" w:line="166" w:lineRule="exact"/>
        <w:rPr>
          <w:sz w:val="20"/>
          <w:szCs w:val="20"/>
          <w:color w:val="auto"/>
        </w:rPr>
      </w:pPr>
    </w:p>
    <w:p>
      <w:pPr>
        <w:jc w:val="both"/>
        <w:ind w:firstLine="632"/>
        <w:spacing w:after="0" w:line="299" w:lineRule="auto"/>
        <w:rPr>
          <w:sz w:val="20"/>
          <w:szCs w:val="20"/>
          <w:color w:val="auto"/>
        </w:rPr>
      </w:pPr>
      <w:r>
        <w:rPr>
          <w:rFonts w:ascii="Times New Roman" w:cs="Times New Roman" w:eastAsia="Times New Roman" w:hAnsi="Times New Roman"/>
          <w:sz w:val="21"/>
          <w:szCs w:val="21"/>
          <w:b w:val="1"/>
          <w:bCs w:val="1"/>
          <w:i w:val="1"/>
          <w:iCs w:val="1"/>
          <w:color w:val="auto"/>
        </w:rPr>
        <w:t>Retirement Plan</w:t>
      </w:r>
      <w:r>
        <w:rPr>
          <w:rFonts w:ascii="Times New Roman" w:cs="Times New Roman" w:eastAsia="Times New Roman" w:hAnsi="Times New Roman"/>
          <w:sz w:val="21"/>
          <w:szCs w:val="21"/>
          <w:color w:val="auto"/>
        </w:rPr>
        <w:t>. If the Company has a policy to allow ownership of Company stock in the Company’s 401(k) or other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retirement plan, the trading prohibitions and restrictions set forth in these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0" w:right="339" w:bottom="1440" w:gutter="0" w:footer="0" w:header="0"/>
        </w:sectPr>
      </w:pPr>
    </w:p>
    <w:bookmarkStart w:id="151" w:name="page152"/>
    <w:bookmarkEnd w:id="151"/>
    <w:p>
      <w:pPr>
        <w:jc w:val="both"/>
        <w:spacing w:after="0" w:line="256" w:lineRule="auto"/>
        <w:rPr>
          <w:sz w:val="20"/>
          <w:szCs w:val="20"/>
          <w:color w:val="auto"/>
        </w:rPr>
      </w:pPr>
      <w:r>
        <w:rPr>
          <w:rFonts w:ascii="Times New Roman" w:cs="Times New Roman" w:eastAsia="Times New Roman" w:hAnsi="Times New Roman"/>
          <w:sz w:val="21"/>
          <w:szCs w:val="21"/>
          <w:color w:val="auto"/>
        </w:rPr>
        <w:t>Trading Procedures do not apply to purchases of Company securities in such retirement plan resulting from periodic contributions by Insiders to such retirement plan pursuant to payroll deduction elections. Such prohibitions and restrictions do apply, however, to some elections Insiders may make under such retirement plan, including an election (a) to increase or decrease the percentage of periodic contributions to be allocated to the Company stock fund; (b) to make an intra-plan transfer of an existing account balance into or out of the Company stock fund; (c) to borrow money against or receive a distribution from such Insider’s retirement plan account if the loan or distribution will result in a liquidation of some or all of such Insider’s Company stock fund balance; and (d) to pre-pay a plan loan if the pre-payment will result in an allocation of loan proceeds to the Company stock fund.</w:t>
      </w:r>
    </w:p>
    <w:p>
      <w:pPr>
        <w:spacing w:after="0" w:line="16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Dividend Reinvestment Plan</w:t>
      </w:r>
      <w:r>
        <w:rPr>
          <w:rFonts w:ascii="Times New Roman" w:cs="Times New Roman" w:eastAsia="Times New Roman" w:hAnsi="Times New Roman"/>
          <w:sz w:val="21"/>
          <w:szCs w:val="21"/>
          <w:color w:val="auto"/>
        </w:rPr>
        <w:t>. If the Company has a dividend reinvestment plan, the trading prohibitions and restrictions set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forth in these Trading Procedures do not apply to purchases of Company securities under such dividend reinvestment plan resulting from the reinvestment by Insiders of dividends paid on Company securities. Such prohibitions and restrictions do apply, however, to voluntary purchases of Company securities resulting from additional contributions by Insiders to such dividend reinvestment plan (i.e., direct stock purchases), and to elections by Insiders to participate in such dividend reinvestment plan or change the level of such participation. These Trading Procedures also apply to sales by Insiders of Company securities purchased pursuant to such dividend reinvestment plan.</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D.</w:t>
      </w:r>
      <w:r>
        <w:rPr>
          <w:sz w:val="20"/>
          <w:szCs w:val="20"/>
          <w:color w:val="auto"/>
        </w:rPr>
        <w:tab/>
      </w:r>
      <w:r>
        <w:rPr>
          <w:rFonts w:ascii="Times New Roman" w:cs="Times New Roman" w:eastAsia="Times New Roman" w:hAnsi="Times New Roman"/>
          <w:sz w:val="20"/>
          <w:szCs w:val="20"/>
          <w:b w:val="1"/>
          <w:bCs w:val="1"/>
          <w:color w:val="auto"/>
        </w:rPr>
        <w:t>Waivers</w:t>
      </w:r>
    </w:p>
    <w:p>
      <w:pPr>
        <w:spacing w:after="0" w:line="22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A waiver of any provision of this Insider Trading Policy, including these Trading Procedures, may be authorized in writing by the Compliance Officer or his or her designee. All waivers shall be reported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90" w:right="339" w:bottom="1440" w:gutter="0" w:footer="0" w:header="0"/>
        </w:sectPr>
      </w:pPr>
    </w:p>
    <w:bookmarkStart w:id="152" w:name="page153"/>
    <w:bookmarkEnd w:id="152"/>
    <w:p>
      <w:pPr>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PART III.</w:t>
      </w:r>
      <w:r>
        <w:rPr>
          <w:sz w:val="20"/>
          <w:szCs w:val="20"/>
          <w:color w:val="auto"/>
        </w:rPr>
        <w:tab/>
      </w:r>
      <w:r>
        <w:rPr>
          <w:rFonts w:ascii="Times New Roman" w:cs="Times New Roman" w:eastAsia="Times New Roman" w:hAnsi="Times New Roman"/>
          <w:sz w:val="20"/>
          <w:szCs w:val="20"/>
          <w:b w:val="1"/>
          <w:bCs w:val="1"/>
          <w:color w:val="auto"/>
        </w:rPr>
        <w:t>AMENDMENT</w:t>
      </w:r>
    </w:p>
    <w:p>
      <w:pPr>
        <w:spacing w:after="0" w:line="224" w:lineRule="exact"/>
        <w:rPr>
          <w:sz w:val="20"/>
          <w:szCs w:val="20"/>
          <w:color w:val="auto"/>
        </w:rPr>
      </w:pPr>
    </w:p>
    <w:p>
      <w:pPr>
        <w:jc w:val="both"/>
        <w:ind w:firstLine="294"/>
        <w:spacing w:after="0" w:line="282" w:lineRule="auto"/>
        <w:rPr>
          <w:sz w:val="20"/>
          <w:szCs w:val="20"/>
          <w:color w:val="auto"/>
        </w:rPr>
      </w:pPr>
      <w:r>
        <w:rPr>
          <w:rFonts w:ascii="Times New Roman" w:cs="Times New Roman" w:eastAsia="Times New Roman" w:hAnsi="Times New Roman"/>
          <w:sz w:val="21"/>
          <w:szCs w:val="21"/>
          <w:color w:val="auto"/>
        </w:rPr>
        <w:t>This Insider Trading Policy, including these Trading Procedures, may be amended from time to time with the approval of the Board of Directors or a designated committee thereof.</w:t>
      </w: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b w:val="1"/>
          <w:bCs w:val="1"/>
          <w:color w:val="auto"/>
        </w:rPr>
        <w:t>PART IV.</w:t>
        <w:tab/>
        <w:t>ACKNOWLEDGEMENT</w:t>
      </w:r>
    </w:p>
    <w:p>
      <w:pPr>
        <w:spacing w:after="0" w:line="224"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 xml:space="preserve">We will deliver a copy of this Insider Trading Policy to all current employees and directors and to future employees and directors at the start of their employment or relationship with the Company. Each of these individuals must acknowledge that they have received a copy and agree to comply with the terms of this Insider Trading Policy, and, if applicable, these Trading Procedures contained herein. The acknowledgment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must be completed and submitted to the Company within ten</w:t>
      </w:r>
    </w:p>
    <w:p>
      <w:pPr>
        <w:ind w:firstLine="5"/>
        <w:spacing w:after="0" w:line="270" w:lineRule="auto"/>
        <w:tabs>
          <w:tab w:leader="none" w:pos="41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receipt. From time to time, directors and employees may be required to re-acknowledge and agree to comply with the Insider Trading Policy (including any amendments or modifications thereto).</w:t>
      </w:r>
    </w:p>
    <w:p>
      <w:pPr>
        <w:spacing w:after="0" w:line="155"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Questions regarding this Insider Trading Policy are encouraged and may be directed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6" w:right="339" w:bottom="1440" w:gutter="0" w:footer="0" w:header="0"/>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STOCK TRANSACTION REQUEST</w:t>
      </w:r>
    </w:p>
    <w:p>
      <w:pPr>
        <w:spacing w:after="0" w:line="21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9"/>
          <w:szCs w:val="19"/>
          <w:color w:val="auto"/>
        </w:rPr>
        <w:t>I hereby notify The Macerich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pursuant to the Company’s Insider Trading Policy,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43750" cy="56546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7143750" cy="5654675"/>
                    </a:xfrm>
                    <a:prstGeom prst="rect">
                      <a:avLst/>
                    </a:prstGeom>
                    <a:noFill/>
                  </pic:spPr>
                </pic:pic>
              </a:graphicData>
            </a:graphic>
          </wp:anchor>
        </w:drawing>
      </w: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REQUESTER INFORMATION</w:t>
      </w:r>
    </w:p>
    <w:p>
      <w:pPr>
        <w:spacing w:after="0" w:line="45"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Insider’s Name:</w:t>
      </w:r>
      <w:r>
        <w:rPr>
          <w:sz w:val="20"/>
          <w:szCs w:val="20"/>
          <w:color w:val="auto"/>
        </w:rPr>
        <w:tab/>
      </w:r>
      <w:r>
        <w:rPr>
          <w:rFonts w:ascii="Times New Roman" w:cs="Times New Roman" w:eastAsia="Times New Roman" w:hAnsi="Times New Roman"/>
          <w:sz w:val="16"/>
          <w:szCs w:val="16"/>
          <w:color w:val="auto"/>
        </w:rPr>
        <w:t>_________________________________________</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INTENT TO PURCHASE</w:t>
            </w:r>
          </w:p>
        </w:tc>
        <w:tc>
          <w:tcPr>
            <w:tcW w:w="9200" w:type="dxa"/>
            <w:vAlign w:val="bottom"/>
          </w:tcPr>
          <w:p>
            <w:pPr>
              <w:spacing w:after="0"/>
              <w:rPr>
                <w:sz w:val="17"/>
                <w:szCs w:val="17"/>
                <w:color w:val="auto"/>
              </w:rPr>
            </w:pPr>
          </w:p>
        </w:tc>
      </w:tr>
      <w:tr>
        <w:trPr>
          <w:trHeight w:val="269"/>
        </w:trPr>
        <w:tc>
          <w:tcPr>
            <w:tcW w:w="80" w:type="dxa"/>
            <w:vAlign w:val="bottom"/>
          </w:tcPr>
          <w:p>
            <w:pPr>
              <w:spacing w:after="0"/>
              <w:rPr>
                <w:sz w:val="23"/>
                <w:szCs w:val="2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9620" w:type="dxa"/>
            <w:vAlign w:val="bottom"/>
            <w:gridSpan w:val="2"/>
          </w:tcPr>
          <w:p>
            <w:pPr>
              <w:jc w:val="right"/>
              <w:ind w:right="7152"/>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63"/>
        </w:trPr>
        <w:tc>
          <w:tcPr>
            <w:tcW w:w="8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Intended trade date:</w:t>
            </w:r>
          </w:p>
        </w:tc>
        <w:tc>
          <w:tcPr>
            <w:tcW w:w="9620" w:type="dxa"/>
            <w:vAlign w:val="bottom"/>
            <w:gridSpan w:val="2"/>
          </w:tcPr>
          <w:p>
            <w:pPr>
              <w:jc w:val="right"/>
              <w:ind w:right="7052"/>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03"/>
        </w:trPr>
        <w:tc>
          <w:tcPr>
            <w:tcW w:w="8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Means of acquiring shares:</w:t>
            </w:r>
          </w:p>
        </w:tc>
        <w:tc>
          <w:tcPr>
            <w:tcW w:w="9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Acquisition through employee benefit plan (please specify):</w:t>
            </w:r>
          </w:p>
        </w:tc>
      </w:tr>
      <w:tr>
        <w:trPr>
          <w:trHeight w:val="474"/>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303"/>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Purchase through a broker on the open market</w:t>
            </w:r>
          </w:p>
        </w:tc>
      </w:tr>
      <w:tr>
        <w:trPr>
          <w:trHeight w:val="343"/>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r>
      <w:tr>
        <w:trPr>
          <w:trHeight w:val="93"/>
        </w:trPr>
        <w:tc>
          <w:tcPr>
            <w:tcW w:w="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0" w:type="dxa"/>
            <w:vAlign w:val="bottom"/>
            <w:tcBorders>
              <w:bottom w:val="single" w:sz="8" w:color="auto"/>
            </w:tcBorders>
          </w:tcPr>
          <w:p>
            <w:pPr>
              <w:spacing w:after="0"/>
              <w:rPr>
                <w:sz w:val="8"/>
                <w:szCs w:val="8"/>
                <w:color w:val="auto"/>
              </w:rPr>
            </w:pPr>
          </w:p>
        </w:tc>
      </w:tr>
      <w:tr>
        <w:trPr>
          <w:trHeight w:val="204"/>
        </w:trPr>
        <w:tc>
          <w:tcPr>
            <w:tcW w:w="80" w:type="dxa"/>
            <w:vAlign w:val="bottom"/>
          </w:tcPr>
          <w:p>
            <w:pPr>
              <w:spacing w:after="0"/>
              <w:rPr>
                <w:sz w:val="17"/>
                <w:szCs w:val="17"/>
                <w:color w:val="auto"/>
              </w:rPr>
            </w:pPr>
          </w:p>
        </w:tc>
        <w:tc>
          <w:tcPr>
            <w:tcW w:w="15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INTENT TO SELL</w:t>
            </w:r>
          </w:p>
        </w:tc>
        <w:tc>
          <w:tcPr>
            <w:tcW w:w="420" w:type="dxa"/>
            <w:vAlign w:val="bottom"/>
          </w:tcPr>
          <w:p>
            <w:pPr>
              <w:spacing w:after="0"/>
              <w:rPr>
                <w:sz w:val="17"/>
                <w:szCs w:val="17"/>
                <w:color w:val="auto"/>
              </w:rPr>
            </w:pPr>
          </w:p>
        </w:tc>
        <w:tc>
          <w:tcPr>
            <w:tcW w:w="9200" w:type="dxa"/>
            <w:vAlign w:val="bottom"/>
          </w:tcPr>
          <w:p>
            <w:pPr>
              <w:spacing w:after="0"/>
              <w:rPr>
                <w:sz w:val="17"/>
                <w:szCs w:val="17"/>
                <w:color w:val="auto"/>
              </w:rPr>
            </w:pPr>
          </w:p>
        </w:tc>
      </w:tr>
      <w:tr>
        <w:trPr>
          <w:trHeight w:val="269"/>
        </w:trPr>
        <w:tc>
          <w:tcPr>
            <w:tcW w:w="80" w:type="dxa"/>
            <w:vAlign w:val="bottom"/>
          </w:tcPr>
          <w:p>
            <w:pPr>
              <w:spacing w:after="0"/>
              <w:rPr>
                <w:sz w:val="23"/>
                <w:szCs w:val="23"/>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0" w:type="dxa"/>
            <w:vAlign w:val="bottom"/>
          </w:tcPr>
          <w:p>
            <w:pPr>
              <w:spacing w:after="0"/>
              <w:rPr>
                <w:sz w:val="23"/>
                <w:szCs w:val="23"/>
                <w:color w:val="auto"/>
              </w:rPr>
            </w:pPr>
          </w:p>
        </w:tc>
        <w:tc>
          <w:tcPr>
            <w:tcW w:w="9620" w:type="dxa"/>
            <w:vAlign w:val="bottom"/>
            <w:gridSpan w:val="2"/>
          </w:tcPr>
          <w:p>
            <w:pPr>
              <w:jc w:val="right"/>
              <w:ind w:right="7152"/>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63"/>
        </w:trPr>
        <w:tc>
          <w:tcPr>
            <w:tcW w:w="8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Intended trade date:</w:t>
            </w:r>
          </w:p>
        </w:tc>
        <w:tc>
          <w:tcPr>
            <w:tcW w:w="9620" w:type="dxa"/>
            <w:vAlign w:val="bottom"/>
            <w:gridSpan w:val="2"/>
          </w:tcPr>
          <w:p>
            <w:pPr>
              <w:jc w:val="right"/>
              <w:ind w:right="7052"/>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03"/>
        </w:trPr>
        <w:tc>
          <w:tcPr>
            <w:tcW w:w="8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Means of selling shares:</w:t>
            </w:r>
          </w:p>
        </w:tc>
        <w:tc>
          <w:tcPr>
            <w:tcW w:w="9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Sale through employee benefit plan (please specify):</w:t>
            </w:r>
          </w:p>
        </w:tc>
      </w:tr>
      <w:tr>
        <w:trPr>
          <w:trHeight w:val="474"/>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303"/>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Sale through a broker on the open market</w:t>
            </w:r>
          </w:p>
        </w:tc>
      </w:tr>
      <w:tr>
        <w:trPr>
          <w:trHeight w:val="343"/>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6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RULE 144 (Not applicable if transaction requested involves a purchase)</w:t>
            </w:r>
          </w:p>
        </w:tc>
        <w:tc>
          <w:tcPr>
            <w:tcW w:w="0" w:type="dxa"/>
            <w:vAlign w:val="bottom"/>
          </w:tcPr>
          <w:p>
            <w:pPr>
              <w:spacing w:after="0"/>
              <w:rPr>
                <w:sz w:val="1"/>
                <w:szCs w:val="1"/>
                <w:color w:val="auto"/>
              </w:rPr>
            </w:pPr>
          </w:p>
        </w:tc>
      </w:tr>
      <w:tr>
        <w:trPr>
          <w:trHeight w:val="53"/>
        </w:trPr>
        <w:tc>
          <w:tcPr>
            <w:tcW w:w="5120" w:type="dxa"/>
            <w:vAlign w:val="bottom"/>
            <w:tcBorders>
              <w:bottom w:val="single" w:sz="8" w:color="auto"/>
            </w:tcBorders>
          </w:tcPr>
          <w:p>
            <w:pPr>
              <w:spacing w:after="0"/>
              <w:rPr>
                <w:sz w:val="4"/>
                <w:szCs w:val="4"/>
                <w:color w:val="auto"/>
              </w:rPr>
            </w:pPr>
          </w:p>
        </w:tc>
        <w:tc>
          <w:tcPr>
            <w:tcW w:w="6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5120" w:type="dxa"/>
            <w:vAlign w:val="bottom"/>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 am not subject to Section 16.</w:t>
            </w:r>
          </w:p>
        </w:tc>
        <w:tc>
          <w:tcPr>
            <w:tcW w:w="6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 am not an “affiliate” of the Company and the transaction requested</w:t>
            </w: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6140" w:type="dxa"/>
            <w:vAlign w:val="bottom"/>
          </w:tcPr>
          <w:p>
            <w:pPr>
              <w:ind w:left="1060"/>
              <w:spacing w:after="0" w:line="206" w:lineRule="exact"/>
              <w:rPr>
                <w:sz w:val="20"/>
                <w:szCs w:val="20"/>
                <w:color w:val="auto"/>
              </w:rPr>
            </w:pPr>
            <w:r>
              <w:rPr>
                <w:rFonts w:ascii="Times New Roman" w:cs="Times New Roman" w:eastAsia="Times New Roman" w:hAnsi="Times New Roman"/>
                <w:sz w:val="18"/>
                <w:szCs w:val="18"/>
                <w:color w:val="auto"/>
              </w:rPr>
              <w:t>above does not involve the sale of “restricted securities” (as those</w:t>
            </w:r>
          </w:p>
        </w:tc>
        <w:tc>
          <w:tcPr>
            <w:tcW w:w="0" w:type="dxa"/>
            <w:vAlign w:val="bottom"/>
          </w:tcPr>
          <w:p>
            <w:pPr>
              <w:spacing w:after="0"/>
              <w:rPr>
                <w:sz w:val="1"/>
                <w:szCs w:val="1"/>
                <w:color w:val="auto"/>
              </w:rPr>
            </w:pPr>
          </w:p>
        </w:tc>
      </w:tr>
      <w:tr>
        <w:trPr>
          <w:trHeight w:val="211"/>
        </w:trPr>
        <w:tc>
          <w:tcPr>
            <w:tcW w:w="51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8"/>
              </w:rPr>
              <w:t>To the best of my knowledge, I have not (and am not deemed to</w:t>
            </w:r>
          </w:p>
        </w:tc>
        <w:tc>
          <w:tcPr>
            <w:tcW w:w="6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terms are defined in Rule 144 under the Securities Act of 1933, as</w:t>
            </w:r>
          </w:p>
        </w:tc>
        <w:tc>
          <w:tcPr>
            <w:tcW w:w="0" w:type="dxa"/>
            <w:vAlign w:val="bottom"/>
          </w:tcPr>
          <w:p>
            <w:pPr>
              <w:spacing w:after="0"/>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6140" w:type="dxa"/>
            <w:vAlign w:val="bottom"/>
          </w:tcPr>
          <w:p>
            <w:pPr>
              <w:ind w:left="1060"/>
              <w:spacing w:after="0" w:line="176" w:lineRule="exact"/>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06"/>
        </w:trPr>
        <w:tc>
          <w:tcPr>
            <w:tcW w:w="5120" w:type="dxa"/>
            <w:vAlign w:val="bottom"/>
          </w:tcPr>
          <w:p>
            <w:pPr>
              <w:ind w:left="560"/>
              <w:spacing w:after="0" w:line="206" w:lineRule="exact"/>
              <w:rPr>
                <w:sz w:val="20"/>
                <w:szCs w:val="20"/>
                <w:color w:val="auto"/>
              </w:rPr>
            </w:pPr>
            <w:r>
              <w:rPr>
                <w:rFonts w:ascii="Times New Roman" w:cs="Times New Roman" w:eastAsia="Times New Roman" w:hAnsi="Times New Roman"/>
                <w:sz w:val="18"/>
                <w:szCs w:val="18"/>
                <w:color w:val="auto"/>
              </w:rPr>
              <w:t>have) engaged in an opposite way transaction within the</w:t>
            </w:r>
          </w:p>
        </w:tc>
        <w:tc>
          <w:tcPr>
            <w:tcW w:w="6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previous 6 months that was not exempt from Section 16(b) of</w:t>
            </w:r>
          </w:p>
        </w:tc>
        <w:tc>
          <w:tcPr>
            <w:tcW w:w="61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To the best of my knowledge, the transaction requested above will</w:t>
            </w:r>
          </w:p>
        </w:tc>
        <w:tc>
          <w:tcPr>
            <w:tcW w:w="0" w:type="dxa"/>
            <w:vAlign w:val="bottom"/>
          </w:tcPr>
          <w:p>
            <w:pPr>
              <w:spacing w:after="0"/>
              <w:rPr>
                <w:sz w:val="1"/>
                <w:szCs w:val="1"/>
                <w:color w:val="auto"/>
              </w:rPr>
            </w:pPr>
          </w:p>
        </w:tc>
      </w:tr>
      <w:tr>
        <w:trPr>
          <w:trHeight w:val="66"/>
        </w:trPr>
        <w:tc>
          <w:tcPr>
            <w:tcW w:w="51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the Exchange Act.</w:t>
            </w:r>
          </w:p>
        </w:tc>
        <w:tc>
          <w:tcPr>
            <w:tcW w:w="6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5120" w:type="dxa"/>
            <w:vAlign w:val="bottom"/>
            <w:vMerge w:val="continue"/>
          </w:tcPr>
          <w:p>
            <w:pPr>
              <w:spacing w:after="0"/>
              <w:rPr>
                <w:sz w:val="14"/>
                <w:szCs w:val="14"/>
                <w:color w:val="auto"/>
              </w:rPr>
            </w:pPr>
          </w:p>
        </w:tc>
        <w:tc>
          <w:tcPr>
            <w:tcW w:w="61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meet all of the applicable conditions of Rule 144.</w:t>
            </w:r>
          </w:p>
        </w:tc>
        <w:tc>
          <w:tcPr>
            <w:tcW w:w="0" w:type="dxa"/>
            <w:vAlign w:val="bottom"/>
          </w:tcPr>
          <w:p>
            <w:pPr>
              <w:spacing w:after="0"/>
              <w:rPr>
                <w:sz w:val="1"/>
                <w:szCs w:val="1"/>
                <w:color w:val="auto"/>
              </w:rPr>
            </w:pPr>
          </w:p>
        </w:tc>
      </w:tr>
      <w:tr>
        <w:trPr>
          <w:trHeight w:val="66"/>
        </w:trPr>
        <w:tc>
          <w:tcPr>
            <w:tcW w:w="5120" w:type="dxa"/>
            <w:vAlign w:val="bottom"/>
          </w:tcPr>
          <w:p>
            <w:pPr>
              <w:spacing w:after="0"/>
              <w:rPr>
                <w:sz w:val="5"/>
                <w:szCs w:val="5"/>
                <w:color w:val="auto"/>
              </w:rPr>
            </w:pPr>
          </w:p>
        </w:tc>
        <w:tc>
          <w:tcPr>
            <w:tcW w:w="6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None of the above.</w:t>
            </w:r>
          </w:p>
        </w:tc>
        <w:tc>
          <w:tcPr>
            <w:tcW w:w="6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The transaction requested will be made pursuant to an effective</w:t>
            </w:r>
          </w:p>
        </w:tc>
        <w:tc>
          <w:tcPr>
            <w:tcW w:w="0" w:type="dxa"/>
            <w:vAlign w:val="bottom"/>
          </w:tcPr>
          <w:p>
            <w:pPr>
              <w:spacing w:after="0"/>
              <w:rPr>
                <w:sz w:val="1"/>
                <w:szCs w:val="1"/>
                <w:color w:val="auto"/>
              </w:rPr>
            </w:pPr>
          </w:p>
        </w:tc>
      </w:tr>
      <w:tr>
        <w:trPr>
          <w:trHeight w:val="228"/>
        </w:trPr>
        <w:tc>
          <w:tcPr>
            <w:tcW w:w="5120" w:type="dxa"/>
            <w:vAlign w:val="bottom"/>
          </w:tcPr>
          <w:p>
            <w:pPr>
              <w:spacing w:after="0"/>
              <w:rPr>
                <w:sz w:val="19"/>
                <w:szCs w:val="19"/>
                <w:color w:val="auto"/>
              </w:rPr>
            </w:pPr>
          </w:p>
        </w:tc>
        <w:tc>
          <w:tcPr>
            <w:tcW w:w="6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registration statement covering such transaction.</w:t>
            </w:r>
          </w:p>
        </w:tc>
        <w:tc>
          <w:tcPr>
            <w:tcW w:w="0" w:type="dxa"/>
            <w:vAlign w:val="bottom"/>
          </w:tcPr>
          <w:p>
            <w:pPr>
              <w:spacing w:after="0"/>
              <w:rPr>
                <w:sz w:val="1"/>
                <w:szCs w:val="1"/>
                <w:color w:val="auto"/>
              </w:rPr>
            </w:pPr>
          </w:p>
        </w:tc>
      </w:tr>
      <w:tr>
        <w:trPr>
          <w:trHeight w:val="501"/>
        </w:trPr>
        <w:tc>
          <w:tcPr>
            <w:tcW w:w="5120" w:type="dxa"/>
            <w:vAlign w:val="bottom"/>
          </w:tcPr>
          <w:p>
            <w:pPr>
              <w:spacing w:after="0"/>
              <w:rPr>
                <w:sz w:val="24"/>
                <w:szCs w:val="24"/>
                <w:color w:val="auto"/>
              </w:rPr>
            </w:pPr>
          </w:p>
        </w:tc>
        <w:tc>
          <w:tcPr>
            <w:tcW w:w="6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None of the above.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386" w:right="319" w:bottom="1440" w:gutter="0" w:footer="0" w:header="0"/>
        </w:sectPr>
      </w:pPr>
    </w:p>
    <w:bookmarkStart w:id="154" w:name="page155"/>
    <w:bookmarkEnd w:id="154"/>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908685</wp:posOffset>
            </wp:positionV>
            <wp:extent cx="7118985" cy="15138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7118985" cy="15138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7" w:lineRule="exact"/>
        <w:rPr>
          <w:sz w:val="20"/>
          <w:szCs w:val="20"/>
          <w:color w:val="auto"/>
        </w:rPr>
      </w:pPr>
    </w:p>
    <w:p>
      <w:pPr>
        <w:ind w:left="80"/>
        <w:spacing w:after="0" w:line="257"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Insider Trading Policy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22" w:lineRule="exact"/>
        <w:rPr>
          <w:sz w:val="20"/>
          <w:szCs w:val="20"/>
          <w:color w:val="auto"/>
        </w:rPr>
      </w:pPr>
    </w:p>
    <w:p>
      <w:pPr>
        <w:ind w:left="360"/>
        <w:spacing w:after="0"/>
        <w:tabs>
          <w:tab w:leader="none" w:pos="6140" w:val="left"/>
        </w:tabs>
        <w:rPr>
          <w:sz w:val="20"/>
          <w:szCs w:val="20"/>
          <w:color w:val="auto"/>
        </w:rPr>
      </w:pPr>
      <w:r>
        <w:rPr>
          <w:rFonts w:ascii="Times New Roman" w:cs="Times New Roman" w:eastAsia="Times New Roman" w:hAnsi="Times New Roman"/>
          <w:sz w:val="18"/>
          <w:szCs w:val="18"/>
          <w:color w:val="auto"/>
        </w:rPr>
        <w:t>Insider’s Signature</w:t>
      </w:r>
      <w:r>
        <w:rPr>
          <w:sz w:val="20"/>
          <w:szCs w:val="20"/>
          <w:color w:val="auto"/>
        </w:rPr>
        <w:tab/>
      </w:r>
      <w:r>
        <w:rPr>
          <w:rFonts w:ascii="Times New Roman" w:cs="Times New Roman" w:eastAsia="Times New Roman" w:hAnsi="Times New Roman"/>
          <w:sz w:val="16"/>
          <w:szCs w:val="16"/>
          <w:color w:val="auto"/>
        </w:rPr>
        <w:t>Date</w:t>
      </w:r>
    </w:p>
    <w:p>
      <w:pPr>
        <w:spacing w:after="0" w:line="2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72" w:lineRule="exact"/>
        <w:rPr>
          <w:sz w:val="20"/>
          <w:szCs w:val="20"/>
          <w:color w:val="auto"/>
        </w:rPr>
      </w:pPr>
    </w:p>
    <w:p>
      <w:pPr>
        <w:ind w:left="360"/>
        <w:spacing w:after="0"/>
        <w:tabs>
          <w:tab w:leader="none" w:pos="5820" w:val="left"/>
        </w:tabs>
        <w:rPr>
          <w:sz w:val="20"/>
          <w:szCs w:val="20"/>
          <w:color w:val="auto"/>
        </w:rPr>
      </w:pPr>
      <w:r>
        <w:rPr>
          <w:rFonts w:ascii="Times New Roman" w:cs="Times New Roman" w:eastAsia="Times New Roman" w:hAnsi="Times New Roman"/>
          <w:sz w:val="18"/>
          <w:szCs w:val="18"/>
          <w:color w:val="auto"/>
        </w:rPr>
        <w:t>Signature of Compliance Officer (or designee)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w:t>
      </w:r>
    </w:p>
    <w:p>
      <w:pPr>
        <w:sectPr>
          <w:pgSz w:w="11900" w:h="16838" w:orient="portrait"/>
          <w:cols w:equalWidth="0" w:num="1">
            <w:col w:w="10880"/>
          </w:cols>
          <w:pgMar w:left="320" w:top="1440" w:right="69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ACKNOWLEDGEMENT</w:t>
      </w:r>
    </w:p>
    <w:p>
      <w:pPr>
        <w:spacing w:after="0" w:line="224"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I hereby acknowledge that I have read, that I understand, and that I agree to comply with the Insider Trading Policy of The Macerich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 further acknowledge and agree that I am responsible for ensuring compliance with the Insider Trading Policy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72" w:lineRule="exact"/>
        <w:rPr>
          <w:sz w:val="20"/>
          <w:szCs w:val="20"/>
          <w:color w:val="auto"/>
        </w:rPr>
      </w:pPr>
    </w:p>
    <w:p>
      <w:pPr>
        <w:jc w:val="both"/>
        <w:ind w:firstLine="235"/>
        <w:spacing w:after="0" w:line="282" w:lineRule="auto"/>
        <w:rPr>
          <w:sz w:val="20"/>
          <w:szCs w:val="20"/>
          <w:color w:val="auto"/>
        </w:rPr>
      </w:pPr>
      <w:r>
        <w:rPr>
          <w:rFonts w:ascii="Times New Roman" w:cs="Times New Roman" w:eastAsia="Times New Roman" w:hAnsi="Times New Roman"/>
          <w:sz w:val="21"/>
          <w:szCs w:val="21"/>
          <w:color w:val="auto"/>
        </w:rPr>
        <w:t>Further, I acknowledge and agree that, to the extent I am an “Insider” for purposes of the Insider Trading Policy, all references in this Acknowledgment to the Insider Trading Policy include these Trading Procedures included therein.</w:t>
      </w:r>
    </w:p>
    <w:p>
      <w:pPr>
        <w:spacing w:after="0" w:line="170"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This acknowledgement constitutes consent for the Company to impose sanctions for violation of the Insider Trading Policy, including these Trading Procedures, and to issue any stop-transfer orders to the Company’s transfer agent that the Company, in its sole discretion, deems appropriate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tabs>
          <w:tab w:leader="none" w:pos="52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31115</wp:posOffset>
            </wp:positionV>
            <wp:extent cx="2484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248475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31115</wp:posOffset>
            </wp:positionV>
            <wp:extent cx="1581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spacing w:after="0" w:line="3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31115</wp:posOffset>
            </wp:positionV>
            <wp:extent cx="2484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2484755" cy="8255"/>
                    </a:xfrm>
                    <a:prstGeom prst="rect">
                      <a:avLst/>
                    </a:prstGeom>
                    <a:noFill/>
                  </pic:spPr>
                </pic:pic>
              </a:graphicData>
            </a:graphic>
          </wp:anchor>
        </w:drawing>
      </w:r>
    </w:p>
    <w:p>
      <w:pPr>
        <w:spacing w:after="0" w:line="3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31115</wp:posOffset>
            </wp:positionV>
            <wp:extent cx="2484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2484755" cy="825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 OF SUBSIDIARIES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ASSOCIATES, L.P., a Pennsylvania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C-3 ASSOCIATES, L.P.,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GP, LLC, a Pennsylvania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 MARKET VENTURE GP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 TYSONS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BROOKLYN KINGS PLAZA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CAM-CARSON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COOLIDGE HOLDING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CORTE MADERA VILLAGE,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DANBURY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DESERT SKY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EAST MESA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FASHION OUTLETS II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FASHION OUTLETS OF CHICAGO EXPANSION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FASHION OUTLETS OF CHICAGO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L.P., a Delaware limited partnership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II, L.P., a Cayman Islands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RETAIL FUND,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FOC ADJACENT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FREE RACE MALL REST., L.P., a New Jersey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FREEHOLD CHANDLER HOLDINGS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GOODYEAR PERIPHERAL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GREEN ACRES ADJACENT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HPP-MAC WSP, LLC, a Delaware limited liability company</w:t>
      </w:r>
    </w:p>
    <w:p>
      <w:pPr>
        <w:spacing w:after="0" w:line="111" w:lineRule="exact"/>
        <w:rPr>
          <w:sz w:val="20"/>
          <w:szCs w:val="20"/>
          <w:color w:val="auto"/>
        </w:rPr>
      </w:pPr>
    </w:p>
    <w:p>
      <w:pPr>
        <w:ind w:right="4540"/>
        <w:spacing w:after="0" w:line="347" w:lineRule="auto"/>
        <w:rPr>
          <w:sz w:val="20"/>
          <w:szCs w:val="20"/>
          <w:color w:val="auto"/>
        </w:rPr>
      </w:pPr>
      <w:r>
        <w:rPr>
          <w:rFonts w:ascii="Times New Roman" w:cs="Times New Roman" w:eastAsia="Times New Roman" w:hAnsi="Times New Roman"/>
          <w:sz w:val="19"/>
          <w:szCs w:val="19"/>
          <w:color w:val="auto"/>
        </w:rPr>
        <w:t>KIERLAND COMMONS INVESTMENT LLC, a Delaware limited liability company KINGS PLAZA ENERGY LLC, a Delaware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KINGS PLAZA GROUND LEASE LLC, a Delaware limited liability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ARIZONA MANAGEMENT LLC, a Delaware limited liability company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ARIZONA PARTNERS LLC, an Arizona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BUENAVENTURA LIMITED PARTNERSHIP,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FARGO ASSOCIATES, a California general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DEPTFORD ADJACENT LLC, a Delaware limited liability company</w:t>
      </w:r>
    </w:p>
    <w:p>
      <w:pPr>
        <w:sectPr>
          <w:pgSz w:w="11900" w:h="16838" w:orient="portrait"/>
          <w:cols w:equalWidth="0" w:num="1">
            <w:col w:w="11240"/>
          </w:cols>
          <w:pgMar w:left="320" w:top="137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color w:val="auto"/>
        </w:rPr>
        <w:t>MACERICH FRESNO ADJACENT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FRESNO LIMITED PARTNERSHIP, a California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HHF BROADWAY PLAZA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HHF CENTERS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HOLDINGS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INLAND LP,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INVESTMENTS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JANSS MARKETPLACE HOLDINGS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9.45 AC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GP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MANAGEMENT COMPANY, a California corporation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NB FREEHOLD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NIAGARA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NORTH PARK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PARTNERS OF COLORADO LLC, a Colorado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PPR CORP., a Maryland corporation</w:t>
      </w:r>
    </w:p>
    <w:p>
      <w:pPr>
        <w:spacing w:after="0" w:line="124" w:lineRule="exact"/>
        <w:rPr>
          <w:sz w:val="20"/>
          <w:szCs w:val="20"/>
          <w:color w:val="auto"/>
        </w:rPr>
      </w:pPr>
    </w:p>
    <w:p>
      <w:pPr>
        <w:ind w:right="2239"/>
        <w:spacing w:after="0" w:line="369" w:lineRule="auto"/>
        <w:rPr>
          <w:sz w:val="20"/>
          <w:szCs w:val="20"/>
          <w:color w:val="auto"/>
        </w:rPr>
      </w:pPr>
      <w:r>
        <w:rPr>
          <w:rFonts w:ascii="Times New Roman" w:cs="Times New Roman" w:eastAsia="Times New Roman" w:hAnsi="Times New Roman"/>
          <w:sz w:val="19"/>
          <w:szCs w:val="19"/>
          <w:color w:val="auto"/>
        </w:rPr>
        <w:t>MACERICH PROPERTY MANAGEMENT COMPANY, LLC, a Delaware limited liability company MACERICH SMP LP, a Delaware limited partnership</w:t>
      </w:r>
    </w:p>
    <w:p>
      <w:pPr>
        <w:spacing w:after="0"/>
        <w:rPr>
          <w:sz w:val="20"/>
          <w:szCs w:val="20"/>
          <w:color w:val="auto"/>
        </w:rPr>
      </w:pPr>
      <w:r>
        <w:rPr>
          <w:rFonts w:ascii="Times New Roman" w:cs="Times New Roman" w:eastAsia="Times New Roman" w:hAnsi="Times New Roman"/>
          <w:sz w:val="19"/>
          <w:szCs w:val="19"/>
          <w:color w:val="auto"/>
        </w:rPr>
        <w:t>MACERICH SOUTH PARK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STONEWOOD,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TYSONS LLC, a Delaware limited liability company</w:t>
      </w:r>
    </w:p>
    <w:p>
      <w:pPr>
        <w:spacing w:after="0" w:line="111" w:lineRule="exact"/>
        <w:rPr>
          <w:sz w:val="20"/>
          <w:szCs w:val="20"/>
          <w:color w:val="auto"/>
        </w:rPr>
      </w:pPr>
    </w:p>
    <w:p>
      <w:pPr>
        <w:ind w:right="3519"/>
        <w:spacing w:after="0" w:line="369" w:lineRule="auto"/>
        <w:rPr>
          <w:sz w:val="20"/>
          <w:szCs w:val="20"/>
          <w:color w:val="auto"/>
        </w:rPr>
      </w:pPr>
      <w:r>
        <w:rPr>
          <w:rFonts w:ascii="Times New Roman" w:cs="Times New Roman" w:eastAsia="Times New Roman" w:hAnsi="Times New Roman"/>
          <w:sz w:val="19"/>
          <w:szCs w:val="19"/>
          <w:color w:val="auto"/>
        </w:rPr>
        <w:t>MACERICH VALLEY RIVER CENTER LLC, a Delaware limited liability company MACERICH VICTOR VALLEY LP, a Delaware limited partnership</w:t>
      </w:r>
    </w:p>
    <w:p>
      <w:pPr>
        <w:spacing w:after="0"/>
        <w:rPr>
          <w:sz w:val="20"/>
          <w:szCs w:val="20"/>
          <w:color w:val="auto"/>
        </w:rPr>
      </w:pPr>
      <w:r>
        <w:rPr>
          <w:rFonts w:ascii="Times New Roman" w:cs="Times New Roman" w:eastAsia="Times New Roman" w:hAnsi="Times New Roman"/>
          <w:sz w:val="19"/>
          <w:szCs w:val="19"/>
          <w:color w:val="auto"/>
        </w:rPr>
        <w:t>MACERICH VINTAGE FAIRE ADJACENT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VINTAGE FAIRE LIMITED PARTNERSHIP,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MACJ,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MACPT LLC, a Delaware limited liability company</w:t>
      </w:r>
    </w:p>
    <w:p>
      <w:pPr>
        <w:spacing w:after="0" w:line="111" w:lineRule="exact"/>
        <w:rPr>
          <w:sz w:val="20"/>
          <w:szCs w:val="20"/>
          <w:color w:val="auto"/>
        </w:rPr>
      </w:pPr>
    </w:p>
    <w:p>
      <w:pPr>
        <w:ind w:right="5019"/>
        <w:spacing w:after="0" w:line="369" w:lineRule="auto"/>
        <w:rPr>
          <w:sz w:val="20"/>
          <w:szCs w:val="20"/>
          <w:color w:val="auto"/>
        </w:rPr>
      </w:pPr>
      <w:r>
        <w:rPr>
          <w:rFonts w:ascii="Times New Roman" w:cs="Times New Roman" w:eastAsia="Times New Roman" w:hAnsi="Times New Roman"/>
          <w:sz w:val="19"/>
          <w:szCs w:val="19"/>
          <w:color w:val="auto"/>
        </w:rPr>
        <w:t>MACW FREEHOLD, LLC, a Delaware limited liability company MACWH, LP, a Delaware limited partnership</w:t>
      </w:r>
    </w:p>
    <w:p>
      <w:pPr>
        <w:spacing w:after="0"/>
        <w:rPr>
          <w:sz w:val="20"/>
          <w:szCs w:val="20"/>
          <w:color w:val="auto"/>
        </w:rPr>
      </w:pPr>
      <w:r>
        <w:rPr>
          <w:rFonts w:ascii="Times New Roman" w:cs="Times New Roman" w:eastAsia="Times New Roman" w:hAnsi="Times New Roman"/>
          <w:sz w:val="19"/>
          <w:szCs w:val="19"/>
          <w:color w:val="auto"/>
        </w:rPr>
        <w:t>MACW MALL MANAGEMENT, INC., a New York corporation</w:t>
      </w:r>
    </w:p>
    <w:p>
      <w:pPr>
        <w:spacing w:after="0" w:line="124" w:lineRule="exact"/>
        <w:rPr>
          <w:sz w:val="20"/>
          <w:szCs w:val="20"/>
          <w:color w:val="auto"/>
        </w:rPr>
      </w:pPr>
    </w:p>
    <w:p>
      <w:pPr>
        <w:ind w:right="3579"/>
        <w:spacing w:after="0" w:line="369" w:lineRule="auto"/>
        <w:rPr>
          <w:sz w:val="20"/>
          <w:szCs w:val="20"/>
          <w:color w:val="auto"/>
        </w:rPr>
      </w:pPr>
      <w:r>
        <w:rPr>
          <w:rFonts w:ascii="Times New Roman" w:cs="Times New Roman" w:eastAsia="Times New Roman" w:hAnsi="Times New Roman"/>
          <w:sz w:val="19"/>
          <w:szCs w:val="19"/>
          <w:color w:val="auto"/>
        </w:rPr>
        <w:t>MACW PROPERTY MANAGEMENT, LLC, a New York limited liability company MACW TYSONS,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MP PS LLC, a Delaware limited liability company</w:t>
      </w:r>
    </w:p>
    <w:p>
      <w:pPr>
        <w:sectPr>
          <w:pgSz w:w="11900" w:h="16838" w:orient="portrait"/>
          <w:cols w:equalWidth="0" w:num="1">
            <w:col w:w="10139"/>
          </w:cols>
          <w:pgMar w:left="320" w:top="1434"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9"/>
          <w:szCs w:val="19"/>
          <w:color w:val="auto"/>
        </w:rPr>
        <w:t>MS DANBURY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MS PORTFOLIO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MVRC HOLDING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RIVER ASSOCIATES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ONE SCOTTSDALE INVESTORS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PACIFIC PREMIER RETAIL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PM GALLERY LP, a Delaware limited partnership</w:t>
      </w:r>
    </w:p>
    <w:p>
      <w:pPr>
        <w:spacing w:after="0" w:line="124" w:lineRule="exact"/>
        <w:rPr>
          <w:sz w:val="20"/>
          <w:szCs w:val="20"/>
          <w:color w:val="auto"/>
        </w:rPr>
      </w:pPr>
    </w:p>
    <w:p>
      <w:pPr>
        <w:ind w:right="4479"/>
        <w:spacing w:after="0" w:line="369" w:lineRule="auto"/>
        <w:rPr>
          <w:sz w:val="20"/>
          <w:szCs w:val="20"/>
          <w:color w:val="auto"/>
        </w:rPr>
      </w:pPr>
      <w:r>
        <w:rPr>
          <w:rFonts w:ascii="Times New Roman" w:cs="Times New Roman" w:eastAsia="Times New Roman" w:hAnsi="Times New Roman"/>
          <w:sz w:val="19"/>
          <w:szCs w:val="19"/>
          <w:color w:val="auto"/>
        </w:rPr>
        <w:t>PROPCOR II ASSOCIATES, LLC, an Arizona limited liability company PV LAND SPE,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PV LAND II SPE, LLC, a Delaware limited liability company</w:t>
      </w:r>
    </w:p>
    <w:p>
      <w:pPr>
        <w:spacing w:after="0" w:line="111" w:lineRule="exact"/>
        <w:rPr>
          <w:sz w:val="20"/>
          <w:szCs w:val="20"/>
          <w:color w:val="auto"/>
        </w:rPr>
      </w:pPr>
    </w:p>
    <w:p>
      <w:pPr>
        <w:ind w:right="4659"/>
        <w:spacing w:after="0" w:line="369" w:lineRule="auto"/>
        <w:rPr>
          <w:sz w:val="20"/>
          <w:szCs w:val="20"/>
          <w:color w:val="auto"/>
        </w:rPr>
      </w:pPr>
      <w:r>
        <w:rPr>
          <w:rFonts w:ascii="Times New Roman" w:cs="Times New Roman" w:eastAsia="Times New Roman" w:hAnsi="Times New Roman"/>
          <w:sz w:val="19"/>
          <w:szCs w:val="19"/>
          <w:color w:val="auto"/>
        </w:rPr>
        <w:t>PV RESIDENTIAL I SPE, LLC, a Delaware limited liability company PV RETAIL I SPE,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PV RETAIL II SPE,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QUEENS CENTER REIT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QUEENS CENTER SPE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SCOTTSDALE FASHION SQUARE PARTNERSHIP, an Arizona general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SM EASTLAND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SM VALLEY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MACERICH PARTNERSHIP,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WESTCOR COMPANY LIMITED PARTNERSHIP, an Arizona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WESTCOR COMPANY II LIMITED PARTNERSHIP, an Arizona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TM TRS HOLDING COMPANY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CORNER LLC, a Virginia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CORNER HOTEL I LLC, a Delaware limited liability company</w:t>
      </w:r>
    </w:p>
    <w:p>
      <w:pPr>
        <w:spacing w:after="0" w:line="111" w:lineRule="exact"/>
        <w:rPr>
          <w:sz w:val="20"/>
          <w:szCs w:val="20"/>
          <w:color w:val="auto"/>
        </w:rPr>
      </w:pPr>
    </w:p>
    <w:p>
      <w:pPr>
        <w:ind w:right="2939"/>
        <w:spacing w:after="0" w:line="369" w:lineRule="auto"/>
        <w:rPr>
          <w:sz w:val="20"/>
          <w:szCs w:val="20"/>
          <w:color w:val="auto"/>
        </w:rPr>
      </w:pPr>
      <w:r>
        <w:rPr>
          <w:rFonts w:ascii="Times New Roman" w:cs="Times New Roman" w:eastAsia="Times New Roman" w:hAnsi="Times New Roman"/>
          <w:sz w:val="19"/>
          <w:szCs w:val="19"/>
          <w:color w:val="auto"/>
        </w:rPr>
        <w:t>TYSONS CORNER PROPERTY HOLDINGS II LLC, a Delaware limited liability company TYSONS CORNER PROPERTY LLC, a Virginia limited liability company</w:t>
      </w:r>
    </w:p>
    <w:p>
      <w:pPr>
        <w:spacing w:after="0"/>
        <w:rPr>
          <w:sz w:val="20"/>
          <w:szCs w:val="20"/>
          <w:color w:val="auto"/>
        </w:rPr>
      </w:pPr>
      <w:r>
        <w:rPr>
          <w:rFonts w:ascii="Times New Roman" w:cs="Times New Roman" w:eastAsia="Times New Roman" w:hAnsi="Times New Roman"/>
          <w:sz w:val="19"/>
          <w:szCs w:val="19"/>
          <w:color w:val="auto"/>
        </w:rPr>
        <w:t>VALLEY STREAM GREEN ACRES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WESTCOR/GOODYEAR,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WESTCOR/PARADISE RIDGE, L.L.C., an Arizona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REALTY LIMITED PARTNERSHIP,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SANTAN ADJACENT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SANTAN VILLAGE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SURPRISE RSC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SURPRISE RSC II LLC, an Arizona limited liability company</w:t>
      </w:r>
    </w:p>
    <w:p>
      <w:pPr>
        <w:sectPr>
          <w:pgSz w:w="11900" w:h="16838" w:orient="portrait"/>
          <w:cols w:equalWidth="0" w:num="1">
            <w:col w:w="10139"/>
          </w:cols>
          <w:pgMar w:left="320" w:top="1434"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9"/>
          <w:szCs w:val="19"/>
          <w:color w:val="auto"/>
        </w:rPr>
        <w:t>WESTCOR SURPRISE WCW LLC, an Arizona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WESTCOR/SURPRISE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WILTON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WMAP, L.L.C., a Delaware limited liability company</w:t>
      </w:r>
    </w:p>
    <w:p>
      <w:pPr>
        <w:sectPr>
          <w:pgSz w:w="11900" w:h="16838" w:orient="portrait"/>
          <w:cols w:equalWidth="0" w:num="1">
            <w:col w:w="10139"/>
          </w:cols>
          <w:pgMar w:left="320" w:top="1434"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06" w:lineRule="exact"/>
        <w:rPr>
          <w:sz w:val="20"/>
          <w:szCs w:val="20"/>
          <w:color w:val="auto"/>
        </w:rPr>
      </w:pPr>
    </w:p>
    <w:p>
      <w:pPr>
        <w:ind w:right="40" w:firstLine="435"/>
        <w:spacing w:after="0" w:line="23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333-273707, 333-107063 and 333-121630) on Form S-3 and (Nos. 333-00584, 333-42309, 333-42303, 333-69995, 333-108193, 333-120585, 333-161371, 333-186915, 333-211816, 333-256832, 333-272464, 333-270005, 333-277503 and 333-279830) on Form S-8 of our reports dated February 28, 2025, with respect to the consolidated financial statements of The Macerich Company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38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Jackson Hsieh, certify that:</w:t>
      </w:r>
    </w:p>
    <w:p>
      <w:pPr>
        <w:spacing w:after="0" w:line="136" w:lineRule="exact"/>
        <w:rPr>
          <w:sz w:val="20"/>
          <w:szCs w:val="20"/>
          <w:color w:val="auto"/>
        </w:rPr>
      </w:pPr>
    </w:p>
    <w:p>
      <w:pPr>
        <w:ind w:left="560" w:hanging="555"/>
        <w:spacing w:after="0"/>
        <w:tabs>
          <w:tab w:leader="none" w:pos="5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2024 of The Macerich Company;</w:t>
      </w:r>
    </w:p>
    <w:p>
      <w:pPr>
        <w:spacing w:after="0" w:line="148" w:lineRule="exact"/>
        <w:rPr>
          <w:rFonts w:ascii="Times New Roman" w:cs="Times New Roman" w:eastAsia="Times New Roman" w:hAnsi="Times New Roman"/>
          <w:sz w:val="18"/>
          <w:szCs w:val="18"/>
          <w:color w:val="auto"/>
        </w:rPr>
      </w:pPr>
    </w:p>
    <w:p>
      <w:pPr>
        <w:jc w:val="both"/>
        <w:ind w:left="560" w:right="460" w:hanging="555"/>
        <w:spacing w:after="0" w:line="256" w:lineRule="auto"/>
        <w:tabs>
          <w:tab w:leader="none" w:pos="5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8"/>
          <w:szCs w:val="18"/>
          <w:color w:val="auto"/>
        </w:rPr>
      </w:pPr>
    </w:p>
    <w:p>
      <w:pPr>
        <w:ind w:left="560" w:right="440" w:hanging="555"/>
        <w:spacing w:after="0" w:line="269" w:lineRule="auto"/>
        <w:tabs>
          <w:tab w:leader="none" w:pos="5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Times New Roman" w:cs="Times New Roman" w:eastAsia="Times New Roman" w:hAnsi="Times New Roman"/>
          <w:sz w:val="18"/>
          <w:szCs w:val="18"/>
          <w:color w:val="auto"/>
        </w:rPr>
      </w:pPr>
    </w:p>
    <w:p>
      <w:pPr>
        <w:ind w:left="560" w:right="60" w:hanging="555"/>
        <w:spacing w:after="0" w:line="256" w:lineRule="auto"/>
        <w:tabs>
          <w:tab w:leader="none" w:pos="5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120" w:right="160" w:hanging="561"/>
        <w:spacing w:after="0" w:line="256" w:lineRule="auto"/>
        <w:tabs>
          <w:tab w:leader="none" w:pos="111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ind w:left="1120" w:right="480" w:hanging="561"/>
        <w:spacing w:after="0" w:line="256" w:lineRule="auto"/>
        <w:tabs>
          <w:tab w:leader="none" w:pos="111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Times New Roman" w:cs="Times New Roman" w:eastAsia="Times New Roman" w:hAnsi="Times New Roman"/>
          <w:sz w:val="18"/>
          <w:szCs w:val="18"/>
          <w:color w:val="auto"/>
        </w:rPr>
      </w:pPr>
    </w:p>
    <w:p>
      <w:pPr>
        <w:jc w:val="both"/>
        <w:ind w:left="1120" w:right="640" w:hanging="561"/>
        <w:spacing w:after="0" w:line="332" w:lineRule="auto"/>
        <w:tabs>
          <w:tab w:leader="none" w:pos="1117"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6"/>
          <w:szCs w:val="16"/>
          <w:color w:val="auto"/>
        </w:rPr>
      </w:pPr>
    </w:p>
    <w:p>
      <w:pPr>
        <w:ind w:left="1120" w:right="200" w:hanging="561"/>
        <w:spacing w:after="0" w:line="256" w:lineRule="auto"/>
        <w:tabs>
          <w:tab w:leader="none" w:pos="111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560" w:right="200" w:hanging="555"/>
        <w:spacing w:after="0" w:line="269" w:lineRule="auto"/>
        <w:tabs>
          <w:tab w:leader="none" w:pos="5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18"/>
          <w:szCs w:val="18"/>
          <w:color w:val="auto"/>
        </w:rPr>
      </w:pPr>
    </w:p>
    <w:p>
      <w:pPr>
        <w:ind w:left="1120" w:right="80" w:hanging="561"/>
        <w:spacing w:after="0" w:line="269" w:lineRule="auto"/>
        <w:tabs>
          <w:tab w:leader="none" w:pos="111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120" w:right="60" w:hanging="561"/>
        <w:spacing w:after="0" w:line="269" w:lineRule="auto"/>
        <w:tabs>
          <w:tab w:leader="none" w:pos="111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13970</wp:posOffset>
            </wp:positionV>
            <wp:extent cx="30784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3078480" cy="8255"/>
                    </a:xfrm>
                    <a:prstGeom prst="rect">
                      <a:avLst/>
                    </a:prstGeom>
                    <a:noFill/>
                  </pic:spPr>
                </pic:pic>
              </a:graphicData>
            </a:graphic>
          </wp:anchor>
        </w:drawing>
      </w:r>
    </w:p>
    <w:p>
      <w:pPr>
        <w:spacing w:after="0" w:line="8" w:lineRule="exact"/>
        <w:rPr>
          <w:sz w:val="20"/>
          <w:szCs w:val="20"/>
          <w:color w:val="auto"/>
        </w:rPr>
      </w:pPr>
    </w:p>
    <w:p>
      <w:pPr>
        <w:ind w:left="440"/>
        <w:spacing w:after="0"/>
        <w:tabs>
          <w:tab w:leader="none" w:pos="1240" w:val="left"/>
          <w:tab w:leader="none" w:pos="5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2025</w:t>
      </w:r>
      <w:r>
        <w:rPr>
          <w:sz w:val="20"/>
          <w:szCs w:val="20"/>
          <w:color w:val="auto"/>
        </w:rPr>
        <w:tab/>
      </w:r>
      <w:r>
        <w:rPr>
          <w:rFonts w:ascii="Times New Roman" w:cs="Times New Roman" w:eastAsia="Times New Roman" w:hAnsi="Times New Roman"/>
          <w:sz w:val="16"/>
          <w:szCs w:val="16"/>
          <w:i w:val="1"/>
          <w:iCs w:val="1"/>
          <w:color w:val="auto"/>
        </w:rPr>
        <w:t>Chief Executive Officer and Director</w:t>
      </w:r>
    </w:p>
    <w:p>
      <w:pPr>
        <w:sectPr>
          <w:pgSz w:w="11900" w:h="16838" w:orient="portrait"/>
          <w:cols w:equalWidth="0" w:num="1">
            <w:col w:w="11240"/>
          </w:cols>
          <w:pgMar w:left="320" w:top="1015"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E. Swanstrom II, certify that:</w:t>
      </w:r>
    </w:p>
    <w:p>
      <w:pPr>
        <w:spacing w:after="0" w:line="136" w:lineRule="exact"/>
        <w:rPr>
          <w:sz w:val="20"/>
          <w:szCs w:val="20"/>
          <w:color w:val="auto"/>
        </w:rPr>
      </w:pPr>
    </w:p>
    <w:p>
      <w:pPr>
        <w:ind w:left="640" w:hanging="635"/>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2024 of The Macerich Company;</w:t>
      </w:r>
    </w:p>
    <w:p>
      <w:pPr>
        <w:spacing w:after="0" w:line="148"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8"/>
          <w:szCs w:val="18"/>
          <w:color w:val="auto"/>
        </w:rPr>
      </w:pPr>
    </w:p>
    <w:p>
      <w:pPr>
        <w:ind w:left="640" w:right="360" w:hanging="635"/>
        <w:spacing w:after="0" w:line="269"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00" w:right="100" w:hanging="562"/>
        <w:spacing w:after="0" w:line="256" w:lineRule="auto"/>
        <w:tabs>
          <w:tab w:leader="none" w:pos="119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ind w:left="1200" w:right="400" w:hanging="562"/>
        <w:spacing w:after="0" w:line="256" w:lineRule="auto"/>
        <w:tabs>
          <w:tab w:leader="none" w:pos="119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Times New Roman" w:cs="Times New Roman" w:eastAsia="Times New Roman" w:hAnsi="Times New Roman"/>
          <w:sz w:val="18"/>
          <w:szCs w:val="18"/>
          <w:color w:val="auto"/>
        </w:rPr>
      </w:pPr>
    </w:p>
    <w:p>
      <w:pPr>
        <w:jc w:val="both"/>
        <w:ind w:left="1200" w:right="560" w:hanging="562"/>
        <w:spacing w:after="0" w:line="332" w:lineRule="auto"/>
        <w:tabs>
          <w:tab w:leader="none" w:pos="1197"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6"/>
          <w:szCs w:val="16"/>
          <w:color w:val="auto"/>
        </w:rPr>
      </w:pPr>
    </w:p>
    <w:p>
      <w:pPr>
        <w:ind w:left="1200" w:right="120" w:hanging="562"/>
        <w:spacing w:after="0" w:line="256" w:lineRule="auto"/>
        <w:tabs>
          <w:tab w:leader="none" w:pos="119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640" w:right="120" w:hanging="635"/>
        <w:spacing w:after="0" w:line="269"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18"/>
          <w:szCs w:val="18"/>
          <w:color w:val="auto"/>
        </w:rPr>
      </w:pPr>
    </w:p>
    <w:p>
      <w:pPr>
        <w:ind w:left="1200" w:right="800" w:hanging="562"/>
        <w:spacing w:after="0" w:line="332" w:lineRule="auto"/>
        <w:tabs>
          <w:tab w:leader="none" w:pos="1197"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6"/>
          <w:szCs w:val="16"/>
          <w:color w:val="auto"/>
        </w:rPr>
      </w:pPr>
    </w:p>
    <w:p>
      <w:pPr>
        <w:ind w:left="1200" w:right="520" w:hanging="562"/>
        <w:spacing w:after="0" w:line="269" w:lineRule="auto"/>
        <w:tabs>
          <w:tab w:leader="none" w:pos="119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13970</wp:posOffset>
            </wp:positionV>
            <wp:extent cx="34880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8" w:lineRule="exact"/>
        <w:rPr>
          <w:sz w:val="20"/>
          <w:szCs w:val="20"/>
          <w:color w:val="auto"/>
        </w:rPr>
      </w:pPr>
    </w:p>
    <w:p>
      <w:pPr>
        <w:ind w:left="380"/>
        <w:spacing w:after="0"/>
        <w:tabs>
          <w:tab w:leader="none" w:pos="1180" w:val="left"/>
          <w:tab w:leader="none" w:pos="5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2025</w:t>
      </w:r>
      <w:r>
        <w:rPr>
          <w:sz w:val="20"/>
          <w:szCs w:val="20"/>
          <w:color w:val="auto"/>
        </w:rPr>
        <w:tab/>
      </w:r>
      <w:r>
        <w:rPr>
          <w:rFonts w:ascii="Times New Roman" w:cs="Times New Roman" w:eastAsia="Times New Roman" w:hAnsi="Times New Roman"/>
          <w:sz w:val="16"/>
          <w:szCs w:val="16"/>
          <w:i w:val="1"/>
          <w:iCs w:val="1"/>
          <w:color w:val="auto"/>
        </w:rPr>
        <w:t>Senior Executive Vice President and Chief Financial Officer</w:t>
      </w:r>
    </w:p>
    <w:p>
      <w:pPr>
        <w:sectPr>
          <w:pgSz w:w="11900" w:h="16838" w:orient="portrait"/>
          <w:cols w:equalWidth="0" w:num="1">
            <w:col w:w="11240"/>
          </w:cols>
          <w:pgMar w:left="320" w:top="101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 (The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PURSUANT TO 18 U.S.C. SECTION 1350</w:t>
      </w:r>
    </w:p>
    <w:p>
      <w:pPr>
        <w:spacing w:after="0" w:line="131" w:lineRule="exact"/>
        <w:rPr>
          <w:sz w:val="20"/>
          <w:szCs w:val="20"/>
          <w:color w:val="auto"/>
        </w:rPr>
      </w:pPr>
    </w:p>
    <w:p>
      <w:pPr>
        <w:ind w:right="340" w:firstLine="435"/>
        <w:spacing w:after="0" w:line="269" w:lineRule="auto"/>
        <w:rPr>
          <w:sz w:val="20"/>
          <w:szCs w:val="20"/>
          <w:color w:val="auto"/>
        </w:rPr>
      </w:pPr>
      <w:r>
        <w:rPr>
          <w:rFonts w:ascii="Times New Roman" w:cs="Times New Roman" w:eastAsia="Times New Roman" w:hAnsi="Times New Roman"/>
          <w:sz w:val="18"/>
          <w:szCs w:val="18"/>
          <w:color w:val="auto"/>
        </w:rPr>
        <w:t>The undersigned, Jackson Hsieh and Daniel E. Swanstrom II, the Chief Executive Officer and Chief Financial Officer, respectively, of The Macerich Company (the "Company"), pursuant to 18 U.S.C. §1350, each hereby certify that, to the best of his knowledge:</w:t>
      </w:r>
    </w:p>
    <w:p>
      <w:pPr>
        <w:spacing w:after="0" w:line="102" w:lineRule="exact"/>
        <w:rPr>
          <w:sz w:val="20"/>
          <w:szCs w:val="20"/>
          <w:color w:val="auto"/>
        </w:rPr>
      </w:pPr>
    </w:p>
    <w:p>
      <w:pPr>
        <w:ind w:left="1280" w:right="40" w:hanging="563"/>
        <w:spacing w:after="0" w:line="269" w:lineRule="auto"/>
        <w:tabs>
          <w:tab w:leader="none" w:pos="12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2024 of the Company (the "Report") fully complies with the requirements of Section 13(a) and 15(d) of the Securities Exchange Act of 1934; and</w:t>
      </w:r>
    </w:p>
    <w:p>
      <w:pPr>
        <w:spacing w:after="0" w:line="89" w:lineRule="exact"/>
        <w:rPr>
          <w:rFonts w:ascii="Times New Roman" w:cs="Times New Roman" w:eastAsia="Times New Roman" w:hAnsi="Times New Roman"/>
          <w:sz w:val="18"/>
          <w:szCs w:val="18"/>
          <w:color w:val="auto"/>
        </w:rPr>
      </w:pPr>
    </w:p>
    <w:p>
      <w:pPr>
        <w:ind w:left="1280" w:right="600" w:hanging="563"/>
        <w:spacing w:after="0" w:line="269" w:lineRule="auto"/>
        <w:tabs>
          <w:tab w:leader="none" w:pos="127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13970</wp:posOffset>
            </wp:positionV>
            <wp:extent cx="35801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3580130"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13970</wp:posOffset>
            </wp:positionV>
            <wp:extent cx="35801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3580130"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10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decimal"/>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1)"/>
      <w:numFmt w:val="decimal"/>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1)"/>
      <w:numFmt w:val="decimal"/>
      <w:start w:val="1"/>
    </w:lvl>
  </w:abstractNum>
  <w:abstractNum w:abstractNumId="21">
    <w:nsid w:val="5FF87E05"/>
    <w:multiLevelType w:val="hybridMultilevel"/>
    <w:lvl w:ilvl="0">
      <w:lvlJc w:val="left"/>
      <w:lvlText w:val="(%1)"/>
      <w:numFmt w:val="decimal"/>
      <w:start w:val="4"/>
    </w:lvl>
  </w:abstractNum>
  <w:abstractNum w:abstractNumId="22">
    <w:nsid w:val="2F305DEF"/>
    <w:multiLevelType w:val="hybridMultilevel"/>
    <w:lvl w:ilvl="0">
      <w:lvlJc w:val="left"/>
      <w:lvlText w:val="(%1)"/>
      <w:numFmt w:val="decimal"/>
      <w:start w:val="1"/>
    </w:lvl>
  </w:abstractNum>
  <w:abstractNum w:abstractNumId="23">
    <w:nsid w:val="25A70BF7"/>
    <w:multiLevelType w:val="hybridMultilevel"/>
    <w:lvl w:ilvl="0">
      <w:lvlJc w:val="left"/>
      <w:lvlText w:val="(%1)"/>
      <w:numFmt w:val="decimal"/>
      <w:start w:val="2"/>
    </w:lvl>
  </w:abstractNum>
  <w:abstractNum w:abstractNumId="24">
    <w:nsid w:val="1DBABF00"/>
    <w:multiLevelType w:val="hybridMultilevel"/>
    <w:lvl w:ilvl="0">
      <w:lvlJc w:val="left"/>
      <w:lvlText w:val="(%1)"/>
      <w:numFmt w:val="decimal"/>
      <w:start w:val="17"/>
    </w:lvl>
  </w:abstractNum>
  <w:abstractNum w:abstractNumId="25">
    <w:nsid w:val="4AD084E9"/>
    <w:multiLevelType w:val="hybridMultilevel"/>
    <w:lvl w:ilvl="0">
      <w:lvlJc w:val="left"/>
      <w:lvlText w:val="(%1)"/>
      <w:numFmt w:val="decimal"/>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1)"/>
      <w:numFmt w:val="lowerRoman"/>
      <w:start w:val="2"/>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1"/>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3"/>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2"/>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2"/>
    </w:lvl>
  </w:abstractNum>
  <w:abstractNum w:abstractNumId="47">
    <w:nsid w:val="42963E5A"/>
    <w:multiLevelType w:val="hybridMultilevel"/>
    <w:lvl w:ilvl="0">
      <w:lvlJc w:val="left"/>
      <w:lvlText w:val="%1."/>
      <w:numFmt w:val="decimal"/>
      <w:start w:val="10"/>
    </w:lvl>
    <w:lvl w:ilvl="1">
      <w:lvlJc w:val="left"/>
      <w:lvlText w:val="(%2)"/>
      <w:numFmt w:val="decimal"/>
      <w:start w:val="5"/>
    </w:lvl>
  </w:abstractNum>
  <w:abstractNum w:abstractNumId="48">
    <w:nsid w:val="A0382C5"/>
    <w:multiLevelType w:val="hybridMultilevel"/>
    <w:lvl w:ilvl="0">
      <w:lvlJc w:val="left"/>
      <w:lvlText w:val="%1."/>
      <w:numFmt w:val="decimal"/>
      <w:start w:val="15"/>
    </w:lvl>
  </w:abstractNum>
  <w:abstractNum w:abstractNumId="49">
    <w:nsid w:val="8F2B15E"/>
    <w:multiLevelType w:val="hybridMultilevel"/>
    <w:lvl w:ilvl="0">
      <w:lvlJc w:val="left"/>
      <w:lvlText w:val="%1."/>
      <w:numFmt w:val="decimal"/>
      <w:start w:val="20"/>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1"/>
      <w:numFmt w:val="decimal"/>
      <w:start w:val="19"/>
    </w:lvl>
  </w:abstractNum>
  <w:abstractNum w:abstractNumId="52">
    <w:nsid w:val="68EB2F63"/>
    <w:multiLevelType w:val="hybridMultilevel"/>
    <w:lvl w:ilvl="0">
      <w:lvlJc w:val="left"/>
      <w:lvlText w:val="%1"/>
      <w:numFmt w:val="decimal"/>
      <w:start w:val="97"/>
    </w:lvl>
  </w:abstractNum>
  <w:abstractNum w:abstractNumId="53">
    <w:nsid w:val="4962813B"/>
    <w:multiLevelType w:val="hybridMultilevel"/>
    <w:lvl w:ilvl="0">
      <w:lvlJc w:val="left"/>
      <w:lvlText w:val="#"/>
      <w:numFmt w:val="bullet"/>
      <w:start w:val="1"/>
    </w:lvl>
    <w:lvl w:ilvl="1">
      <w:lvlJc w:val="left"/>
      <w:lvlText w:val="%2"/>
      <w:numFmt w:val="decimal"/>
      <w:start w:val="104"/>
    </w:lvl>
  </w:abstractNum>
  <w:abstractNum w:abstractNumId="54">
    <w:nsid w:val="60B6DF70"/>
    <w:multiLevelType w:val="hybridMultilevel"/>
    <w:lvl w:ilvl="0">
      <w:lvlJc w:val="left"/>
      <w:lvlText w:val="%1."/>
      <w:numFmt w:val="decimal"/>
      <w:start w:val="1"/>
    </w:lvl>
    <w:lvl w:ilvl="1">
      <w:lvlJc w:val="left"/>
      <w:lvlText w:val="(%2)"/>
      <w:numFmt w:val="lowerLetter"/>
      <w:start w:val="1"/>
    </w:lvl>
  </w:abstractNum>
  <w:abstractNum w:abstractNumId="55">
    <w:nsid w:val="6A5EE64"/>
    <w:multiLevelType w:val="hybridMultilevel"/>
    <w:lvl w:ilvl="0">
      <w:lvlJc w:val="left"/>
      <w:lvlText w:val="%1"/>
      <w:numFmt w:val="decimal"/>
      <w:start w:val="1"/>
    </w:lvl>
    <w:lvl w:ilvl="1">
      <w:lvlJc w:val="left"/>
      <w:lvlText w:val="(%2)"/>
      <w:numFmt w:val="lowerLetter"/>
      <w:start w:val="2"/>
    </w:lvl>
  </w:abstractNum>
  <w:abstractNum w:abstractNumId="56">
    <w:nsid w:val="14330624"/>
    <w:multiLevelType w:val="hybridMultilevel"/>
    <w:lvl w:ilvl="0">
      <w:lvlJc w:val="left"/>
      <w:lvlText w:val="%1."/>
      <w:numFmt w:val="decimal"/>
      <w:start w:val="3"/>
    </w:lvl>
    <w:lvl w:ilvl="1">
      <w:lvlJc w:val="left"/>
      <w:lvlText w:val="(%2)"/>
      <w:numFmt w:val="lowerLetter"/>
      <w:start w:val="1"/>
    </w:lvl>
  </w:abstractNum>
  <w:abstractNum w:abstractNumId="57">
    <w:nsid w:val="7FFFCA11"/>
    <w:multiLevelType w:val="hybridMultilevel"/>
    <w:lvl w:ilvl="0">
      <w:lvlJc w:val="left"/>
      <w:lvlText w:val="(%1)"/>
      <w:numFmt w:val="lowerLetter"/>
      <w:start w:val="2"/>
    </w:lvl>
  </w:abstractNum>
  <w:abstractNum w:abstractNumId="58">
    <w:nsid w:val="1A27709E"/>
    <w:multiLevelType w:val="hybridMultilevel"/>
    <w:lvl w:ilvl="0">
      <w:lvlJc w:val="left"/>
      <w:lvlText w:val="%1."/>
      <w:numFmt w:val="decimal"/>
      <w:start w:val="5"/>
    </w:lvl>
    <w:lvl w:ilvl="1">
      <w:lvlJc w:val="left"/>
      <w:lvlText w:val="(%2)"/>
      <w:numFmt w:val="lowerLetter"/>
      <w:start w:val="1"/>
    </w:lvl>
  </w:abstractNum>
  <w:abstractNum w:abstractNumId="59">
    <w:nsid w:val="71EA1109"/>
    <w:multiLevelType w:val="hybridMultilevel"/>
    <w:lvl w:ilvl="0">
      <w:lvlJc w:val="left"/>
      <w:lvlText w:val="(%1)"/>
      <w:numFmt w:val="lowerLetter"/>
      <w:start w:val="4"/>
    </w:lvl>
  </w:abstractNum>
  <w:abstractNum w:abstractNumId="60">
    <w:nsid w:val="100F59DC"/>
    <w:multiLevelType w:val="hybridMultilevel"/>
    <w:lvl w:ilvl="0">
      <w:lvlJc w:val="left"/>
      <w:lvlText w:val="%1"/>
      <w:numFmt w:val="decimal"/>
      <w:start w:val="1"/>
    </w:lvl>
    <w:lvl w:ilvl="1">
      <w:lvlJc w:val="left"/>
      <w:lvlText w:val="(%2)"/>
      <w:numFmt w:val="lowerLetter"/>
      <w:start w:val="5"/>
    </w:lvl>
  </w:abstractNum>
  <w:abstractNum w:abstractNumId="61">
    <w:nsid w:val="7FB7E0AA"/>
    <w:multiLevelType w:val="hybridMultilevel"/>
    <w:lvl w:ilvl="0">
      <w:lvlJc w:val="left"/>
      <w:lvlText w:val="%1."/>
      <w:numFmt w:val="decimal"/>
      <w:start w:val="7"/>
    </w:lvl>
    <w:lvl w:ilvl="1">
      <w:lvlJc w:val="left"/>
      <w:lvlText w:val="(%2)"/>
      <w:numFmt w:val="lowerLetter"/>
      <w:start w:val="1"/>
    </w:lvl>
  </w:abstractNum>
  <w:abstractNum w:abstractNumId="62">
    <w:nsid w:val="6EB5BD4"/>
    <w:multiLevelType w:val="hybridMultilevel"/>
    <w:lvl w:ilvl="0">
      <w:lvlJc w:val="left"/>
      <w:lvlText w:val="%1."/>
      <w:numFmt w:val="decimal"/>
      <w:start w:val="9"/>
    </w:lvl>
    <w:lvl w:ilvl="1">
      <w:lvlJc w:val="left"/>
      <w:lvlText w:val="(%2)"/>
      <w:numFmt w:val="lowerLetter"/>
      <w:start w:val="1"/>
    </w:lvl>
  </w:abstractNum>
  <w:abstractNum w:abstractNumId="63">
    <w:nsid w:val="6F6DD9AC"/>
    <w:multiLevelType w:val="hybridMultilevel"/>
    <w:lvl w:ilvl="0">
      <w:lvlJc w:val="left"/>
      <w:lvlText w:val="(%1)"/>
      <w:numFmt w:val="lowerLetter"/>
      <w:start w:val="2"/>
    </w:lvl>
  </w:abstractNum>
  <w:abstractNum w:abstractNumId="64">
    <w:nsid w:val="94211F2"/>
    <w:multiLevelType w:val="hybridMultilevel"/>
    <w:lvl w:ilvl="0">
      <w:lvlJc w:val="left"/>
      <w:lvlText w:val="(%1)"/>
      <w:numFmt w:val="lowerLetter"/>
      <w:start w:val="4"/>
    </w:lvl>
  </w:abstractNum>
  <w:abstractNum w:abstractNumId="65">
    <w:nsid w:val="885E1B"/>
    <w:multiLevelType w:val="hybridMultilevel"/>
    <w:lvl w:ilvl="0">
      <w:lvlJc w:val="left"/>
      <w:lvlText w:val="%1"/>
      <w:numFmt w:val="lowerLetter"/>
      <w:start w:val="1"/>
    </w:lvl>
    <w:lvl w:ilvl="1">
      <w:lvlJc w:val="left"/>
      <w:lvlText w:val="(%2)"/>
      <w:numFmt w:val="lowerLetter"/>
      <w:start w:val="9"/>
    </w:lvl>
  </w:abstractNum>
  <w:abstractNum w:abstractNumId="66">
    <w:nsid w:val="76272110"/>
    <w:multiLevelType w:val="hybridMultilevel"/>
    <w:lvl w:ilvl="0">
      <w:lvlJc w:val="left"/>
      <w:lvlText w:val="(%1)"/>
      <w:numFmt w:val="lowerLetter"/>
      <w:start w:val="6"/>
    </w:lvl>
    <w:lvl w:ilvl="1">
      <w:lvlJc w:val="left"/>
      <w:lvlText w:val="%2"/>
      <w:numFmt w:val="lowerLetter"/>
      <w:start w:val="1"/>
    </w:lvl>
  </w:abstractNum>
  <w:abstractNum w:abstractNumId="67">
    <w:nsid w:val="4C04A8AF"/>
    <w:multiLevelType w:val="hybridMultilevel"/>
    <w:lvl w:ilvl="0">
      <w:lvlJc w:val="left"/>
      <w:lvlText w:val="%1"/>
      <w:numFmt w:val="decimal"/>
      <w:start w:val="1"/>
    </w:lvl>
    <w:lvl w:ilvl="1">
      <w:lvlJc w:val="left"/>
      <w:lvlText w:val="(%2)"/>
      <w:numFmt w:val="lowerLetter"/>
      <w:start w:val="8"/>
    </w:lvl>
  </w:abstractNum>
  <w:abstractNum w:abstractNumId="68">
    <w:nsid w:val="1716703B"/>
    <w:multiLevelType w:val="hybridMultilevel"/>
    <w:lvl w:ilvl="0">
      <w:lvlJc w:val="left"/>
      <w:lvlText w:val="%1."/>
      <w:numFmt w:val="decimal"/>
      <w:start w:val="10"/>
    </w:lvl>
    <w:lvl w:ilvl="1">
      <w:lvlJc w:val="left"/>
      <w:lvlText w:val="%2"/>
      <w:numFmt w:val="lowerLetter"/>
      <w:start w:val="1"/>
    </w:lvl>
  </w:abstractNum>
  <w:abstractNum w:abstractNumId="69">
    <w:nsid w:val="14E17E33"/>
    <w:multiLevelType w:val="hybridMultilevel"/>
    <w:lvl w:ilvl="0">
      <w:lvlJc w:val="left"/>
      <w:lvlText w:val="(%1)"/>
      <w:numFmt w:val="decimal"/>
      <w:start w:val="10"/>
    </w:lvl>
    <w:lvl w:ilvl="1">
      <w:lvlJc w:val="left"/>
      <w:lvlText w:val="%2."/>
      <w:numFmt w:val="decimal"/>
      <w:start w:val="12"/>
    </w:lvl>
  </w:abstractNum>
  <w:abstractNum w:abstractNumId="70">
    <w:nsid w:val="3222E7CD"/>
    <w:multiLevelType w:val="hybridMultilevel"/>
    <w:lvl w:ilvl="0">
      <w:lvlJc w:val="left"/>
      <w:lvlText w:val="%1."/>
      <w:numFmt w:val="decimal"/>
      <w:start w:val="14"/>
    </w:lvl>
  </w:abstractNum>
  <w:abstractNum w:abstractNumId="71">
    <w:nsid w:val="74DE0EE3"/>
    <w:multiLevelType w:val="hybridMultilevel"/>
    <w:lvl w:ilvl="0">
      <w:lvlJc w:val="left"/>
      <w:lvlText w:val="%1."/>
      <w:numFmt w:val="decimal"/>
      <w:start w:val="15"/>
    </w:lvl>
  </w:abstractNum>
  <w:abstractNum w:abstractNumId="72">
    <w:nsid w:val="68EBC550"/>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73">
    <w:nsid w:val="2DF6D648"/>
    <w:multiLevelType w:val="hybridMultilevel"/>
    <w:lvl w:ilvl="0">
      <w:lvlJc w:val="left"/>
      <w:lvlText w:val="(%1)"/>
      <w:numFmt w:val="lowerRoman"/>
      <w:start w:val="3"/>
    </w:lvl>
  </w:abstractNum>
  <w:abstractNum w:abstractNumId="74">
    <w:nsid w:val="46B7D447"/>
    <w:multiLevelType w:val="hybridMultilevel"/>
    <w:lvl w:ilvl="0">
      <w:lvlJc w:val="left"/>
      <w:lvlText w:val="%1."/>
      <w:numFmt w:val="decimal"/>
      <w:start w:val="1"/>
    </w:lvl>
    <w:lvl w:ilvl="1">
      <w:lvlJc w:val="left"/>
      <w:lvlText w:val="%2."/>
      <w:numFmt w:val="lowerLetter"/>
      <w:start w:val="1"/>
    </w:lvl>
  </w:abstractNum>
  <w:abstractNum w:abstractNumId="75">
    <w:nsid w:val="4A2AC315"/>
    <w:multiLevelType w:val="hybridMultilevel"/>
    <w:lvl w:ilvl="0">
      <w:lvlJc w:val="left"/>
      <w:lvlText w:val="%1."/>
      <w:numFmt w:val="lowerLetter"/>
      <w:start w:val="5"/>
    </w:lvl>
  </w:abstractNum>
  <w:abstractNum w:abstractNumId="76">
    <w:nsid w:val="39EE015C"/>
    <w:multiLevelType w:val="hybridMultilevel"/>
    <w:lvl w:ilvl="0">
      <w:lvlJc w:val="left"/>
      <w:lvlText w:val="%1."/>
      <w:numFmt w:val="decimal"/>
      <w:start w:val="2"/>
    </w:lvl>
    <w:lvl w:ilvl="1">
      <w:lvlJc w:val="left"/>
      <w:lvlText w:val="%2."/>
      <w:numFmt w:val="lowerLetter"/>
      <w:start w:val="1"/>
    </w:lvl>
  </w:abstractNum>
  <w:abstractNum w:abstractNumId="77">
    <w:nsid w:val="57FC4FBB"/>
    <w:multiLevelType w:val="hybridMultilevel"/>
    <w:lvl w:ilvl="0">
      <w:lvlJc w:val="left"/>
      <w:lvlText w:val="%1"/>
      <w:numFmt w:val="decimal"/>
      <w:start w:val="1"/>
    </w:lvl>
    <w:lvl w:ilvl="1">
      <w:lvlJc w:val="left"/>
      <w:lvlText w:val="%2."/>
      <w:numFmt w:val="lowerLetter"/>
      <w:start w:val="4"/>
    </w:lvl>
  </w:abstractNum>
  <w:abstractNum w:abstractNumId="78">
    <w:nsid w:val="CC1016F"/>
    <w:multiLevelType w:val="hybridMultilevel"/>
    <w:lvl w:ilvl="0">
      <w:lvlJc w:val="left"/>
      <w:lvlText w:val="%1."/>
      <w:numFmt w:val="decimal"/>
      <w:start w:val="4"/>
    </w:lvl>
    <w:lvl w:ilvl="1">
      <w:lvlJc w:val="left"/>
      <w:lvlText w:val="%2"/>
      <w:numFmt w:val="lowerLetter"/>
      <w:start w:val="1"/>
    </w:lvl>
  </w:abstractNum>
  <w:abstractNum w:abstractNumId="79">
    <w:nsid w:val="43F18422"/>
    <w:multiLevelType w:val="hybridMultilevel"/>
    <w:lvl w:ilvl="0">
      <w:lvlJc w:val="left"/>
      <w:lvlText w:val="%1."/>
      <w:numFmt w:val="decimal"/>
      <w:start w:val="6"/>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1."/>
      <w:numFmt w:val="upperLetter"/>
      <w:start w:val="5"/>
    </w:lvl>
  </w:abstractNum>
  <w:abstractNum w:abstractNumId="86">
    <w:nsid w:val="50801EE1"/>
    <w:multiLevelType w:val="hybridMultilevel"/>
    <w:lvl w:ilvl="0">
      <w:lvlJc w:val="left"/>
      <w:lvlText w:val="%1."/>
      <w:numFmt w:val="upperLetter"/>
      <w:start w:val="1"/>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2"/>
    </w:lvl>
  </w:abstractNum>
  <w:abstractNum w:abstractNumId="89">
    <w:nsid w:val="6AA78F7F"/>
    <w:multiLevelType w:val="hybridMultilevel"/>
    <w:lvl w:ilvl="0">
      <w:lvlJc w:val="left"/>
      <w:lvlText w:val="%1."/>
      <w:numFmt w:val="decimal"/>
      <w:start w:val="3"/>
    </w:lvl>
  </w:abstractNum>
  <w:abstractNum w:abstractNumId="90">
    <w:nsid w:val="7672BD23"/>
    <w:multiLevelType w:val="hybridMultilevel"/>
    <w:lvl w:ilvl="0">
      <w:lvlJc w:val="left"/>
      <w:lvlText w:val="%1."/>
      <w:numFmt w:val="decimal"/>
      <w:start w:val="4"/>
    </w:lvl>
  </w:abstractNum>
  <w:abstractNum w:abstractNumId="91">
    <w:nsid w:val="6FC75AF8"/>
    <w:multiLevelType w:val="hybridMultilevel"/>
    <w:lvl w:ilvl="0">
      <w:lvlJc w:val="left"/>
      <w:lvlText w:val="%1."/>
      <w:numFmt w:val="decimal"/>
      <w:start w:val="5"/>
    </w:lvl>
  </w:abstractNum>
  <w:abstractNum w:abstractNumId="92">
    <w:nsid w:val="6A5F7029"/>
    <w:multiLevelType w:val="hybridMultilevel"/>
    <w:lvl w:ilvl="0">
      <w:lvlJc w:val="left"/>
      <w:lvlText w:val="%1."/>
      <w:numFmt w:val="upperLetter"/>
      <w:start w:val="2"/>
    </w:lvl>
  </w:abstractNum>
  <w:abstractNum w:abstractNumId="93">
    <w:nsid w:val="7D5E18F8"/>
    <w:multiLevelType w:val="hybridMultilevel"/>
    <w:lvl w:ilvl="0">
      <w:lvlJc w:val="left"/>
      <w:lvlText w:val="%1."/>
      <w:numFmt w:val="decimal"/>
      <w:start w:val="1"/>
    </w:lvl>
    <w:lvl w:ilvl="1">
      <w:lvlJc w:val="left"/>
      <w:lvlText w:val="•"/>
      <w:numFmt w:val="bullet"/>
      <w:start w:val="1"/>
    </w:lvl>
  </w:abstractNum>
  <w:abstractNum w:abstractNumId="94">
    <w:nsid w:val="5F3534A4"/>
    <w:multiLevelType w:val="hybridMultilevel"/>
    <w:lvl w:ilvl="0">
      <w:lvlJc w:val="left"/>
      <w:lvlText w:val="•"/>
      <w:numFmt w:val="bullet"/>
      <w:start w:val="1"/>
    </w:lvl>
    <w:lvl w:ilvl="1">
      <w:lvlJc w:val="left"/>
      <w:lvlText w:val="(%2)"/>
      <w:numFmt w:val="lowerRoman"/>
      <w:start w:val="1"/>
    </w:lvl>
  </w:abstractNum>
  <w:abstractNum w:abstractNumId="95">
    <w:nsid w:val="73A1821B"/>
    <w:multiLevelType w:val="hybridMultilevel"/>
    <w:lvl w:ilvl="0">
      <w:lvlJc w:val="left"/>
      <w:lvlText w:val="%1."/>
      <w:numFmt w:val="decimal"/>
      <w:start w:val="2"/>
    </w:lvl>
  </w:abstractNum>
  <w:abstractNum w:abstractNumId="96">
    <w:nsid w:val="7DE67713"/>
    <w:multiLevelType w:val="hybridMultilevel"/>
    <w:lvl w:ilvl="0">
      <w:lvlJc w:val="left"/>
      <w:lvlText w:val="%1."/>
      <w:numFmt w:val="decimal"/>
      <w:start w:val="3"/>
    </w:lvl>
  </w:abstractNum>
  <w:abstractNum w:abstractNumId="97">
    <w:nsid w:val="555C55B5"/>
    <w:multiLevelType w:val="hybridMultilevel"/>
    <w:lvl w:ilvl="0">
      <w:lvlJc w:val="left"/>
      <w:lvlText w:val="%1."/>
      <w:numFmt w:val="decimal"/>
      <w:start w:val="4"/>
    </w:lvl>
  </w:abstractNum>
  <w:abstractNum w:abstractNumId="98">
    <w:nsid w:val="3FA62ACA"/>
    <w:multiLevelType w:val="hybridMultilevel"/>
    <w:lvl w:ilvl="0">
      <w:lvlJc w:val="left"/>
      <w:lvlText w:val="%1."/>
      <w:numFmt w:val="decimal"/>
      <w:start w:val="5"/>
    </w:lvl>
  </w:abstractNum>
  <w:abstractNum w:abstractNumId="99">
    <w:nsid w:val="14FCE74E"/>
    <w:multiLevelType w:val="hybridMultilevel"/>
    <w:lvl w:ilvl="0">
      <w:lvlJc w:val="left"/>
      <w:lvlText w:val="%1."/>
      <w:numFmt w:val="decimal"/>
      <w:start w:val="6"/>
    </w:lvl>
  </w:abstractNum>
  <w:abstractNum w:abstractNumId="100">
    <w:nsid w:val="6A3DD3E8"/>
    <w:multiLevelType w:val="hybridMultilevel"/>
    <w:lvl w:ilvl="0">
      <w:lvlJc w:val="left"/>
      <w:lvlText w:val="%1."/>
      <w:numFmt w:val="upperLetter"/>
      <w:start w:val="3"/>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decimal"/>
      <w:start w:val="2"/>
    </w:lvl>
  </w:abstractNum>
  <w:abstractNum w:abstractNumId="103">
    <w:nsid w:val="53299938"/>
    <w:multiLevelType w:val="hybridMultilevel"/>
    <w:lvl w:ilvl="0">
      <w:lvlJc w:val="left"/>
      <w:lvlText w:val="(%1)"/>
      <w:numFmt w:val="decimal"/>
      <w:start w:val="10"/>
    </w:lvl>
    <w:lvl w:ilvl="1">
      <w:lvlJc w:val="left"/>
      <w:lvlText w:val="*"/>
      <w:numFmt w:val="bullet"/>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5" Type="http://schemas.openxmlformats.org/officeDocument/2006/relationships/image" Target="media/image115.png"/><Relationship Id="rId148" Type="http://schemas.openxmlformats.org/officeDocument/2006/relationships/image" Target="media/image116.png"/><Relationship Id="rId163" Type="http://schemas.openxmlformats.org/officeDocument/2006/relationships/image" Target="media/image117.png"/><Relationship Id="rId170" Type="http://schemas.openxmlformats.org/officeDocument/2006/relationships/image" Target="media/image118.png"/><Relationship Id="rId185"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122" Type="http://schemas.openxmlformats.org/officeDocument/2006/relationships/hyperlink" Target="https://www.sec.gov/Archives/edgar/data/912242/000110465914081468/a14-24669_1ex2d1.htm" TargetMode="External"/><Relationship Id="rId123" Type="http://schemas.openxmlformats.org/officeDocument/2006/relationships/hyperlink" Target="https://www.sec.gov/Archives/edgar/data/912242/0001047469-99-012492.txt" TargetMode="External"/><Relationship Id="rId124" Type="http://schemas.openxmlformats.org/officeDocument/2006/relationships/hyperlink" Target="https://www.sec.gov/Archives/edgar/data/912242/000091205702030706/a2086079zex-3_1.htm" TargetMode="External"/><Relationship Id="rId125" Type="http://schemas.openxmlformats.org/officeDocument/2006/relationships/hyperlink" Target="https://www.sec.gov/Archives/edgar/data/912242/000091205702021417/a2080342zex-4_6.htm" TargetMode="External"/><Relationship Id="rId126" Type="http://schemas.openxmlformats.org/officeDocument/2006/relationships/hyperlink" Target="https://www.sec.gov/Archives/edgar/data/912242/000104746909001981/a2189901zex-3_15.htm" TargetMode="External"/><Relationship Id="rId127" Type="http://schemas.openxmlformats.org/officeDocument/2006/relationships/hyperlink" Target="https://www.sec.gov/Archives/edgar/data/912242/000110465909008348/a09-5253_1ex3d1.htm" TargetMode="External"/><Relationship Id="rId128" Type="http://schemas.openxmlformats.org/officeDocument/2006/relationships/hyperlink" Target="https://www.sec.gov/Archives/edgar/data/912242/000104746909007391/a2193924zex-3_17.htm" TargetMode="External"/><Relationship Id="rId129" Type="http://schemas.openxmlformats.org/officeDocument/2006/relationships/hyperlink" Target="https://www.sec.gov/Archives/edgar/data/912242/000110465914043330/a14-14485_1ex3d1.htm" TargetMode="External"/><Relationship Id="rId130" Type="http://schemas.openxmlformats.org/officeDocument/2006/relationships/hyperlink" Target="https://www.sec.gov/Archives/edgar/data/912242/000110465915020412/a15-6870_1ex3d1.htm" TargetMode="External"/><Relationship Id="rId131" Type="http://schemas.openxmlformats.org/officeDocument/2006/relationships/hyperlink" Target="https://www.sec.gov/Archives/edgar/data/912242/000110465915020810/a15-6873_1ex3d1.htm" TargetMode="External"/><Relationship Id="rId132" Type="http://schemas.openxmlformats.org/officeDocument/2006/relationships/hyperlink" Target="https://www.sec.gov/Archives/edgar/data/912242/000110465915037228/a15-11185_1ex3d1.htm" TargetMode="External"/><Relationship Id="rId133" Type="http://schemas.openxmlformats.org/officeDocument/2006/relationships/hyperlink" Target="https://www.sec.gov/Archives/edgar/data/912242/000110465915042631/a15-13305_1ex3d1.htm" TargetMode="External"/><Relationship Id="rId134" Type="http://schemas.openxmlformats.org/officeDocument/2006/relationships/hyperlink" Target="https://www.sec.gov/Archives/edgar/data/912242/000119312519129272/d731295dex31.htm" TargetMode="External"/><Relationship Id="rId136" Type="http://schemas.openxmlformats.org/officeDocument/2006/relationships/hyperlink" Target="https://www.sec.gov/Archives/edgar/data/912242/000119312521182973/d417870dex31.htm" TargetMode="External"/><Relationship Id="rId137" Type="http://schemas.openxmlformats.org/officeDocument/2006/relationships/hyperlink" Target="https://www.sec.gov/Archives/edgar/data/912242/000119312523021287/d443019dex31.htm" TargetMode="External"/><Relationship Id="rId138" Type="http://schemas.openxmlformats.org/officeDocument/2006/relationships/hyperlink" Target="https://www.sec.gov/ix?doc=/Archives/edgar/data/912242/000091224223000007/mac-20221231.htm" TargetMode="External"/><Relationship Id="rId139" Type="http://schemas.openxmlformats.org/officeDocument/2006/relationships/hyperlink" Target="https://www.sec.gov/Archives/edgar/data/912242/0000898822-98-001027.txt" TargetMode="External"/><Relationship Id="rId140" Type="http://schemas.openxmlformats.org/officeDocument/2006/relationships/hyperlink" Target="https://www.sec.gov/Archives/edgar/data/912242/000104746903024203/a2114547zex-4_13.htm" TargetMode="External"/><Relationship Id="rId141" Type="http://schemas.openxmlformats.org/officeDocument/2006/relationships/hyperlink" Target="https://www.sec.gov/Archives/edgar/data/912242/0000912242-97-000007.txt" TargetMode="External"/><Relationship Id="rId142" Type="http://schemas.openxmlformats.org/officeDocument/2006/relationships/hyperlink" Target="https://www.sec.gov/Archives/edgar/data/912242/0000912057-97-023459.txt" TargetMode="External"/><Relationship Id="rId143" Type="http://schemas.openxmlformats.org/officeDocument/2006/relationships/hyperlink" Target="https://www.sec.gov/Archives/edgar/data/912242/0001047469-98-011649.txt" TargetMode="External"/><Relationship Id="rId144" Type="http://schemas.openxmlformats.org/officeDocument/2006/relationships/hyperlink" Target="https://www.sec.gov/Archives/edgar/data/912242/000091205701505482/a2042811zex-10_17.htm" TargetMode="External"/><Relationship Id="rId145" Type="http://schemas.openxmlformats.org/officeDocument/2006/relationships/hyperlink" Target="https://www.sec.gov/Archives/edgar/data/912242/000091205702030706/a2086079zex-10_1.htm" TargetMode="External"/><Relationship Id="rId146" Type="http://schemas.openxmlformats.org/officeDocument/2006/relationships/hyperlink" Target="https://www.sec.gov/Archives/edgar/data/912242/000104746907001438/a2175451zex-10_19.htm" TargetMode="External"/><Relationship Id="rId147" Type="http://schemas.openxmlformats.org/officeDocument/2006/relationships/hyperlink" Target="https://www.sec.gov/Archives/edgar/data/912242/000110465907021619/a07-8493_1ex10d1.htm" TargetMode="External"/><Relationship Id="rId149" Type="http://schemas.openxmlformats.org/officeDocument/2006/relationships/hyperlink" Target="https://www.sec.gov/Archives/edgar/data/912242/000104746909007391/a2193924zex-10_1.htm" TargetMode="External"/><Relationship Id="rId150" Type="http://schemas.openxmlformats.org/officeDocument/2006/relationships/hyperlink" Target="https://www.sec.gov/Archives/edgar/data/912242/000104746910001497/a2196442zex-10_112.htm" TargetMode="External"/><Relationship Id="rId151" Type="http://schemas.openxmlformats.org/officeDocument/2006/relationships/hyperlink" Target="https://www.sec.gov/Archives/edgar/data/912242/000091224222000003/mac-20211231x10kex10113.htm" TargetMode="External"/><Relationship Id="rId152" Type="http://schemas.openxmlformats.org/officeDocument/2006/relationships/hyperlink" Target="https://www.sec.gov/Archives/edgar/data/912242/000110465905019358/a05-7552_1ex10d2.htm" TargetMode="External"/><Relationship Id="rId153" Type="http://schemas.openxmlformats.org/officeDocument/2006/relationships/hyperlink" Target="https://www.sec.gov/Archives/edgar/data/912242/000104746904007699/a2130493zex-10_5.htm" TargetMode="External"/><Relationship Id="rId154" Type="http://schemas.openxmlformats.org/officeDocument/2006/relationships/hyperlink" Target="https://www.sec.gov/Archives/edgar/data/912242/000104746909001981/a2189901zex-10_51.htm" TargetMode="External"/><Relationship Id="rId155" Type="http://schemas.openxmlformats.org/officeDocument/2006/relationships/hyperlink" Target="https://www.sec.gov/Archives/edgar/data/912242/000104746911006998/a2204925zex-10_1.htm" TargetMode="External"/><Relationship Id="rId156" Type="http://schemas.openxmlformats.org/officeDocument/2006/relationships/hyperlink" Target="https://www.sec.gov/Archives/edgar/data/912242/000104746912010061/a2211558zex-10_1.htm" TargetMode="External"/><Relationship Id="rId157" Type="http://schemas.openxmlformats.org/officeDocument/2006/relationships/hyperlink" Target="https://www.sec.gov/Archives/edgar/data/912242/000104746904007699/a2130493zex-10_6.htm" TargetMode="External"/><Relationship Id="rId158" Type="http://schemas.openxmlformats.org/officeDocument/2006/relationships/hyperlink" Target="https://www.sec.gov/Archives/edgar/data/912242/000104746909001981/a2189901zex-10_61.htm" TargetMode="External"/><Relationship Id="rId159" Type="http://schemas.openxmlformats.org/officeDocument/2006/relationships/hyperlink" Target="https://www.sec.gov/Archives/edgar/data/912242/000104746911006998/a2204925zex-10_3.htm" TargetMode="External"/><Relationship Id="rId160" Type="http://schemas.openxmlformats.org/officeDocument/2006/relationships/hyperlink" Target="https://www.sec.gov/Archives/edgar/data/912242/000104746912010061/a2211558zex-10_2.htm" TargetMode="External"/><Relationship Id="rId161" Type="http://schemas.openxmlformats.org/officeDocument/2006/relationships/hyperlink" Target="https://www.sec.gov/Archives/edgar/data/912242/000091224223000007/mac-20221231x10kex104.htm" TargetMode="External"/><Relationship Id="rId162" Type="http://schemas.openxmlformats.org/officeDocument/2006/relationships/hyperlink" Target="https://www.sec.gov/Archives/edgar/data/912242/000091224216000020/mac-2015x12x31x10kxex108.htm" TargetMode="External"/><Relationship Id="rId164" Type="http://schemas.openxmlformats.org/officeDocument/2006/relationships/hyperlink" Target="https://www.sec.gov/Archives/edgar/data/912242/000091224219000013/mac-6302019xexhibit101.htm" TargetMode="External"/><Relationship Id="rId165" Type="http://schemas.openxmlformats.org/officeDocument/2006/relationships/hyperlink" Target="https://www.sec.gov/Archives/edgar/data/912242/000104746904007699/a2130493zex-10_48.htm" TargetMode="External"/><Relationship Id="rId166" Type="http://schemas.openxmlformats.org/officeDocument/2006/relationships/hyperlink" Target="https://www.sec.gov/Archives/edgar/data/912242/000104746909001981/a2189901zex-10_19.htm" TargetMode="External"/><Relationship Id="rId167" Type="http://schemas.openxmlformats.org/officeDocument/2006/relationships/hyperlink" Target="https://www.sec.gov/Archives/edgar/data/912242/000091205702030706/a2086079zex-10_2.htm" TargetMode="External"/><Relationship Id="rId168" Type="http://schemas.openxmlformats.org/officeDocument/2006/relationships/hyperlink" Target="https://www.sec.gov/Archives/edgar/data/912242/000091205702030706/a2086079zex-10_3.htm" TargetMode="External"/><Relationship Id="rId169" Type="http://schemas.openxmlformats.org/officeDocument/2006/relationships/hyperlink" Target="https://www.sec.gov/Archives/edgar/data/912242/000119312523236004/d437561dex101.htm" TargetMode="External"/><Relationship Id="rId171" Type="http://schemas.openxmlformats.org/officeDocument/2006/relationships/hyperlink" Target="https://www.sec.gov/Archives/edgar/data/912242/000119312523236004/d437561dex102.htm" TargetMode="External"/><Relationship Id="rId172" Type="http://schemas.openxmlformats.org/officeDocument/2006/relationships/hyperlink" Target="https://www.sec.gov/Archives/edgar/data/912242/000110465905019358/a05-7552_1ex10d3.htm" TargetMode="External"/><Relationship Id="rId173" Type="http://schemas.openxmlformats.org/officeDocument/2006/relationships/hyperlink" Target="https://www.sec.gov/Archives/edgar/data/912242/000119312523160708/d472381dex101.htm" TargetMode="External"/><Relationship Id="rId174" Type="http://schemas.openxmlformats.org/officeDocument/2006/relationships/hyperlink" Target="https://www.sec.gov/Archives/edgar/data/912242/000104746911001377/a2201763zex-10_271.htm" TargetMode="External"/><Relationship Id="rId175" Type="http://schemas.openxmlformats.org/officeDocument/2006/relationships/hyperlink" Target="https://www.sec.gov/Archives/edgar/data/912242/000119312521182973/d417870dex101.htm" TargetMode="External"/><Relationship Id="rId176" Type="http://schemas.openxmlformats.org/officeDocument/2006/relationships/hyperlink" Target="https://www.sec.gov/Archives/edgar/data/912242/000119312524150381/d794336dex992.htm" TargetMode="External"/><Relationship Id="rId177" Type="http://schemas.openxmlformats.org/officeDocument/2006/relationships/hyperlink" Target="https://www.sec.gov/Archives/edgar/data/912242/000091224224000130/mac-20240930x10qexhibit101.htm" TargetMode="External"/><Relationship Id="rId178" Type="http://schemas.openxmlformats.org/officeDocument/2006/relationships/hyperlink" Target="https://www.sec.gov/Archives/edgar/data/912242/000119312521191224/d77146dex101.htm" TargetMode="External"/><Relationship Id="rId179" Type="http://schemas.openxmlformats.org/officeDocument/2006/relationships/hyperlink" Target="https://www.sec.gov/Archives/edgar/data/912242/000110465905019358/a05-7552_1ex10d1.htm" TargetMode="External"/><Relationship Id="rId180" Type="http://schemas.openxmlformats.org/officeDocument/2006/relationships/hyperlink" Target="https://www.sec.gov/Archives/edgar/data/912242/000110465905019358/a05-7552_1ex10d4.htm" TargetMode="External"/><Relationship Id="rId181" Type="http://schemas.openxmlformats.org/officeDocument/2006/relationships/hyperlink" Target="https://www.sec.gov/Archives/edgar/data/912242/000091224224000083/mac-20240331x10qexhibit102.htm" TargetMode="External"/><Relationship Id="rId182" Type="http://schemas.openxmlformats.org/officeDocument/2006/relationships/hyperlink" Target="https://www.sec.gov/Archives/edgar/data/912242/000091224224000083/mac-20240331x10qexhibit103.htm" TargetMode="External"/><Relationship Id="rId183" Type="http://schemas.openxmlformats.org/officeDocument/2006/relationships/hyperlink" Target="https://www.sec.gov/Archives/edgar/data/912242/000091224224000083/mac-20240331x10qexhibit104.htm" TargetMode="External"/><Relationship Id="rId184" Type="http://schemas.openxmlformats.org/officeDocument/2006/relationships/hyperlink" Target="https://www.sec.gov/Archives/edgar/data/912242/000091224224000083/mac-20240331x10qexhibit105.htm" TargetMode="External"/><Relationship Id="rId186" Type="http://schemas.openxmlformats.org/officeDocument/2006/relationships/hyperlink" Target="https://www.sec.gov/Archives/edgar/data/912242/000091224224000083/mac-20240331x10qexhibit106.htm" TargetMode="External"/><Relationship Id="rId187" Type="http://schemas.openxmlformats.org/officeDocument/2006/relationships/hyperlink" Target="https://www.sec.gov/Archives/edgar/data/912242/000091224224000026/mac-20231231x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2025-02-28T08:06:39Z</dcterms:created>
  <dcterms:modified xsi:type="dcterms:W3CDTF">2025-02-28T08:06:39Z</dcterms:modified>
</cp:coreProperties>
</file>