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414655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380365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204470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Pursuant to Section 13 or 15(d)</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194945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39"/>
          <w:szCs w:val="39"/>
          <w:b w:val="1"/>
          <w:bCs w:val="1"/>
          <w:color w:val="auto"/>
        </w:rPr>
        <w:t>THE MACERICH COMPANY</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220" w:type="dxa"/>
        <w:tblCellMar>
          <w:top w:w="0" w:type="dxa"/>
          <w:left w:w="0" w:type="dxa"/>
          <w:bottom w:w="0" w:type="dxa"/>
          <w:right w:w="0" w:type="dxa"/>
        </w:tblCellMar>
      </w:tblPr>
      <w:tr>
        <w:trPr>
          <w:trHeight w:val="223"/>
        </w:trPr>
        <w:tc>
          <w:tcPr>
            <w:tcW w:w="1800" w:type="dxa"/>
            <w:vAlign w:val="bottom"/>
          </w:tcPr>
          <w:p>
            <w:pPr>
              <w:jc w:val="center"/>
              <w:ind w:right="254"/>
              <w:spacing w:after="0"/>
              <w:rPr>
                <w:sz w:val="20"/>
                <w:szCs w:val="20"/>
                <w:color w:val="auto"/>
              </w:rPr>
            </w:pPr>
            <w:r>
              <w:rPr>
                <w:rFonts w:ascii="Arial" w:cs="Arial" w:eastAsia="Arial" w:hAnsi="Arial"/>
                <w:sz w:val="16"/>
                <w:szCs w:val="16"/>
                <w:b w:val="1"/>
                <w:bCs w:val="1"/>
                <w:color w:val="auto"/>
              </w:rPr>
              <w:t>Maryland</w:t>
            </w:r>
          </w:p>
        </w:tc>
        <w:tc>
          <w:tcPr>
            <w:tcW w:w="5320" w:type="dxa"/>
            <w:vAlign w:val="bottom"/>
          </w:tcPr>
          <w:p>
            <w:pPr>
              <w:jc w:val="center"/>
              <w:ind w:right="73"/>
              <w:spacing w:after="0"/>
              <w:rPr>
                <w:sz w:val="20"/>
                <w:szCs w:val="20"/>
                <w:color w:val="auto"/>
              </w:rPr>
            </w:pPr>
            <w:r>
              <w:rPr>
                <w:rFonts w:ascii="Arial" w:cs="Arial" w:eastAsia="Arial" w:hAnsi="Arial"/>
                <w:sz w:val="14"/>
                <w:szCs w:val="14"/>
                <w:b w:val="1"/>
                <w:bCs w:val="1"/>
                <w:color w:val="auto"/>
              </w:rPr>
              <w:t>1-12504</w:t>
            </w:r>
          </w:p>
        </w:tc>
        <w:tc>
          <w:tcPr>
            <w:tcW w:w="1440" w:type="dxa"/>
            <w:vAlign w:val="bottom"/>
          </w:tcPr>
          <w:p>
            <w:pPr>
              <w:jc w:val="center"/>
              <w:ind w:left="377"/>
              <w:spacing w:after="0"/>
              <w:rPr>
                <w:sz w:val="20"/>
                <w:szCs w:val="20"/>
                <w:color w:val="auto"/>
              </w:rPr>
            </w:pPr>
            <w:r>
              <w:rPr>
                <w:rFonts w:ascii="Arial" w:cs="Arial" w:eastAsia="Arial" w:hAnsi="Arial"/>
                <w:sz w:val="14"/>
                <w:szCs w:val="14"/>
                <w:b w:val="1"/>
                <w:bCs w:val="1"/>
                <w:color w:val="auto"/>
              </w:rPr>
              <w:t>95-4448705</w:t>
            </w:r>
          </w:p>
        </w:tc>
      </w:tr>
      <w:tr>
        <w:trPr>
          <w:trHeight w:val="146"/>
        </w:trPr>
        <w:tc>
          <w:tcPr>
            <w:tcW w:w="1800" w:type="dxa"/>
            <w:vAlign w:val="bottom"/>
          </w:tcPr>
          <w:p>
            <w:pPr>
              <w:jc w:val="center"/>
              <w:ind w:right="274"/>
              <w:spacing w:after="0"/>
              <w:rPr>
                <w:sz w:val="20"/>
                <w:szCs w:val="20"/>
                <w:color w:val="auto"/>
              </w:rPr>
            </w:pPr>
            <w:r>
              <w:rPr>
                <w:rFonts w:ascii="Arial" w:cs="Arial" w:eastAsia="Arial" w:hAnsi="Arial"/>
                <w:sz w:val="12"/>
                <w:szCs w:val="12"/>
                <w:b w:val="1"/>
                <w:bCs w:val="1"/>
                <w:color w:val="auto"/>
                <w:w w:val="97"/>
              </w:rPr>
              <w:t>(State or other jurisdiction</w:t>
            </w:r>
          </w:p>
        </w:tc>
        <w:tc>
          <w:tcPr>
            <w:tcW w:w="5320" w:type="dxa"/>
            <w:vAlign w:val="bottom"/>
          </w:tcPr>
          <w:p>
            <w:pPr>
              <w:ind w:left="2200"/>
              <w:spacing w:after="0"/>
              <w:rPr>
                <w:sz w:val="20"/>
                <w:szCs w:val="20"/>
                <w:color w:val="auto"/>
              </w:rPr>
            </w:pPr>
            <w:r>
              <w:rPr>
                <w:rFonts w:ascii="Arial" w:cs="Arial" w:eastAsia="Arial" w:hAnsi="Arial"/>
                <w:sz w:val="12"/>
                <w:szCs w:val="12"/>
                <w:b w:val="1"/>
                <w:bCs w:val="1"/>
                <w:color w:val="auto"/>
              </w:rPr>
              <w:t>(Commission</w:t>
            </w:r>
          </w:p>
        </w:tc>
        <w:tc>
          <w:tcPr>
            <w:tcW w:w="1440" w:type="dxa"/>
            <w:vAlign w:val="bottom"/>
          </w:tcPr>
          <w:p>
            <w:pPr>
              <w:jc w:val="center"/>
              <w:ind w:left="337"/>
              <w:spacing w:after="0"/>
              <w:rPr>
                <w:sz w:val="20"/>
                <w:szCs w:val="20"/>
                <w:color w:val="auto"/>
              </w:rPr>
            </w:pPr>
            <w:r>
              <w:rPr>
                <w:rFonts w:ascii="Arial" w:cs="Arial" w:eastAsia="Arial" w:hAnsi="Arial"/>
                <w:sz w:val="12"/>
                <w:szCs w:val="12"/>
                <w:b w:val="1"/>
                <w:bCs w:val="1"/>
                <w:color w:val="auto"/>
                <w:w w:val="97"/>
              </w:rPr>
              <w:t>(IRS Employer</w:t>
            </w:r>
          </w:p>
        </w:tc>
      </w:tr>
      <w:tr>
        <w:trPr>
          <w:trHeight w:val="160"/>
        </w:trPr>
        <w:tc>
          <w:tcPr>
            <w:tcW w:w="1800" w:type="dxa"/>
            <w:vAlign w:val="bottom"/>
          </w:tcPr>
          <w:p>
            <w:pPr>
              <w:jc w:val="center"/>
              <w:ind w:right="254"/>
              <w:spacing w:after="0"/>
              <w:rPr>
                <w:sz w:val="20"/>
                <w:szCs w:val="20"/>
                <w:color w:val="auto"/>
              </w:rPr>
            </w:pPr>
            <w:r>
              <w:rPr>
                <w:rFonts w:ascii="Arial" w:cs="Arial" w:eastAsia="Arial" w:hAnsi="Arial"/>
                <w:sz w:val="12"/>
                <w:szCs w:val="12"/>
                <w:b w:val="1"/>
                <w:bCs w:val="1"/>
                <w:color w:val="auto"/>
                <w:w w:val="95"/>
              </w:rPr>
              <w:t>of incorporation)</w:t>
            </w:r>
          </w:p>
        </w:tc>
        <w:tc>
          <w:tcPr>
            <w:tcW w:w="5320" w:type="dxa"/>
            <w:vAlign w:val="bottom"/>
          </w:tcPr>
          <w:p>
            <w:pPr>
              <w:jc w:val="center"/>
              <w:ind w:right="73"/>
              <w:spacing w:after="0"/>
              <w:rPr>
                <w:sz w:val="20"/>
                <w:szCs w:val="20"/>
                <w:color w:val="auto"/>
              </w:rPr>
            </w:pPr>
            <w:r>
              <w:rPr>
                <w:rFonts w:ascii="Arial" w:cs="Arial" w:eastAsia="Arial" w:hAnsi="Arial"/>
                <w:sz w:val="12"/>
                <w:szCs w:val="12"/>
                <w:b w:val="1"/>
                <w:bCs w:val="1"/>
                <w:color w:val="auto"/>
                <w:w w:val="95"/>
              </w:rPr>
              <w:t>File Number)</w:t>
            </w:r>
          </w:p>
        </w:tc>
        <w:tc>
          <w:tcPr>
            <w:tcW w:w="1440" w:type="dxa"/>
            <w:vAlign w:val="bottom"/>
          </w:tcPr>
          <w:p>
            <w:pPr>
              <w:jc w:val="center"/>
              <w:ind w:left="377"/>
              <w:spacing w:after="0"/>
              <w:rPr>
                <w:sz w:val="20"/>
                <w:szCs w:val="20"/>
                <w:color w:val="auto"/>
              </w:rPr>
            </w:pPr>
            <w:r>
              <w:rPr>
                <w:rFonts w:ascii="Arial" w:cs="Arial" w:eastAsia="Arial" w:hAnsi="Arial"/>
                <w:sz w:val="12"/>
                <w:szCs w:val="12"/>
                <w:b w:val="1"/>
                <w:bCs w:val="1"/>
                <w:color w:val="auto"/>
                <w:w w:val="98"/>
              </w:rPr>
              <w:t>Identification No.)</w:t>
            </w:r>
          </w:p>
        </w:tc>
      </w:tr>
      <w:tr>
        <w:trPr>
          <w:trHeight w:val="507"/>
        </w:trPr>
        <w:tc>
          <w:tcPr>
            <w:tcW w:w="1800" w:type="dxa"/>
            <w:vAlign w:val="bottom"/>
          </w:tcPr>
          <w:p>
            <w:pPr>
              <w:spacing w:after="0"/>
              <w:rPr>
                <w:sz w:val="24"/>
                <w:szCs w:val="24"/>
                <w:color w:val="auto"/>
              </w:rPr>
            </w:pPr>
          </w:p>
        </w:tc>
        <w:tc>
          <w:tcPr>
            <w:tcW w:w="5320" w:type="dxa"/>
            <w:vAlign w:val="bottom"/>
          </w:tcPr>
          <w:p>
            <w:pPr>
              <w:jc w:val="center"/>
              <w:ind w:right="53"/>
              <w:spacing w:after="0"/>
              <w:rPr>
                <w:sz w:val="20"/>
                <w:szCs w:val="20"/>
                <w:color w:val="auto"/>
              </w:rPr>
            </w:pPr>
            <w:r>
              <w:rPr>
                <w:rFonts w:ascii="Arial" w:cs="Arial" w:eastAsia="Arial" w:hAnsi="Arial"/>
                <w:sz w:val="14"/>
                <w:szCs w:val="14"/>
                <w:b w:val="1"/>
                <w:bCs w:val="1"/>
                <w:color w:val="auto"/>
              </w:rPr>
              <w:t>401 Wilshire Boulevard, Suite 700, Santa Monica, California 90401</w:t>
            </w:r>
          </w:p>
        </w:tc>
        <w:tc>
          <w:tcPr>
            <w:tcW w:w="1440" w:type="dxa"/>
            <w:vAlign w:val="bottom"/>
          </w:tcPr>
          <w:p>
            <w:pPr>
              <w:spacing w:after="0"/>
              <w:rPr>
                <w:sz w:val="24"/>
                <w:szCs w:val="24"/>
                <w:color w:val="auto"/>
              </w:rPr>
            </w:pPr>
          </w:p>
        </w:tc>
      </w:tr>
      <w:tr>
        <w:trPr>
          <w:trHeight w:val="172"/>
        </w:trPr>
        <w:tc>
          <w:tcPr>
            <w:tcW w:w="1800" w:type="dxa"/>
            <w:vAlign w:val="bottom"/>
          </w:tcPr>
          <w:p>
            <w:pPr>
              <w:spacing w:after="0"/>
              <w:rPr>
                <w:sz w:val="14"/>
                <w:szCs w:val="14"/>
                <w:color w:val="auto"/>
              </w:rPr>
            </w:pPr>
          </w:p>
        </w:tc>
        <w:tc>
          <w:tcPr>
            <w:tcW w:w="532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(Address of principal executive offices) (Zip code)</w:t>
            </w:r>
          </w:p>
        </w:tc>
        <w:tc>
          <w:tcPr>
            <w:tcW w:w="1440" w:type="dxa"/>
            <w:vAlign w:val="bottom"/>
          </w:tcPr>
          <w:p>
            <w:pPr>
              <w:spacing w:after="0"/>
              <w:rPr>
                <w:sz w:val="14"/>
                <w:szCs w:val="14"/>
                <w:color w:val="auto"/>
              </w:rPr>
            </w:pPr>
          </w:p>
        </w:tc>
      </w:tr>
      <w:tr>
        <w:trPr>
          <w:trHeight w:val="438"/>
        </w:trPr>
        <w:tc>
          <w:tcPr>
            <w:tcW w:w="1800" w:type="dxa"/>
            <w:vAlign w:val="bottom"/>
          </w:tcPr>
          <w:p>
            <w:pPr>
              <w:spacing w:after="0"/>
              <w:rPr>
                <w:sz w:val="24"/>
                <w:szCs w:val="24"/>
                <w:color w:val="auto"/>
              </w:rPr>
            </w:pPr>
          </w:p>
        </w:tc>
        <w:tc>
          <w:tcPr>
            <w:tcW w:w="5320" w:type="dxa"/>
            <w:vAlign w:val="bottom"/>
          </w:tcPr>
          <w:p>
            <w:pPr>
              <w:jc w:val="center"/>
              <w:ind w:right="53"/>
              <w:spacing w:after="0"/>
              <w:rPr>
                <w:sz w:val="20"/>
                <w:szCs w:val="20"/>
                <w:color w:val="auto"/>
              </w:rPr>
            </w:pPr>
            <w:r>
              <w:rPr>
                <w:rFonts w:ascii="Arial" w:cs="Arial" w:eastAsia="Arial" w:hAnsi="Arial"/>
                <w:sz w:val="14"/>
                <w:szCs w:val="14"/>
                <w:b w:val="1"/>
                <w:bCs w:val="1"/>
                <w:color w:val="auto"/>
              </w:rPr>
              <w:t>Registrant’s telephone number, including area code (310) 394-6000</w:t>
            </w:r>
          </w:p>
        </w:tc>
        <w:tc>
          <w:tcPr>
            <w:tcW w:w="1440" w:type="dxa"/>
            <w:vAlign w:val="bottom"/>
          </w:tcPr>
          <w:p>
            <w:pPr>
              <w:spacing w:after="0"/>
              <w:rPr>
                <w:sz w:val="24"/>
                <w:szCs w:val="24"/>
                <w:color w:val="auto"/>
              </w:rPr>
            </w:pPr>
          </w:p>
        </w:tc>
      </w:tr>
      <w:tr>
        <w:trPr>
          <w:trHeight w:val="357"/>
        </w:trPr>
        <w:tc>
          <w:tcPr>
            <w:tcW w:w="1800" w:type="dxa"/>
            <w:vAlign w:val="bottom"/>
          </w:tcPr>
          <w:p>
            <w:pPr>
              <w:spacing w:after="0"/>
              <w:rPr>
                <w:sz w:val="24"/>
                <w:szCs w:val="24"/>
                <w:color w:val="auto"/>
              </w:rPr>
            </w:pPr>
          </w:p>
        </w:tc>
        <w:tc>
          <w:tcPr>
            <w:tcW w:w="5320" w:type="dxa"/>
            <w:vAlign w:val="bottom"/>
          </w:tcPr>
          <w:p>
            <w:pPr>
              <w:jc w:val="center"/>
              <w:ind w:right="53"/>
              <w:spacing w:after="0"/>
              <w:rPr>
                <w:sz w:val="20"/>
                <w:szCs w:val="20"/>
                <w:color w:val="auto"/>
              </w:rPr>
            </w:pPr>
            <w:r>
              <w:rPr>
                <w:rFonts w:ascii="Arial" w:cs="Arial" w:eastAsia="Arial" w:hAnsi="Arial"/>
                <w:sz w:val="16"/>
                <w:szCs w:val="16"/>
                <w:b w:val="1"/>
                <w:bCs w:val="1"/>
                <w:color w:val="auto"/>
              </w:rPr>
              <w:t>N/A</w:t>
            </w:r>
          </w:p>
        </w:tc>
        <w:tc>
          <w:tcPr>
            <w:tcW w:w="1440" w:type="dxa"/>
            <w:vAlign w:val="bottom"/>
          </w:tcPr>
          <w:p>
            <w:pPr>
              <w:spacing w:after="0"/>
              <w:rPr>
                <w:sz w:val="24"/>
                <w:szCs w:val="24"/>
                <w:color w:val="auto"/>
              </w:rPr>
            </w:pPr>
          </w:p>
        </w:tc>
      </w:tr>
      <w:tr>
        <w:trPr>
          <w:trHeight w:val="160"/>
        </w:trPr>
        <w:tc>
          <w:tcPr>
            <w:tcW w:w="1800" w:type="dxa"/>
            <w:vAlign w:val="bottom"/>
          </w:tcPr>
          <w:p>
            <w:pPr>
              <w:spacing w:after="0"/>
              <w:rPr>
                <w:sz w:val="13"/>
                <w:szCs w:val="13"/>
                <w:color w:val="auto"/>
              </w:rPr>
            </w:pPr>
          </w:p>
        </w:tc>
        <w:tc>
          <w:tcPr>
            <w:tcW w:w="5320" w:type="dxa"/>
            <w:vAlign w:val="bottom"/>
          </w:tcPr>
          <w:p>
            <w:pPr>
              <w:jc w:val="center"/>
              <w:ind w:right="53"/>
              <w:spacing w:after="0"/>
              <w:rPr>
                <w:sz w:val="20"/>
                <w:szCs w:val="20"/>
                <w:color w:val="auto"/>
              </w:rPr>
            </w:pPr>
            <w:r>
              <w:rPr>
                <w:rFonts w:ascii="Arial" w:cs="Arial" w:eastAsia="Arial" w:hAnsi="Arial"/>
                <w:sz w:val="12"/>
                <w:szCs w:val="12"/>
                <w:b w:val="1"/>
                <w:bCs w:val="1"/>
                <w:color w:val="auto"/>
                <w:w w:val="97"/>
              </w:rPr>
              <w:t>(Former name or former address, if changed since last report)</w:t>
            </w:r>
          </w:p>
        </w:tc>
        <w:tc>
          <w:tcPr>
            <w:tcW w:w="144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161925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right="2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80" w:type="dxa"/>
            <w:vAlign w:val="bottom"/>
          </w:tcPr>
          <w:p>
            <w:pPr>
              <w:spacing w:after="0"/>
              <w:rPr>
                <w:sz w:val="15"/>
                <w:szCs w:val="15"/>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Trading symbol(s)</w:t>
            </w:r>
          </w:p>
        </w:tc>
        <w:tc>
          <w:tcPr>
            <w:tcW w:w="8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99"/>
        </w:trPr>
        <w:tc>
          <w:tcPr>
            <w:tcW w:w="38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Common stock of The Macerich Company, $0.01</w:t>
            </w: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8"/>
              </w:rPr>
              <w:t>MAC</w:t>
            </w:r>
          </w:p>
        </w:tc>
        <w:tc>
          <w:tcPr>
            <w:tcW w:w="8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The New York Stock Exchange</w:t>
            </w:r>
          </w:p>
        </w:tc>
      </w:tr>
      <w:tr>
        <w:trPr>
          <w:trHeight w:val="223"/>
        </w:trPr>
        <w:tc>
          <w:tcPr>
            <w:tcW w:w="38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par value per share</w:t>
            </w: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0" w:type="dxa"/>
            <w:vAlign w:val="bottom"/>
          </w:tcPr>
          <w:p>
            <w:pPr>
              <w:spacing w:after="0"/>
              <w:rPr>
                <w:sz w:val="19"/>
                <w:szCs w:val="19"/>
                <w:color w:val="auto"/>
              </w:rPr>
            </w:pPr>
          </w:p>
        </w:tc>
      </w:tr>
    </w:tbl>
    <w:p>
      <w:pPr>
        <w:spacing w:after="0" w:line="344" w:lineRule="exact"/>
        <w:rPr>
          <w:sz w:val="24"/>
          <w:szCs w:val="24"/>
          <w:color w:val="auto"/>
        </w:rPr>
      </w:pPr>
    </w:p>
    <w:p>
      <w:pPr>
        <w:ind w:right="18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97" w:lineRule="exact"/>
        <w:rPr>
          <w:sz w:val="24"/>
          <w:szCs w:val="24"/>
          <w:color w:val="auto"/>
        </w:rPr>
      </w:pPr>
    </w:p>
    <w:p>
      <w:pPr>
        <w:ind w:left="5360"/>
        <w:spacing w:after="0" w:line="184" w:lineRule="exact"/>
        <w:tabs>
          <w:tab w:leader="none" w:pos="744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74" w:lineRule="exact"/>
        <w:rPr>
          <w:sz w:val="24"/>
          <w:szCs w:val="24"/>
          <w:color w:val="auto"/>
        </w:rPr>
      </w:pPr>
    </w:p>
    <w:p>
      <w:pPr>
        <w:ind w:right="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1132205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184785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150495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40"/>
          </w:cols>
          <w:pgMar w:left="320" w:top="726" w:right="4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8255"/>
                    </a:xfrm>
                    <a:prstGeom prst="rect">
                      <a:avLst/>
                    </a:prstGeom>
                    <a:noFill/>
                  </pic:spPr>
                </pic:pic>
              </a:graphicData>
            </a:graphic>
          </wp:anchor>
        </w:drawing>
        <w:t>ITEM 2.02</w:t>
        <w:tab/>
        <w:t>RESULTS OF OPERATIONS AND FINANCIAL CONDITION.</w:t>
      </w:r>
    </w:p>
    <w:p>
      <w:pPr>
        <w:spacing w:after="0" w:line="262" w:lineRule="exact"/>
        <w:rPr>
          <w:sz w:val="20"/>
          <w:szCs w:val="20"/>
          <w:color w:val="auto"/>
        </w:rPr>
      </w:pPr>
    </w:p>
    <w:p>
      <w:pPr>
        <w:jc w:val="both"/>
        <w:ind w:right="240" w:firstLine="405"/>
        <w:spacing w:after="0" w:line="275" w:lineRule="auto"/>
        <w:rPr>
          <w:sz w:val="20"/>
          <w:szCs w:val="20"/>
          <w:color w:val="auto"/>
        </w:rPr>
      </w:pPr>
      <w:r>
        <w:rPr>
          <w:rFonts w:ascii="Arial" w:cs="Arial" w:eastAsia="Arial" w:hAnsi="Arial"/>
          <w:sz w:val="16"/>
          <w:szCs w:val="16"/>
          <w:color w:val="auto"/>
        </w:rPr>
        <w:t>On May 6, 2026, The Macerich Company (the “Company”) released its financial results for the three months ended March 31, 2026 by posting to its website a financial supplement containing financial and operating information of the Company (“Earnings Results &amp; Supplemental Information”) and such Earnings Results &amp; Supplemental Information is furnished as Exhibit 99.1 hereto.</w:t>
      </w:r>
    </w:p>
    <w:p>
      <w:pPr>
        <w:spacing w:after="0" w:line="191" w:lineRule="exact"/>
        <w:rPr>
          <w:sz w:val="20"/>
          <w:szCs w:val="20"/>
          <w:color w:val="auto"/>
        </w:rPr>
      </w:pPr>
    </w:p>
    <w:p>
      <w:pPr>
        <w:ind w:firstLine="405"/>
        <w:spacing w:after="0" w:line="304" w:lineRule="auto"/>
        <w:rPr>
          <w:sz w:val="20"/>
          <w:szCs w:val="20"/>
          <w:color w:val="auto"/>
        </w:rPr>
      </w:pPr>
      <w:r>
        <w:rPr>
          <w:rFonts w:ascii="Arial" w:cs="Arial" w:eastAsia="Arial" w:hAnsi="Arial"/>
          <w:sz w:val="16"/>
          <w:szCs w:val="16"/>
          <w:color w:val="auto"/>
        </w:rPr>
        <w:t>The Earnings Results &amp; Supplemental Information included as an exhibit with this report is being furnished pursuant to Item 2.02 of Form 8-K and shall not be deemed to be “filed” with the SEC or incorporated by reference into any other filing with the SEC.</w:t>
      </w:r>
    </w:p>
    <w:p>
      <w:pPr>
        <w:spacing w:after="0" w:line="168"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7.01</w:t>
        <w:tab/>
        <w:t>REGULATION FD DISCLOSURE.</w:t>
      </w:r>
    </w:p>
    <w:p>
      <w:pPr>
        <w:spacing w:after="0" w:line="248" w:lineRule="exact"/>
        <w:rPr>
          <w:sz w:val="20"/>
          <w:szCs w:val="20"/>
          <w:color w:val="auto"/>
        </w:rPr>
      </w:pPr>
    </w:p>
    <w:p>
      <w:pPr>
        <w:ind w:firstLine="405"/>
        <w:spacing w:after="0" w:line="304" w:lineRule="auto"/>
        <w:rPr>
          <w:sz w:val="20"/>
          <w:szCs w:val="20"/>
          <w:color w:val="auto"/>
        </w:rPr>
      </w:pPr>
      <w:r>
        <w:rPr>
          <w:rFonts w:ascii="Arial" w:cs="Arial" w:eastAsia="Arial" w:hAnsi="Arial"/>
          <w:sz w:val="16"/>
          <w:szCs w:val="16"/>
          <w:color w:val="auto"/>
        </w:rPr>
        <w:t>The Earnings Results &amp; Supplemental Information included as an exhibit with this report is being furnished pursuant to Item 7.01 of Form 8-K and shall not be deemed to be “filed” with the SEC or incorporated by reference into any other filing with the SEC.</w:t>
      </w:r>
    </w:p>
    <w:p>
      <w:pPr>
        <w:spacing w:after="0" w:line="18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Listed below are the financial statements, pro forma financial information and exhibits furnished as part of this report:</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(b) and (c) Not applicable.</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 Exhibit.</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Exhibit Index attached hereto and incorporated herein by reference.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20" w:type="dxa"/>
            <w:vAlign w:val="bottom"/>
            <w:gridSpan w:val="2"/>
          </w:tcPr>
          <w:p>
            <w:pPr>
              <w:jc w:val="center"/>
              <w:ind w:right="2200"/>
              <w:spacing w:after="0"/>
              <w:rPr>
                <w:sz w:val="20"/>
                <w:szCs w:val="20"/>
                <w:color w:val="auto"/>
              </w:rPr>
            </w:pPr>
            <w:r>
              <w:rPr>
                <w:rFonts w:ascii="Arial" w:cs="Arial" w:eastAsia="Arial" w:hAnsi="Arial"/>
                <w:sz w:val="16"/>
                <w:szCs w:val="16"/>
                <w:b w:val="1"/>
                <w:bCs w:val="1"/>
                <w:color w:val="auto"/>
              </w:rPr>
              <w:t>EXHIBIT INDEX</w:t>
            </w:r>
          </w:p>
        </w:tc>
      </w:tr>
      <w:tr>
        <w:trPr>
          <w:trHeight w:val="665"/>
        </w:trPr>
        <w:tc>
          <w:tcPr>
            <w:tcW w:w="2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3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39"/>
        </w:trPr>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b w:val="1"/>
                <w:bCs w:val="1"/>
                <w:color w:val="auto"/>
                <w:w w:val="94"/>
              </w:rPr>
              <w:t>NUMBER</w:t>
            </w:r>
          </w:p>
        </w:tc>
        <w:tc>
          <w:tcPr>
            <w:tcW w:w="1260" w:type="dxa"/>
            <w:vAlign w:val="bottom"/>
          </w:tcPr>
          <w:p>
            <w:pPr>
              <w:spacing w:after="0"/>
              <w:rPr>
                <w:sz w:val="12"/>
                <w:szCs w:val="12"/>
                <w:color w:val="auto"/>
              </w:rPr>
            </w:pPr>
          </w:p>
        </w:tc>
        <w:tc>
          <w:tcPr>
            <w:tcW w:w="38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b w:val="1"/>
                <w:bCs w:val="1"/>
                <w:color w:val="auto"/>
                <w:w w:val="93"/>
              </w:rPr>
              <w:t>NAME</w:t>
            </w:r>
          </w:p>
        </w:tc>
        <w:tc>
          <w:tcPr>
            <w:tcW w:w="9020" w:type="dxa"/>
            <w:vAlign w:val="bottom"/>
            <w:gridSpan w:val="2"/>
          </w:tcPr>
          <w:p>
            <w:pPr>
              <w:spacing w:after="0"/>
              <w:rPr>
                <w:sz w:val="12"/>
                <w:szCs w:val="12"/>
                <w:color w:val="auto"/>
              </w:rPr>
            </w:pPr>
          </w:p>
        </w:tc>
      </w:tr>
      <w:tr>
        <w:trPr>
          <w:trHeight w:val="250"/>
        </w:trPr>
        <w:tc>
          <w:tcPr>
            <w:tcW w:w="580" w:type="dxa"/>
            <w:vAlign w:val="bottom"/>
            <w:gridSpan w:val="2"/>
          </w:tcPr>
          <w:p>
            <w:pPr>
              <w:ind w:left="20"/>
              <w:spacing w:after="0"/>
              <w:rPr>
                <w:sz w:val="20"/>
                <w:szCs w:val="20"/>
                <w:color w:val="auto"/>
              </w:rPr>
            </w:pPr>
            <w:r>
              <w:rPr>
                <w:rFonts w:ascii="Arial" w:cs="Arial" w:eastAsia="Arial" w:hAnsi="Arial"/>
                <w:sz w:val="16"/>
                <w:szCs w:val="16"/>
                <w:color w:val="auto"/>
              </w:rPr>
              <w:t>99.1</w:t>
            </w:r>
          </w:p>
        </w:tc>
        <w:tc>
          <w:tcPr>
            <w:tcW w:w="1260" w:type="dxa"/>
            <w:vAlign w:val="bottom"/>
          </w:tcPr>
          <w:p>
            <w:pPr>
              <w:spacing w:after="0"/>
              <w:rPr>
                <w:sz w:val="21"/>
                <w:szCs w:val="21"/>
                <w:color w:val="auto"/>
              </w:rPr>
            </w:pPr>
          </w:p>
        </w:tc>
        <w:tc>
          <w:tcPr>
            <w:tcW w:w="9400" w:type="dxa"/>
            <w:vAlign w:val="bottom"/>
            <w:gridSpan w:val="3"/>
          </w:tcPr>
          <w:p>
            <w:pPr>
              <w:spacing w:after="0"/>
              <w:rPr>
                <w:sz w:val="20"/>
                <w:szCs w:val="20"/>
                <w:color w:val="auto"/>
              </w:rPr>
            </w:pPr>
            <w:r>
              <w:rPr>
                <w:rFonts w:ascii="Arial" w:cs="Arial" w:eastAsia="Arial" w:hAnsi="Arial"/>
                <w:sz w:val="16"/>
                <w:szCs w:val="16"/>
                <w:color w:val="0000FF"/>
              </w:rPr>
              <w:t>Earnings Results &amp; Supplemental Information for the Three Months Ended March 31, 2026</w:t>
            </w:r>
          </w:p>
        </w:tc>
      </w:tr>
      <w:tr>
        <w:trPr>
          <w:trHeight w:val="288"/>
        </w:trPr>
        <w:tc>
          <w:tcPr>
            <w:tcW w:w="580" w:type="dxa"/>
            <w:vAlign w:val="bottom"/>
            <w:gridSpan w:val="2"/>
          </w:tcPr>
          <w:p>
            <w:pPr>
              <w:ind w:left="20"/>
              <w:spacing w:after="0"/>
              <w:rPr>
                <w:sz w:val="20"/>
                <w:szCs w:val="20"/>
                <w:color w:val="auto"/>
              </w:rPr>
            </w:pPr>
            <w:r>
              <w:rPr>
                <w:rFonts w:ascii="Arial" w:cs="Arial" w:eastAsia="Arial" w:hAnsi="Arial"/>
                <w:sz w:val="16"/>
                <w:szCs w:val="16"/>
                <w:color w:val="auto"/>
              </w:rPr>
              <w:t>104</w:t>
            </w:r>
          </w:p>
        </w:tc>
        <w:tc>
          <w:tcPr>
            <w:tcW w:w="1260" w:type="dxa"/>
            <w:vAlign w:val="bottom"/>
          </w:tcPr>
          <w:p>
            <w:pPr>
              <w:spacing w:after="0"/>
              <w:rPr>
                <w:sz w:val="24"/>
                <w:szCs w:val="24"/>
                <w:color w:val="auto"/>
              </w:rPr>
            </w:pPr>
          </w:p>
        </w:tc>
        <w:tc>
          <w:tcPr>
            <w:tcW w:w="650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29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gridSpan w:val="2"/>
          </w:tcPr>
          <w:p>
            <w:pPr>
              <w:jc w:val="right"/>
              <w:ind w:right="2599"/>
              <w:spacing w:after="0"/>
              <w:rPr>
                <w:sz w:val="20"/>
                <w:szCs w:val="20"/>
                <w:color w:val="auto"/>
              </w:rPr>
            </w:pPr>
            <w:r>
              <w:rPr>
                <w:rFonts w:ascii="Arial" w:cs="Arial" w:eastAsia="Arial" w:hAnsi="Arial"/>
                <w:sz w:val="16"/>
                <w:szCs w:val="16"/>
                <w:color w:val="auto"/>
              </w:rPr>
              <w:t>3</w:t>
            </w:r>
          </w:p>
        </w:tc>
        <w:tc>
          <w:tcPr>
            <w:tcW w:w="2900" w:type="dxa"/>
            <w:vAlign w:val="bottom"/>
          </w:tcPr>
          <w:p>
            <w:pPr>
              <w:spacing w:after="0"/>
              <w:rPr>
                <w:sz w:val="24"/>
                <w:szCs w:val="24"/>
                <w:color w:val="auto"/>
              </w:rPr>
            </w:pPr>
          </w:p>
        </w:tc>
      </w:tr>
      <w:tr>
        <w:trPr>
          <w:trHeight w:val="1062"/>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140335</wp:posOffset>
            </wp:positionV>
            <wp:extent cx="7123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23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8255"/>
                    </a:xfrm>
                    <a:prstGeom prst="rect">
                      <a:avLst/>
                    </a:prstGeom>
                    <a:noFill/>
                  </pic:spPr>
                </pic:pic>
              </a:graphicData>
            </a:graphic>
          </wp:anchor>
        </w:drawing>
        <w:t>SIGNATURES</w:t>
      </w:r>
    </w:p>
    <w:p>
      <w:pPr>
        <w:spacing w:after="0" w:line="248" w:lineRule="exact"/>
        <w:rPr>
          <w:sz w:val="20"/>
          <w:szCs w:val="20"/>
          <w:color w:val="auto"/>
        </w:rPr>
      </w:pPr>
    </w:p>
    <w:p>
      <w:pPr>
        <w:ind w:right="20" w:firstLine="405"/>
        <w:spacing w:after="0" w:line="304" w:lineRule="auto"/>
        <w:rPr>
          <w:sz w:val="20"/>
          <w:szCs w:val="20"/>
          <w:color w:val="auto"/>
        </w:rPr>
      </w:pPr>
      <w:r>
        <w:rPr>
          <w:rFonts w:ascii="Arial" w:cs="Arial" w:eastAsia="Arial" w:hAnsi="Arial"/>
          <w:sz w:val="16"/>
          <w:szCs w:val="16"/>
          <w:color w:val="auto"/>
        </w:rPr>
        <w:t>Pursuant to the requirements of the Securities Exchange Act of 1934, The Macerich Company has duly caused this report to be signed on its behalf by the undersigned hereunto duly authorized.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6"/>
                <w:szCs w:val="16"/>
                <w:color w:val="auto"/>
              </w:rPr>
              <w:t>THE MACERICH COMPANY</w:t>
            </w:r>
          </w:p>
        </w:tc>
      </w:tr>
      <w:tr>
        <w:trPr>
          <w:trHeight w:val="432"/>
        </w:trPr>
        <w:tc>
          <w:tcPr>
            <w:tcW w:w="4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16"/>
                <w:szCs w:val="16"/>
                <w:color w:val="auto"/>
              </w:rPr>
              <w:t>By: Daniel Swanstrom</w:t>
            </w:r>
          </w:p>
        </w:tc>
      </w:tr>
      <w:tr>
        <w:trPr>
          <w:trHeight w:val="43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May 6, 2026</w:t>
            </w:r>
          </w:p>
        </w:tc>
        <w:tc>
          <w:tcPr>
            <w:tcW w:w="2540" w:type="dxa"/>
            <w:vAlign w:val="bottom"/>
          </w:tcPr>
          <w:p>
            <w:pPr>
              <w:spacing w:after="0"/>
              <w:rPr>
                <w:sz w:val="24"/>
                <w:szCs w:val="24"/>
                <w:color w:val="auto"/>
              </w:rPr>
            </w:pP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Daniel Swanstrom</w:t>
            </w:r>
          </w:p>
        </w:tc>
      </w:tr>
      <w:tr>
        <w:trPr>
          <w:trHeight w:val="209"/>
        </w:trPr>
        <w:tc>
          <w:tcPr>
            <w:tcW w:w="4400" w:type="dxa"/>
            <w:vAlign w:val="bottom"/>
          </w:tcPr>
          <w:p>
            <w:pPr>
              <w:ind w:left="20"/>
              <w:spacing w:after="0"/>
              <w:rPr>
                <w:sz w:val="20"/>
                <w:szCs w:val="20"/>
                <w:color w:val="auto"/>
              </w:rPr>
            </w:pPr>
            <w:r>
              <w:rPr>
                <w:rFonts w:ascii="Arial" w:cs="Arial" w:eastAsia="Arial" w:hAnsi="Arial"/>
                <w:sz w:val="16"/>
                <w:szCs w:val="16"/>
                <w:color w:val="auto"/>
              </w:rPr>
              <w:t>Date</w:t>
            </w:r>
          </w:p>
        </w:tc>
        <w:tc>
          <w:tcPr>
            <w:tcW w:w="25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6"/>
                <w:szCs w:val="16"/>
                <w:color w:val="auto"/>
              </w:rPr>
              <w:t>Senior Executive Vice President,</w:t>
            </w:r>
          </w:p>
        </w:tc>
      </w:tr>
      <w:tr>
        <w:trPr>
          <w:trHeight w:val="215"/>
        </w:trPr>
        <w:tc>
          <w:tcPr>
            <w:tcW w:w="4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16"/>
        </w:trPr>
        <w:tc>
          <w:tcPr>
            <w:tcW w:w="4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6"/>
                <w:szCs w:val="16"/>
                <w:color w:val="auto"/>
              </w:rPr>
              <w:t>and Treasurer</w:t>
            </w:r>
          </w:p>
        </w:tc>
      </w:tr>
      <w:tr>
        <w:trPr>
          <w:trHeight w:val="446"/>
        </w:trPr>
        <w:tc>
          <w:tcPr>
            <w:tcW w:w="4400" w:type="dxa"/>
            <w:vAlign w:val="bottom"/>
          </w:tcPr>
          <w:p>
            <w:pPr>
              <w:spacing w:after="0"/>
              <w:rPr>
                <w:sz w:val="24"/>
                <w:szCs w:val="24"/>
                <w:color w:val="auto"/>
              </w:rPr>
            </w:pPr>
          </w:p>
        </w:tc>
        <w:tc>
          <w:tcPr>
            <w:tcW w:w="2540" w:type="dxa"/>
            <w:vAlign w:val="bottom"/>
          </w:tcPr>
          <w:p>
            <w:pPr>
              <w:jc w:val="right"/>
              <w:ind w:right="1199"/>
              <w:spacing w:after="0"/>
              <w:rPr>
                <w:sz w:val="20"/>
                <w:szCs w:val="20"/>
                <w:color w:val="auto"/>
              </w:rPr>
            </w:pPr>
            <w:r>
              <w:rPr>
                <w:rFonts w:ascii="Arial" w:cs="Arial" w:eastAsia="Arial" w:hAnsi="Arial"/>
                <w:sz w:val="16"/>
                <w:szCs w:val="16"/>
                <w:color w:val="auto"/>
              </w:rPr>
              <w:t>4</w:t>
            </w:r>
          </w:p>
        </w:tc>
        <w:tc>
          <w:tcPr>
            <w:tcW w:w="4280" w:type="dxa"/>
            <w:vAlign w:val="bottom"/>
          </w:tcPr>
          <w:p>
            <w:pPr>
              <w:spacing w:after="0"/>
              <w:rPr>
                <w:sz w:val="24"/>
                <w:szCs w:val="24"/>
                <w:color w:val="auto"/>
              </w:rPr>
            </w:pPr>
          </w:p>
        </w:tc>
      </w:tr>
    </w:tbl>
    <w:p>
      <w:pPr>
        <w:sectPr>
          <w:pgSz w:w="11900" w:h="16838" w:orient="portrait"/>
          <w:cols w:equalWidth="0" w:num="1">
            <w:col w:w="11220"/>
          </w:cols>
          <w:pgMar w:left="320" w:top="530" w:right="359" w:bottom="1440" w:gutter="0" w:footer="0" w:header="0"/>
        </w:sectPr>
      </w:pPr>
    </w:p>
    <w:bookmarkStart w:id="4" w:name="page5"/>
    <w:bookmarkEnd w:id="4"/>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99.1</w:t>
      </w:r>
    </w:p>
    <w:p>
      <w:pPr>
        <w:spacing w:after="0" w:line="374" w:lineRule="exact"/>
        <w:rPr>
          <w:sz w:val="20"/>
          <w:szCs w:val="20"/>
          <w:color w:val="auto"/>
        </w:rPr>
      </w:pPr>
    </w:p>
    <w:p>
      <w:pPr>
        <w:ind w:left="2180" w:right="2500" w:hanging="10"/>
        <w:spacing w:after="0"/>
        <w:rPr>
          <w:sz w:val="20"/>
          <w:szCs w:val="20"/>
          <w:color w:val="auto"/>
        </w:rPr>
      </w:pPr>
      <w:r>
        <w:rPr>
          <w:rFonts w:ascii="Calibri" w:cs="Calibri" w:eastAsia="Calibri" w:hAnsi="Calibri"/>
          <w:sz w:val="25"/>
          <w:szCs w:val="25"/>
          <w:b w:val="1"/>
          <w:bCs w:val="1"/>
          <w:color w:val="auto"/>
        </w:rPr>
        <w:t>Earnings Results &amp; Supplemental Informaton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00"/>
        <w:spacing w:after="0"/>
        <w:rPr>
          <w:sz w:val="20"/>
          <w:szCs w:val="20"/>
          <w:color w:val="auto"/>
        </w:rPr>
      </w:pPr>
      <w:r>
        <w:rPr>
          <w:rFonts w:ascii="Calibri" w:cs="Calibri" w:eastAsia="Calibri" w:hAnsi="Calibri"/>
          <w:sz w:val="18"/>
          <w:szCs w:val="18"/>
          <w:b w:val="1"/>
          <w:bCs w:val="1"/>
          <w:color w:val="auto"/>
        </w:rPr>
        <w:t>The Macerich Company</w:t>
      </w:r>
    </w:p>
    <w:p>
      <w:pPr>
        <w:jc w:val="center"/>
        <w:ind w:right="520"/>
        <w:spacing w:after="0" w:line="206" w:lineRule="auto"/>
        <w:rPr>
          <w:sz w:val="20"/>
          <w:szCs w:val="20"/>
          <w:color w:val="auto"/>
        </w:rPr>
      </w:pPr>
      <w:r>
        <w:rPr>
          <w:rFonts w:ascii="Calibri" w:cs="Calibri" w:eastAsia="Calibri" w:hAnsi="Calibri"/>
          <w:sz w:val="18"/>
          <w:szCs w:val="18"/>
          <w:b w:val="1"/>
          <w:bCs w:val="1"/>
          <w:color w:val="auto"/>
        </w:rPr>
        <w:t>Earnings Results &amp; Supplemental Informaton</w:t>
      </w:r>
    </w:p>
    <w:p>
      <w:pPr>
        <w:jc w:val="center"/>
        <w:ind w:right="500"/>
        <w:spacing w:after="0" w:line="221" w:lineRule="auto"/>
        <w:rPr>
          <w:sz w:val="20"/>
          <w:szCs w:val="20"/>
          <w:color w:val="auto"/>
        </w:rPr>
      </w:pPr>
      <w:r>
        <w:rPr>
          <w:rFonts w:ascii="Calibri" w:cs="Calibri" w:eastAsia="Calibri" w:hAnsi="Calibri"/>
          <w:sz w:val="18"/>
          <w:szCs w:val="18"/>
          <w:b w:val="1"/>
          <w:bCs w:val="1"/>
          <w:color w:val="auto"/>
        </w:rPr>
        <w:t>For the Three Months Ended March 31, 2026</w:t>
      </w:r>
    </w:p>
    <w:p>
      <w:pPr>
        <w:spacing w:after="0" w:line="159" w:lineRule="exact"/>
        <w:rPr>
          <w:sz w:val="20"/>
          <w:szCs w:val="20"/>
          <w:color w:val="auto"/>
        </w:rPr>
      </w:pPr>
    </w:p>
    <w:p>
      <w:pPr>
        <w:ind w:left="3860"/>
        <w:spacing w:after="0"/>
        <w:rPr>
          <w:sz w:val="20"/>
          <w:szCs w:val="20"/>
          <w:color w:val="auto"/>
        </w:rPr>
      </w:pPr>
      <w:r>
        <w:rPr>
          <w:rFonts w:ascii="Calibri" w:cs="Calibri" w:eastAsia="Calibri" w:hAnsi="Calibri"/>
          <w:sz w:val="18"/>
          <w:szCs w:val="18"/>
          <w:b w:val="1"/>
          <w:bCs w:val="1"/>
          <w:color w:val="auto"/>
        </w:rPr>
        <w:t>Table of Contents</w:t>
      </w:r>
    </w:p>
    <w:p>
      <w:pPr>
        <w:sectPr>
          <w:pgSz w:w="11900" w:h="16894" w:orient="portrait"/>
          <w:cols w:equalWidth="0" w:num="1">
            <w:col w:w="9480"/>
          </w:cols>
          <w:pgMar w:left="1440" w:top="341" w:right="979" w:bottom="0" w:gutter="0" w:footer="0" w:header="0"/>
        </w:sectPr>
      </w:pPr>
    </w:p>
    <w:bookmarkStart w:id="5" w:name="page6"/>
    <w:bookmarkEnd w:id="5"/>
    <w:p>
      <w:pPr>
        <w:spacing w:after="0"/>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All informaton included in this supplemental fnancial package is unaudited, unless otherwise indicated.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780" w:type="dxa"/>
            <w:vAlign w:val="bottom"/>
          </w:tcPr>
          <w:p>
            <w:pPr>
              <w:jc w:val="right"/>
              <w:ind w:right="51"/>
              <w:spacing w:after="0"/>
              <w:rPr>
                <w:sz w:val="20"/>
                <w:szCs w:val="20"/>
                <w:color w:val="auto"/>
              </w:rPr>
            </w:pPr>
            <w:r>
              <w:rPr>
                <w:rFonts w:ascii="Calibri" w:cs="Calibri" w:eastAsia="Calibri" w:hAnsi="Calibri"/>
                <w:sz w:val="14"/>
                <w:szCs w:val="14"/>
                <w:b w:val="1"/>
                <w:bCs w:val="1"/>
                <w:color w:val="007681"/>
              </w:rPr>
              <w:t>Page No.</w:t>
            </w:r>
          </w:p>
        </w:tc>
      </w:tr>
      <w:tr>
        <w:trPr>
          <w:trHeight w:val="33"/>
        </w:trPr>
        <w:tc>
          <w:tcPr>
            <w:tcW w:w="8860" w:type="dxa"/>
            <w:vAlign w:val="bottom"/>
            <w:tcBorders>
              <w:bottom w:val="single" w:sz="8" w:color="F5F5F5"/>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860" w:type="dxa"/>
            <w:vAlign w:val="bottom"/>
            <w:tcBorders>
              <w:bottom w:val="single" w:sz="8" w:color="F5F5F5"/>
            </w:tcBorders>
            <w:shd w:val="clear" w:color="auto" w:fill="F5F5F5"/>
          </w:tcPr>
          <w:p>
            <w:pPr>
              <w:ind w:left="60"/>
              <w:spacing w:after="0" w:line="195" w:lineRule="exact"/>
              <w:rPr>
                <w:sz w:val="20"/>
                <w:szCs w:val="20"/>
                <w:color w:val="auto"/>
              </w:rPr>
            </w:pPr>
            <w:r>
              <w:rPr>
                <w:rFonts w:ascii="Calibri" w:cs="Calibri" w:eastAsia="Calibri" w:hAnsi="Calibri"/>
                <w:sz w:val="18"/>
                <w:szCs w:val="18"/>
                <w:b w:val="1"/>
                <w:bCs w:val="1"/>
                <w:color w:val="007681"/>
              </w:rPr>
              <w:t>Executve Summary &amp; Financial Highlights</w:t>
            </w:r>
          </w:p>
        </w:tc>
        <w:tc>
          <w:tcPr>
            <w:tcW w:w="780" w:type="dxa"/>
            <w:vAlign w:val="bottom"/>
            <w:tcBorders>
              <w:bottom w:val="single" w:sz="8" w:color="F5F5F5"/>
            </w:tcBorders>
            <w:shd w:val="clear" w:color="auto" w:fill="F5F5F5"/>
          </w:tcPr>
          <w:p>
            <w:pPr>
              <w:jc w:val="right"/>
              <w:spacing w:after="0" w:line="208" w:lineRule="exact"/>
              <w:rPr>
                <w:sz w:val="20"/>
                <w:szCs w:val="20"/>
                <w:color w:val="auto"/>
              </w:rPr>
            </w:pPr>
            <w:r>
              <w:rPr>
                <w:rFonts w:ascii="Calibri" w:cs="Calibri" w:eastAsia="Calibri" w:hAnsi="Calibri"/>
                <w:sz w:val="18"/>
                <w:szCs w:val="18"/>
                <w:color w:val="auto"/>
              </w:rPr>
              <w:t>1</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color w:val="auto"/>
              </w:rPr>
              <w:t>Executve Summary</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6"/>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Financial Highlights</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4</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b w:val="1"/>
                <w:bCs w:val="1"/>
                <w:color w:val="007681"/>
              </w:rPr>
              <w:t>Capital Informaton</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7"/>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Capital Informaton and Market Capitalizaton</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8</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color w:val="auto"/>
              </w:rPr>
              <w:t>Changes in Total Common and Equivalent Shares/Units</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7"/>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b w:val="1"/>
                <w:bCs w:val="1"/>
                <w:color w:val="007681"/>
              </w:rPr>
              <w:t>Financial Data</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10</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color w:val="auto"/>
              </w:rPr>
              <w:t>Consolidated Statements of Operatons (Unaudited)</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7"/>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Consolidated Balance Sheet (Unaudited)</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11</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color w:val="auto"/>
              </w:rPr>
              <w:t>Non-GAAP Pro Rata Financial Informaton (Unaudited)</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12</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7"/>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Supplemental FFO Informaton</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15</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color w:val="auto"/>
              </w:rPr>
              <w:t>Capital Expenditures</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16</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7"/>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Asset Dispositons / Loan Give-Backs</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17</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b w:val="1"/>
                <w:bCs w:val="1"/>
                <w:color w:val="007681"/>
              </w:rPr>
              <w:t>Operatonal Data</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7"/>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Trailing Twelve Month Sales Per Square Foot</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18</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color w:val="auto"/>
              </w:rPr>
              <w:t>Portolio Occupancy</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6"/>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Average Base Rent Per Square Foot</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18</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color w:val="auto"/>
              </w:rPr>
              <w:t>Cost of Occupancy</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18</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7"/>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Percentage of Net Operatng Income by State</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19</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color w:val="auto"/>
              </w:rPr>
              <w:t>Property Listng</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20</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6"/>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Joint Venture List</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23</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b w:val="1"/>
                <w:bCs w:val="1"/>
                <w:color w:val="007681"/>
              </w:rPr>
              <w:t>Balance Sheet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24</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7"/>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Net Debt to Adjusted EBITDA</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24</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color w:val="auto"/>
              </w:rPr>
              <w:t>Debt Summary</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25</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6"/>
        </w:trPr>
        <w:tc>
          <w:tcPr>
            <w:tcW w:w="88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Outstanding Debt by Maturity Date</w:t>
            </w:r>
          </w:p>
        </w:tc>
        <w:tc>
          <w:tcPr>
            <w:tcW w:w="7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26</w:t>
            </w:r>
          </w:p>
        </w:tc>
      </w:tr>
      <w:tr>
        <w:trPr>
          <w:trHeight w:val="215"/>
        </w:trPr>
        <w:tc>
          <w:tcPr>
            <w:tcW w:w="8860" w:type="dxa"/>
            <w:vAlign w:val="bottom"/>
          </w:tcPr>
          <w:p>
            <w:pPr>
              <w:ind w:left="60"/>
              <w:spacing w:after="0" w:line="215" w:lineRule="exact"/>
              <w:rPr>
                <w:sz w:val="20"/>
                <w:szCs w:val="20"/>
                <w:color w:val="auto"/>
              </w:rPr>
            </w:pPr>
            <w:r>
              <w:rPr>
                <w:rFonts w:ascii="Calibri" w:cs="Calibri" w:eastAsia="Calibri" w:hAnsi="Calibri"/>
                <w:sz w:val="18"/>
                <w:szCs w:val="18"/>
                <w:b w:val="1"/>
                <w:bCs w:val="1"/>
                <w:color w:val="007681"/>
              </w:rPr>
              <w:t>Development and Redevelopment Pipeline Forecast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28</w:t>
            </w:r>
          </w:p>
        </w:tc>
      </w:tr>
      <w:tr>
        <w:trPr>
          <w:trHeight w:val="42"/>
        </w:trPr>
        <w:tc>
          <w:tcPr>
            <w:tcW w:w="88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5"/>
        </w:trPr>
        <w:tc>
          <w:tcPr>
            <w:tcW w:w="8860" w:type="dxa"/>
            <w:vAlign w:val="bottom"/>
            <w:shd w:val="clear" w:color="auto" w:fill="F5F5F5"/>
          </w:tcPr>
          <w:p>
            <w:pPr>
              <w:ind w:left="60"/>
              <w:spacing w:after="0" w:line="215" w:lineRule="exact"/>
              <w:rPr>
                <w:sz w:val="20"/>
                <w:szCs w:val="20"/>
                <w:color w:val="auto"/>
              </w:rPr>
            </w:pPr>
            <w:r>
              <w:rPr>
                <w:rFonts w:ascii="Calibri" w:cs="Calibri" w:eastAsia="Calibri" w:hAnsi="Calibri"/>
                <w:sz w:val="18"/>
                <w:szCs w:val="18"/>
                <w:b w:val="1"/>
                <w:bCs w:val="1"/>
                <w:color w:val="007681"/>
              </w:rPr>
              <w:t>Corporate Informaton</w:t>
            </w:r>
          </w:p>
        </w:tc>
        <w:tc>
          <w:tcPr>
            <w:tcW w:w="780" w:type="dxa"/>
            <w:vAlign w:val="bottom"/>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29</w:t>
            </w:r>
          </w:p>
        </w:tc>
      </w:tr>
      <w:tr>
        <w:trPr>
          <w:trHeight w:val="42"/>
        </w:trPr>
        <w:tc>
          <w:tcPr>
            <w:tcW w:w="8860" w:type="dxa"/>
            <w:vAlign w:val="bottom"/>
            <w:shd w:val="clear" w:color="auto" w:fill="F5F5F5"/>
          </w:tcPr>
          <w:p>
            <w:pPr>
              <w:spacing w:after="0"/>
              <w:rPr>
                <w:sz w:val="3"/>
                <w:szCs w:val="3"/>
                <w:color w:val="auto"/>
              </w:rPr>
            </w:pPr>
          </w:p>
        </w:tc>
        <w:tc>
          <w:tcPr>
            <w:tcW w:w="780" w:type="dxa"/>
            <w:vAlign w:val="bottom"/>
            <w:shd w:val="clear" w:color="auto" w:fill="F5F5F5"/>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59"/>
        <w:spacing w:after="0"/>
        <w:rPr>
          <w:sz w:val="20"/>
          <w:szCs w:val="20"/>
          <w:color w:val="auto"/>
        </w:rPr>
      </w:pPr>
      <w:r>
        <w:rPr>
          <w:rFonts w:ascii="Calibri" w:cs="Calibri" w:eastAsia="Calibri" w:hAnsi="Calibri"/>
          <w:sz w:val="18"/>
          <w:szCs w:val="18"/>
          <w:b w:val="1"/>
          <w:bCs w:val="1"/>
          <w:color w:val="auto"/>
        </w:rPr>
        <w:t>The Macerich Company</w:t>
      </w:r>
    </w:p>
    <w:p>
      <w:pPr>
        <w:jc w:val="center"/>
        <w:ind w:right="-259"/>
        <w:spacing w:after="0" w:line="206" w:lineRule="auto"/>
        <w:rPr>
          <w:sz w:val="20"/>
          <w:szCs w:val="20"/>
          <w:color w:val="auto"/>
        </w:rPr>
      </w:pPr>
      <w:r>
        <w:rPr>
          <w:rFonts w:ascii="Calibri" w:cs="Calibri" w:eastAsia="Calibri" w:hAnsi="Calibri"/>
          <w:sz w:val="18"/>
          <w:szCs w:val="18"/>
          <w:b w:val="1"/>
          <w:bCs w:val="1"/>
          <w:color w:val="auto"/>
        </w:rPr>
        <w:t>Executve Summary</w:t>
      </w:r>
    </w:p>
    <w:p>
      <w:pPr>
        <w:spacing w:after="0" w:line="159" w:lineRule="exact"/>
        <w:rPr>
          <w:sz w:val="20"/>
          <w:szCs w:val="20"/>
          <w:color w:val="auto"/>
        </w:rPr>
      </w:pPr>
    </w:p>
    <w:p>
      <w:pPr>
        <w:jc w:val="center"/>
        <w:ind w:right="-279"/>
        <w:spacing w:after="0"/>
        <w:rPr>
          <w:sz w:val="20"/>
          <w:szCs w:val="20"/>
          <w:color w:val="auto"/>
        </w:rPr>
      </w:pPr>
      <w:r>
        <w:rPr>
          <w:rFonts w:ascii="Calibri" w:cs="Calibri" w:eastAsia="Calibri" w:hAnsi="Calibri"/>
          <w:sz w:val="18"/>
          <w:szCs w:val="18"/>
          <w:b w:val="1"/>
          <w:bCs w:val="1"/>
          <w:color w:val="FFFFFF"/>
        </w:rPr>
        <w:t>March 31, 2026</w:t>
      </w:r>
    </w:p>
    <w:p>
      <w:pPr>
        <w:sectPr>
          <w:pgSz w:w="11900" w:h="16838" w:orient="portrait"/>
          <w:cols w:equalWidth="0" w:num="1">
            <w:col w:w="9640"/>
          </w:cols>
          <w:pgMar w:left="980" w:top="139" w:right="1279" w:bottom="1051" w:gutter="0" w:footer="0" w:header="0"/>
        </w:sectPr>
      </w:pPr>
    </w:p>
    <w:bookmarkStart w:id="6" w:name="page7"/>
    <w:bookmarkEnd w:id="6"/>
    <w:p>
      <w:pPr>
        <w:ind w:right="460"/>
        <w:spacing w:after="0" w:line="223"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As a leading owner, operator and developer of high-quality retail real estate in densely populated and atractve U.S. markets, our portolio is concentrated in California, the Pacifc Northwest, Phoenix/Scotsdale, and the Metro New York to Washington, D.C. corridor. Developing and managing propertes that serve as community cornerstones, we currently own approximately 41 million square feet of real estate, consistng primarily of interests in 39 retail centers. We are frmly dedicated to driving long-term shareholder value and to advancing environmental goals, social good and sound corporate governance.</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007681"/>
        </w:rPr>
        <w:t>Results for the Quarter:</w:t>
      </w:r>
    </w:p>
    <w:p>
      <w:pPr>
        <w:spacing w:after="0" w:line="204" w:lineRule="exact"/>
        <w:rPr>
          <w:sz w:val="20"/>
          <w:szCs w:val="20"/>
          <w:color w:val="auto"/>
        </w:rPr>
      </w:pPr>
    </w:p>
    <w:p>
      <w:pPr>
        <w:ind w:right="60"/>
        <w:spacing w:after="0" w:line="220" w:lineRule="auto"/>
        <w:rPr>
          <w:sz w:val="20"/>
          <w:szCs w:val="20"/>
          <w:color w:val="auto"/>
        </w:rPr>
      </w:pPr>
      <w:r>
        <w:rPr>
          <w:rFonts w:ascii="Calibri" w:cs="Calibri" w:eastAsia="Calibri" w:hAnsi="Calibri"/>
          <w:sz w:val="18"/>
          <w:szCs w:val="18"/>
          <w:color w:val="auto"/>
        </w:rPr>
        <w:t>The net loss atributable to the Company was $36.4 million, or $0.14 per share-diluted, during the frst quarter of 2026, compared to net loss atributable to the Company of $50.1 million, or $0.20 per share-diluted, for the quarter ended March 31, 2025. The change in net loss between the frst quarter of 2026 compared to the same period in 2025 is primarily due to the Company recognizing gain on sale or write down of assets, net in the frst quarter of 2026.</w:t>
      </w:r>
    </w:p>
    <w:p>
      <w:pPr>
        <w:spacing w:after="0" w:line="180" w:lineRule="exact"/>
        <w:rPr>
          <w:sz w:val="20"/>
          <w:szCs w:val="20"/>
          <w:color w:val="auto"/>
        </w:rPr>
      </w:pPr>
    </w:p>
    <w:p>
      <w:pPr>
        <w:spacing w:after="0" w:line="225" w:lineRule="auto"/>
        <w:rPr>
          <w:sz w:val="20"/>
          <w:szCs w:val="20"/>
          <w:color w:val="auto"/>
        </w:rPr>
      </w:pPr>
      <w:r>
        <w:rPr>
          <w:rFonts w:ascii="Calibri" w:cs="Calibri" w:eastAsia="Calibri" w:hAnsi="Calibri"/>
          <w:sz w:val="18"/>
          <w:szCs w:val="18"/>
          <w:color w:val="auto"/>
        </w:rPr>
        <w:t>Funds from Operatons (“FFO”), as adjusted, was $92.4 million, or $0.34 per share-diluted, during the frst quarter of 2026, compared to $89.8 million, or $0.34 per share-diluted, for FFO, as adjusted, for the quarter ended March 31, 2025. FFO, as adjusted, for the frst quarter of 2026 included gain on undepreciated asset sales of approximately $10.1 million.</w:t>
      </w:r>
    </w:p>
    <w:p>
      <w:pPr>
        <w:spacing w:after="0" w:line="179" w:lineRule="exact"/>
        <w:rPr>
          <w:sz w:val="20"/>
          <w:szCs w:val="20"/>
          <w:color w:val="auto"/>
        </w:rPr>
      </w:pPr>
    </w:p>
    <w:p>
      <w:pPr>
        <w:ind w:right="140"/>
        <w:spacing w:after="0" w:line="227" w:lineRule="auto"/>
        <w:rPr>
          <w:sz w:val="20"/>
          <w:szCs w:val="20"/>
          <w:color w:val="auto"/>
        </w:rPr>
      </w:pPr>
      <w:r>
        <w:rPr>
          <w:rFonts w:ascii="Calibri" w:cs="Calibri" w:eastAsia="Calibri" w:hAnsi="Calibri"/>
          <w:sz w:val="18"/>
          <w:szCs w:val="18"/>
          <w:color w:val="auto"/>
        </w:rPr>
        <w:t>Go-Forward Portolio Centers net operatng income (“NOI”), excluding lease terminaton income, increased 1.2% in the frst quarter of 2026 compared to the frst quarter of 2025.</w:t>
      </w:r>
    </w:p>
    <w:p>
      <w:pPr>
        <w:spacing w:after="0" w:line="178" w:lineRule="exact"/>
        <w:rPr>
          <w:sz w:val="20"/>
          <w:szCs w:val="20"/>
          <w:color w:val="auto"/>
        </w:rPr>
      </w:pPr>
    </w:p>
    <w:p>
      <w:pPr>
        <w:ind w:right="140"/>
        <w:spacing w:after="0" w:line="220" w:lineRule="auto"/>
        <w:rPr>
          <w:sz w:val="20"/>
          <w:szCs w:val="20"/>
          <w:color w:val="auto"/>
        </w:rPr>
      </w:pPr>
      <w:r>
        <w:rPr>
          <w:rFonts w:ascii="Calibri" w:cs="Calibri" w:eastAsia="Calibri" w:hAnsi="Calibri"/>
          <w:sz w:val="18"/>
          <w:szCs w:val="18"/>
          <w:color w:val="auto"/>
        </w:rPr>
        <w:t>Portolio tenant sales per square foot for spaces less than 10,000 square feet for the twelve months ended March 31, 2026 were $899 compared to $837 for the twelve months ended March 31, 2025 and $881 for the twelve months ended December 31, 2025. Go-Forward Portolio Centers sales per square foot for spaces less than 10,000 square feet for the twelve months ended March 31, 2026 were $941.</w:t>
      </w:r>
    </w:p>
    <w:p>
      <w:pPr>
        <w:spacing w:after="0" w:line="180" w:lineRule="exact"/>
        <w:rPr>
          <w:sz w:val="20"/>
          <w:szCs w:val="20"/>
          <w:color w:val="auto"/>
        </w:rPr>
      </w:pPr>
    </w:p>
    <w:p>
      <w:pPr>
        <w:ind w:right="40"/>
        <w:spacing w:after="0" w:line="225" w:lineRule="auto"/>
        <w:rPr>
          <w:sz w:val="20"/>
          <w:szCs w:val="20"/>
          <w:color w:val="auto"/>
        </w:rPr>
      </w:pPr>
      <w:r>
        <w:rPr>
          <w:rFonts w:ascii="Calibri" w:cs="Calibri" w:eastAsia="Calibri" w:hAnsi="Calibri"/>
          <w:sz w:val="18"/>
          <w:szCs w:val="18"/>
          <w:color w:val="auto"/>
        </w:rPr>
        <w:t>Leased portolio occupancy as of March 31, 2026 was 93.4%, a 0.8% increase compared to the 92.6% occupancy rate at March 31, 2025 and a 0.6% decrease compared to the 94.0% occupancy rate at December 31, 2025. Go-Forward Portolio Center leased occupancy as of March 31, 2026 was 94.5%.</w:t>
      </w:r>
    </w:p>
    <w:p>
      <w:pPr>
        <w:spacing w:after="0" w:line="179" w:lineRule="exact"/>
        <w:rPr>
          <w:sz w:val="20"/>
          <w:szCs w:val="20"/>
          <w:color w:val="auto"/>
        </w:rPr>
      </w:pPr>
    </w:p>
    <w:p>
      <w:pPr>
        <w:ind w:right="80"/>
        <w:spacing w:after="0" w:line="220" w:lineRule="auto"/>
        <w:rPr>
          <w:sz w:val="20"/>
          <w:szCs w:val="20"/>
          <w:color w:val="auto"/>
        </w:rPr>
      </w:pPr>
      <w:r>
        <w:rPr>
          <w:rFonts w:ascii="Calibri" w:cs="Calibri" w:eastAsia="Calibri" w:hAnsi="Calibri"/>
          <w:sz w:val="18"/>
          <w:szCs w:val="18"/>
          <w:color w:val="auto"/>
        </w:rPr>
        <w:t>During the frst quarter of 2026, we signed leases for 1.6 million square feet, a 2.5% increase in leased square footage compared to the frst quarter of 2025, on a comparable center basis, excluding a mult-locaton anchor renewal package executed in the prior-year period.</w:t>
      </w:r>
    </w:p>
    <w:p>
      <w:pPr>
        <w:spacing w:after="0" w:line="192" w:lineRule="exact"/>
        <w:rPr>
          <w:sz w:val="20"/>
          <w:szCs w:val="20"/>
          <w:color w:val="auto"/>
        </w:rPr>
      </w:pPr>
    </w:p>
    <w:p>
      <w:pPr>
        <w:jc w:val="both"/>
        <w:ind w:right="460"/>
        <w:spacing w:after="0" w:line="220" w:lineRule="auto"/>
        <w:rPr>
          <w:sz w:val="20"/>
          <w:szCs w:val="20"/>
          <w:color w:val="auto"/>
        </w:rPr>
      </w:pPr>
      <w:r>
        <w:rPr>
          <w:rFonts w:ascii="Calibri" w:cs="Calibri" w:eastAsia="Calibri" w:hAnsi="Calibri"/>
          <w:sz w:val="18"/>
          <w:szCs w:val="18"/>
          <w:color w:val="auto"/>
        </w:rPr>
        <w:t>New store leases are expected to produce total gross revenue of approximately $116 million at our share in excess of the revenue generated in 2024 from prior uses in those same spaces. This new store leasing pipeline represents a cumulatve and incremental estmate and includes open stores, leases signed not open, and leases in documentaton that will or have commenced from 2024 through 2028.</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007681"/>
        </w:rPr>
        <w:t>Management Commentary:</w:t>
      </w:r>
    </w:p>
    <w:p>
      <w:pPr>
        <w:spacing w:after="0" w:line="150" w:lineRule="exact"/>
        <w:rPr>
          <w:sz w:val="20"/>
          <w:szCs w:val="20"/>
          <w:color w:val="auto"/>
        </w:rPr>
      </w:pPr>
    </w:p>
    <w:p>
      <w:pPr>
        <w:ind w:right="120"/>
        <w:spacing w:after="0" w:line="219" w:lineRule="auto"/>
        <w:rPr>
          <w:sz w:val="20"/>
          <w:szCs w:val="20"/>
          <w:color w:val="auto"/>
        </w:rPr>
      </w:pPr>
      <w:r>
        <w:rPr>
          <w:rFonts w:ascii="Calibri" w:cs="Calibri" w:eastAsia="Calibri" w:hAnsi="Calibri"/>
          <w:sz w:val="18"/>
          <w:szCs w:val="18"/>
          <w:color w:val="auto"/>
        </w:rPr>
        <w:t>“We are now frmly in the executon and conversion stage of our Path Forward Plan in 2026,” noted Jack Hsieh, President and Chief Executve Ofcer, Macerich. “Leasing remains ahead of plan with our leasing speedometer reaching 83% and the 85% target well in sight for mid-year as expected. Our SNO pipeline has risen to $116 million and the anchor repositoning program is on track with all 30 anchors commited. Looking ahead, we expect strong NOI growth for the Go-Forward Portolio, beginning in the second half of 2026 and acceleratng meaningfully in 2027 and 2028, as the SNO pipeline tenants open and begin paying rent. When we exit the Path Forward Plan, we expect a company with higher permanent occupancy, annual rent escalators embedded across the lease base, a balance sheet with lower leverage, and a portolio of irreplaceable assets in afuent markets where the best retailers in the world are competng to be. ”</w:t>
      </w:r>
    </w:p>
    <w:p>
      <w:pPr>
        <w:spacing w:after="0" w:line="178" w:lineRule="exact"/>
        <w:rPr>
          <w:sz w:val="20"/>
          <w:szCs w:val="20"/>
          <w:color w:val="auto"/>
        </w:rPr>
      </w:pPr>
    </w:p>
    <w:p>
      <w:pPr>
        <w:ind w:right="20"/>
        <w:spacing w:after="0" w:line="218" w:lineRule="auto"/>
        <w:rPr>
          <w:sz w:val="20"/>
          <w:szCs w:val="20"/>
          <w:color w:val="auto"/>
        </w:rPr>
      </w:pPr>
      <w:r>
        <w:rPr>
          <w:rFonts w:ascii="Calibri" w:cs="Calibri" w:eastAsia="Calibri" w:hAnsi="Calibri"/>
          <w:sz w:val="18"/>
          <w:szCs w:val="18"/>
          <w:color w:val="auto"/>
        </w:rPr>
        <w:t>"With the recent acquisiton of Annapolis Mall, we have added a market-leading asset located within a strong trade area with limited competton. The property is undergoing a signifcant elevaton and transformaton of its merchandising plan and tenant mix, including a new Dick’s House of Sport store opening in the Fall, and there is a clear path to durable NOI growth that is accretve to our 2028 target FFO ranges under the Path Forward Plan. This of market transacton was completed with the prior ownership group who did an excellent job over the past two years startng a signifcant elevaton and transformaton of the center’s merchandising plan and tenant mix. We believe applying the resources of Macerich will replicate the success we’ve experienced at Crabtree and across our Go-Forward portolio."</w:t>
      </w:r>
    </w:p>
    <w:p>
      <w:pPr>
        <w:spacing w:after="0" w:line="200" w:lineRule="exact"/>
        <w:rPr>
          <w:sz w:val="20"/>
          <w:szCs w:val="20"/>
          <w:color w:val="auto"/>
        </w:rPr>
      </w:pPr>
    </w:p>
    <w:p>
      <w:pPr>
        <w:spacing w:after="0" w:line="248" w:lineRule="exact"/>
        <w:rPr>
          <w:sz w:val="20"/>
          <w:szCs w:val="20"/>
          <w:color w:val="auto"/>
        </w:rPr>
      </w:pPr>
    </w:p>
    <w:p>
      <w:pPr>
        <w:jc w:val="center"/>
        <w:ind w:right="-279"/>
        <w:spacing w:after="0"/>
        <w:rPr>
          <w:sz w:val="20"/>
          <w:szCs w:val="20"/>
          <w:color w:val="auto"/>
        </w:rPr>
      </w:pPr>
      <w:r>
        <w:rPr>
          <w:rFonts w:ascii="Calibri" w:cs="Calibri" w:eastAsia="Calibri" w:hAnsi="Calibri"/>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39"/>
        <w:spacing w:after="0"/>
        <w:rPr>
          <w:sz w:val="20"/>
          <w:szCs w:val="20"/>
          <w:color w:val="auto"/>
        </w:rPr>
      </w:pPr>
      <w:r>
        <w:rPr>
          <w:rFonts w:ascii="Calibri" w:cs="Calibri" w:eastAsia="Calibri" w:hAnsi="Calibri"/>
          <w:sz w:val="18"/>
          <w:szCs w:val="18"/>
          <w:b w:val="1"/>
          <w:bCs w:val="1"/>
          <w:color w:val="auto"/>
        </w:rPr>
        <w:t>The Macerich Company</w:t>
      </w:r>
    </w:p>
    <w:p>
      <w:pPr>
        <w:jc w:val="center"/>
        <w:ind w:right="-239"/>
        <w:spacing w:after="0" w:line="206" w:lineRule="auto"/>
        <w:rPr>
          <w:sz w:val="20"/>
          <w:szCs w:val="20"/>
          <w:color w:val="auto"/>
        </w:rPr>
      </w:pPr>
      <w:r>
        <w:rPr>
          <w:rFonts w:ascii="Calibri" w:cs="Calibri" w:eastAsia="Calibri" w:hAnsi="Calibri"/>
          <w:sz w:val="18"/>
          <w:szCs w:val="18"/>
          <w:b w:val="1"/>
          <w:bCs w:val="1"/>
          <w:color w:val="auto"/>
        </w:rPr>
        <w:t>Executve Summary</w:t>
      </w:r>
    </w:p>
    <w:p>
      <w:pPr>
        <w:spacing w:after="0" w:line="159" w:lineRule="exact"/>
        <w:rPr>
          <w:sz w:val="20"/>
          <w:szCs w:val="20"/>
          <w:color w:val="auto"/>
        </w:rPr>
      </w:pPr>
    </w:p>
    <w:p>
      <w:pPr>
        <w:jc w:val="center"/>
        <w:ind w:right="-299"/>
        <w:spacing w:after="0"/>
        <w:rPr>
          <w:sz w:val="20"/>
          <w:szCs w:val="20"/>
          <w:color w:val="auto"/>
        </w:rPr>
      </w:pPr>
      <w:r>
        <w:rPr>
          <w:rFonts w:ascii="Calibri" w:cs="Calibri" w:eastAsia="Calibri" w:hAnsi="Calibri"/>
          <w:sz w:val="18"/>
          <w:szCs w:val="18"/>
          <w:b w:val="1"/>
          <w:bCs w:val="1"/>
          <w:color w:val="FFFFFF"/>
        </w:rPr>
        <w:t>March 31, 2026</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007681"/>
        </w:rPr>
        <w:t>Balance Sheet:</w:t>
      </w:r>
    </w:p>
    <w:p>
      <w:pPr>
        <w:spacing w:after="0" w:line="190" w:lineRule="exact"/>
        <w:rPr>
          <w:sz w:val="20"/>
          <w:szCs w:val="20"/>
          <w:color w:val="auto"/>
        </w:rPr>
      </w:pPr>
    </w:p>
    <w:p>
      <w:pPr>
        <w:ind w:right="240"/>
        <w:spacing w:after="0" w:line="220" w:lineRule="auto"/>
        <w:rPr>
          <w:sz w:val="20"/>
          <w:szCs w:val="20"/>
          <w:color w:val="auto"/>
        </w:rPr>
      </w:pPr>
      <w:r>
        <w:rPr>
          <w:rFonts w:ascii="Calibri" w:cs="Calibri" w:eastAsia="Calibri" w:hAnsi="Calibri"/>
          <w:sz w:val="18"/>
          <w:szCs w:val="18"/>
          <w:color w:val="auto"/>
        </w:rPr>
        <w:t>During the frst quarter of 2026 and to date in the second quarter, we were actvely engaged in numerous transactons, including the following fnancing, capital raising, acquisiton and dispositon actvity:</w:t>
      </w:r>
    </w:p>
    <w:p>
      <w:pPr>
        <w:spacing w:after="0" w:line="191" w:lineRule="exact"/>
        <w:rPr>
          <w:sz w:val="20"/>
          <w:szCs w:val="20"/>
          <w:color w:val="auto"/>
        </w:rPr>
      </w:pPr>
    </w:p>
    <w:p>
      <w:pPr>
        <w:ind w:right="240"/>
        <w:spacing w:after="0" w:line="220" w:lineRule="auto"/>
        <w:rPr>
          <w:sz w:val="20"/>
          <w:szCs w:val="20"/>
          <w:color w:val="auto"/>
        </w:rPr>
      </w:pPr>
      <w:r>
        <w:rPr>
          <w:rFonts w:ascii="Calibri" w:cs="Calibri" w:eastAsia="Calibri" w:hAnsi="Calibri"/>
          <w:sz w:val="18"/>
          <w:szCs w:val="18"/>
          <w:color w:val="auto"/>
        </w:rPr>
        <w:t>On February 6, 2026, the Company completed a four-year extension of the $200 million loan for South Plains Mall. The loan carries a stated rate of 4.22% and matures on November 6, 2029.</w:t>
      </w:r>
    </w:p>
    <w:p>
      <w:pPr>
        <w:spacing w:after="0" w:line="191" w:lineRule="exact"/>
        <w:rPr>
          <w:sz w:val="20"/>
          <w:szCs w:val="20"/>
          <w:color w:val="auto"/>
        </w:rPr>
      </w:pPr>
    </w:p>
    <w:p>
      <w:pPr>
        <w:ind w:right="80"/>
        <w:spacing w:after="0" w:line="220" w:lineRule="auto"/>
        <w:rPr>
          <w:sz w:val="20"/>
          <w:szCs w:val="20"/>
          <w:color w:val="auto"/>
        </w:rPr>
      </w:pPr>
      <w:r>
        <w:rPr>
          <w:rFonts w:ascii="Calibri" w:cs="Calibri" w:eastAsia="Calibri" w:hAnsi="Calibri"/>
          <w:sz w:val="18"/>
          <w:szCs w:val="18"/>
          <w:color w:val="auto"/>
        </w:rPr>
        <w:t>Efectve February 6, 2026, the $76.5 million loan (at the Company’s pro rata share) at Twenty Ninth Street is in default. The Company’s joint venture is in negotatons with the lender on the terms of this loan.</w:t>
      </w:r>
    </w:p>
    <w:p>
      <w:pPr>
        <w:spacing w:after="0" w:line="191" w:lineRule="exact"/>
        <w:rPr>
          <w:sz w:val="20"/>
          <w:szCs w:val="20"/>
          <w:color w:val="auto"/>
        </w:rPr>
      </w:pPr>
    </w:p>
    <w:p>
      <w:pPr>
        <w:spacing w:after="0"/>
        <w:rPr>
          <w:sz w:val="20"/>
          <w:szCs w:val="20"/>
          <w:color w:val="auto"/>
        </w:rPr>
      </w:pPr>
      <w:r>
        <w:rPr>
          <w:rFonts w:ascii="Calibri" w:cs="Calibri" w:eastAsia="Calibri" w:hAnsi="Calibri"/>
          <w:sz w:val="17"/>
          <w:szCs w:val="17"/>
          <w:color w:val="auto"/>
        </w:rPr>
        <w:t>On February 24, 2026, the Company closed an amended and restated $900 million revolving credit facility. We increased the size of the</w:t>
      </w:r>
    </w:p>
    <w:p>
      <w:pPr>
        <w:sectPr>
          <w:pgSz w:w="11900" w:h="16838" w:orient="portrait"/>
          <w:cols w:equalWidth="0" w:num="1">
            <w:col w:w="9660"/>
          </w:cols>
          <w:pgMar w:left="980" w:top="252" w:right="1259" w:bottom="0" w:gutter="0" w:footer="0" w:header="0"/>
        </w:sectPr>
      </w:pPr>
    </w:p>
    <w:bookmarkStart w:id="7" w:name="page8"/>
    <w:bookmarkEnd w:id="7"/>
    <w:p>
      <w:pPr>
        <w:spacing w:after="0" w:line="77" w:lineRule="exact"/>
        <w:rPr>
          <w:sz w:val="20"/>
          <w:szCs w:val="20"/>
          <w:color w:val="auto"/>
        </w:rPr>
      </w:pPr>
    </w:p>
    <w:p>
      <w:pPr>
        <w:ind w:right="160"/>
        <w:spacing w:after="0" w:line="186" w:lineRule="auto"/>
        <w:rPr>
          <w:sz w:val="20"/>
          <w:szCs w:val="20"/>
          <w:color w:val="auto"/>
        </w:rPr>
      </w:pPr>
      <w:r>
        <w:rPr>
          <w:rFonts w:ascii="Calibri" w:cs="Calibri" w:eastAsia="Calibri" w:hAnsi="Calibri"/>
          <w:sz w:val="17"/>
          <w:szCs w:val="17"/>
          <w:color w:val="auto"/>
        </w:rPr>
        <w:t>facility from $650 million to $900 million, extended the maturity from February 2027 to March 2030 (inclusive of a 12-month extension opton), and lowered the current pricing grid from a spread range of 200 to 250 basis points over SOFR to 180 to 220 basis points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-164465</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right="380"/>
        <w:spacing w:after="0" w:line="213" w:lineRule="auto"/>
        <w:rPr>
          <w:sz w:val="20"/>
          <w:szCs w:val="20"/>
          <w:color w:val="auto"/>
        </w:rPr>
      </w:pPr>
      <w:r>
        <w:rPr>
          <w:rFonts w:ascii="Calibri" w:cs="Calibri" w:eastAsia="Calibri" w:hAnsi="Calibri"/>
          <w:sz w:val="18"/>
          <w:szCs w:val="18"/>
          <w:color w:val="auto"/>
        </w:rPr>
        <w:t>SOFR. Upon the achievement of certain performance thresholds, the spreads will be further reduced to a range of 135 to 165 basis points over SOFR.</w:t>
      </w:r>
    </w:p>
    <w:p>
      <w:pPr>
        <w:spacing w:after="0" w:line="192" w:lineRule="exact"/>
        <w:rPr>
          <w:sz w:val="20"/>
          <w:szCs w:val="20"/>
          <w:color w:val="auto"/>
        </w:rPr>
      </w:pPr>
    </w:p>
    <w:p>
      <w:pPr>
        <w:ind w:right="120"/>
        <w:spacing w:after="0" w:line="220" w:lineRule="auto"/>
        <w:rPr>
          <w:sz w:val="20"/>
          <w:szCs w:val="20"/>
          <w:color w:val="auto"/>
        </w:rPr>
      </w:pPr>
      <w:r>
        <w:rPr>
          <w:rFonts w:ascii="Calibri" w:cs="Calibri" w:eastAsia="Calibri" w:hAnsi="Calibri"/>
          <w:sz w:val="18"/>
          <w:szCs w:val="18"/>
          <w:color w:val="auto"/>
        </w:rPr>
        <w:t>On March 6, 2026, we repaid the outstanding balance of $211.5 million on the loan on Vintage Faire Mall at maturity with cash on hand and $100 million of borrowings on the revolving credit facility.</w:t>
      </w:r>
    </w:p>
    <w:p>
      <w:pPr>
        <w:spacing w:after="0" w:line="191" w:lineRule="exact"/>
        <w:rPr>
          <w:sz w:val="20"/>
          <w:szCs w:val="20"/>
          <w:color w:val="auto"/>
        </w:rPr>
      </w:pPr>
    </w:p>
    <w:p>
      <w:pPr>
        <w:ind w:right="220"/>
        <w:spacing w:after="0" w:line="220" w:lineRule="auto"/>
        <w:rPr>
          <w:sz w:val="20"/>
          <w:szCs w:val="20"/>
          <w:color w:val="auto"/>
        </w:rPr>
      </w:pPr>
      <w:r>
        <w:rPr>
          <w:rFonts w:ascii="Calibri" w:cs="Calibri" w:eastAsia="Calibri" w:hAnsi="Calibri"/>
          <w:sz w:val="18"/>
          <w:szCs w:val="18"/>
          <w:color w:val="auto"/>
        </w:rPr>
        <w:t>We completed outparcel and land sales totaling $14.5 million, which included the sale of a land parcel at Washington Square for $13.0 million.</w:t>
      </w:r>
    </w:p>
    <w:p>
      <w:pPr>
        <w:spacing w:after="0" w:line="191" w:lineRule="exact"/>
        <w:rPr>
          <w:sz w:val="20"/>
          <w:szCs w:val="20"/>
          <w:color w:val="auto"/>
        </w:rPr>
      </w:pPr>
    </w:p>
    <w:p>
      <w:pPr>
        <w:ind w:right="660"/>
        <w:spacing w:after="0" w:line="220" w:lineRule="auto"/>
        <w:rPr>
          <w:sz w:val="20"/>
          <w:szCs w:val="20"/>
          <w:color w:val="auto"/>
        </w:rPr>
      </w:pPr>
      <w:r>
        <w:rPr>
          <w:rFonts w:ascii="Calibri" w:cs="Calibri" w:eastAsia="Calibri" w:hAnsi="Calibri"/>
          <w:sz w:val="18"/>
          <w:szCs w:val="18"/>
          <w:color w:val="auto"/>
        </w:rPr>
        <w:t>We sold approximately 4.5 million shares of common stock for approximately $85.6 million of gross proceeds through our at the market (ATM) program at a weighted average price of 19.21 per share.</w:t>
      </w:r>
    </w:p>
    <w:p>
      <w:pPr>
        <w:spacing w:after="0" w:line="191" w:lineRule="exact"/>
        <w:rPr>
          <w:sz w:val="20"/>
          <w:szCs w:val="20"/>
          <w:color w:val="auto"/>
        </w:rPr>
      </w:pPr>
    </w:p>
    <w:p>
      <w:pPr>
        <w:ind w:right="180"/>
        <w:spacing w:after="0" w:line="220" w:lineRule="auto"/>
        <w:rPr>
          <w:sz w:val="20"/>
          <w:szCs w:val="20"/>
          <w:color w:val="auto"/>
        </w:rPr>
      </w:pPr>
      <w:r>
        <w:rPr>
          <w:rFonts w:ascii="Calibri" w:cs="Calibri" w:eastAsia="Calibri" w:hAnsi="Calibri"/>
          <w:sz w:val="18"/>
          <w:szCs w:val="18"/>
          <w:color w:val="auto"/>
        </w:rPr>
        <w:t>Subsequent to quarter end, we closed on a new $58.7 million (at Company’s share) fve-year mortgage loan on Deptord Mall. The new loan bears interest at a fxed rate of 6.95% and is interest only during the entre loan term.</w:t>
      </w:r>
    </w:p>
    <w:p>
      <w:pPr>
        <w:spacing w:after="0" w:line="191" w:lineRule="exact"/>
        <w:rPr>
          <w:sz w:val="20"/>
          <w:szCs w:val="20"/>
          <w:color w:val="auto"/>
        </w:rPr>
      </w:pPr>
    </w:p>
    <w:p>
      <w:pPr>
        <w:ind w:right="460"/>
        <w:spacing w:after="0" w:line="220" w:lineRule="auto"/>
        <w:rPr>
          <w:sz w:val="20"/>
          <w:szCs w:val="20"/>
          <w:color w:val="auto"/>
        </w:rPr>
      </w:pPr>
      <w:r>
        <w:rPr>
          <w:rFonts w:ascii="Calibri" w:cs="Calibri" w:eastAsia="Calibri" w:hAnsi="Calibri"/>
          <w:sz w:val="18"/>
          <w:szCs w:val="18"/>
          <w:color w:val="auto"/>
        </w:rPr>
        <w:t>On April 30, 2026, we acquired Annapolis Mall, a Class A regional mall totaling approximately 1.5 million square feet in Annapolis, Maryland for $260 million, plus the adjacent 13.1 acre vacant Sears parcel for $12 million. The acquisiton was funded with cash on hand and $150 million of borrowings from the line of credit.</w:t>
      </w:r>
    </w:p>
    <w:p>
      <w:pPr>
        <w:spacing w:after="0" w:line="179" w:lineRule="exact"/>
        <w:rPr>
          <w:sz w:val="20"/>
          <w:szCs w:val="20"/>
          <w:color w:val="auto"/>
        </w:rPr>
      </w:pPr>
    </w:p>
    <w:p>
      <w:pPr>
        <w:ind w:right="480"/>
        <w:spacing w:after="0" w:line="227" w:lineRule="auto"/>
        <w:rPr>
          <w:sz w:val="20"/>
          <w:szCs w:val="20"/>
          <w:color w:val="auto"/>
        </w:rPr>
      </w:pPr>
      <w:r>
        <w:rPr>
          <w:rFonts w:ascii="Calibri" w:cs="Calibri" w:eastAsia="Calibri" w:hAnsi="Calibri"/>
          <w:sz w:val="18"/>
          <w:szCs w:val="18"/>
          <w:color w:val="auto"/>
        </w:rPr>
        <w:t>As of the date of this fling, we had approximately $780 million of liquidity, including $650 million of available capacity on our $900 million revolving credit facility.</w:t>
      </w:r>
    </w:p>
    <w:p>
      <w:pPr>
        <w:ind w:left="7660"/>
        <w:spacing w:after="0" w:line="215" w:lineRule="auto"/>
        <w:rPr>
          <w:sz w:val="20"/>
          <w:szCs w:val="20"/>
          <w:color w:val="auto"/>
        </w:rPr>
      </w:pPr>
      <w:r>
        <w:rPr>
          <w:rFonts w:ascii="Calibri" w:cs="Calibri" w:eastAsia="Calibri" w:hAnsi="Calibri"/>
          <w:sz w:val="14"/>
          <w:szCs w:val="14"/>
          <w:b w:val="1"/>
          <w:bCs w:val="1"/>
          <w:color w:val="FFFFFF"/>
        </w:rPr>
        <w:t>Guidance</w:t>
      </w:r>
    </w:p>
    <w:p>
      <w:pPr>
        <w:spacing w:after="0" w:line="61"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007681"/>
        </w:rPr>
        <w:t>Dividend:</w:t>
      </w:r>
    </w:p>
    <w:p>
      <w:pPr>
        <w:spacing w:after="0" w:line="177" w:lineRule="exact"/>
        <w:rPr>
          <w:sz w:val="20"/>
          <w:szCs w:val="20"/>
          <w:color w:val="auto"/>
        </w:rPr>
      </w:pPr>
    </w:p>
    <w:p>
      <w:pPr>
        <w:ind w:right="420"/>
        <w:spacing w:after="0" w:line="227" w:lineRule="auto"/>
        <w:rPr>
          <w:sz w:val="20"/>
          <w:szCs w:val="20"/>
          <w:color w:val="auto"/>
        </w:rPr>
      </w:pPr>
      <w:r>
        <w:rPr>
          <w:rFonts w:ascii="Calibri" w:cs="Calibri" w:eastAsia="Calibri" w:hAnsi="Calibri"/>
          <w:sz w:val="18"/>
          <w:szCs w:val="18"/>
          <w:color w:val="auto"/>
        </w:rPr>
        <w:t>On May 4, 2026, we announced a quarterly cash dividend of $0.17 per share of common stock. The dividend is payable on June 29, 2026 to stockholders of record at the close of business on June 15, 2026.</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007681"/>
        </w:rPr>
        <w:t>Investor Conference Call:</w:t>
      </w:r>
    </w:p>
    <w:p>
      <w:pPr>
        <w:spacing w:after="0" w:line="177" w:lineRule="exact"/>
        <w:rPr>
          <w:sz w:val="20"/>
          <w:szCs w:val="20"/>
          <w:color w:val="auto"/>
        </w:rPr>
      </w:pPr>
    </w:p>
    <w:p>
      <w:pPr>
        <w:ind w:right="240"/>
        <w:spacing w:after="0" w:line="220" w:lineRule="auto"/>
        <w:rPr>
          <w:sz w:val="20"/>
          <w:szCs w:val="20"/>
          <w:color w:val="auto"/>
        </w:rPr>
      </w:pPr>
      <w:r>
        <w:rPr>
          <w:rFonts w:ascii="Calibri" w:cs="Calibri" w:eastAsia="Calibri" w:hAnsi="Calibri"/>
          <w:sz w:val="18"/>
          <w:szCs w:val="18"/>
          <w:color w:val="auto"/>
        </w:rPr>
        <w:t xml:space="preserve">We will provide an online Web simulcast and rebroadcast of our quarterly earnings conference call. The call will be available on The Macerich Company’s website at www.macerich.com (Investors Secton). The call begins on May 6, 2026 at 2:00 p.m. Pacifc Time. The call can be accessed live over the phone by dialing the following numbers: (833) 630-1956 (Toll Free) or (412) 317-1837 (Internatonal) and through a live webcast at </w:t>
      </w:r>
      <w:r>
        <w:rPr>
          <w:rFonts w:ascii="Calibri" w:cs="Calibri" w:eastAsia="Calibri" w:hAnsi="Calibri"/>
          <w:sz w:val="18"/>
          <w:szCs w:val="18"/>
          <w:u w:val="single" w:color="auto"/>
          <w:color w:val="3051F2"/>
        </w:rPr>
        <w:t>htps://edge.media-server.com/mmc/p/oh63omrq</w:t>
      </w:r>
      <w:r>
        <w:rPr>
          <w:rFonts w:ascii="Calibri" w:cs="Calibri" w:eastAsia="Calibri" w:hAnsi="Calibri"/>
          <w:sz w:val="18"/>
          <w:szCs w:val="18"/>
          <w:color w:val="auto"/>
        </w:rPr>
        <w:t xml:space="preserve"> . An online replay can be accessed at </w:t>
      </w:r>
      <w:r>
        <w:rPr>
          <w:rFonts w:ascii="Calibri" w:cs="Calibri" w:eastAsia="Calibri" w:hAnsi="Calibri"/>
          <w:sz w:val="18"/>
          <w:szCs w:val="18"/>
          <w:u w:val="single" w:color="auto"/>
          <w:color w:val="3051F2"/>
        </w:rPr>
        <w:t>htps://</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3051F2"/>
        </w:rPr>
        <w:t>investng.macerich.com</w:t>
      </w:r>
      <w:r>
        <w:rPr>
          <w:rFonts w:ascii="Calibri" w:cs="Calibri" w:eastAsia="Calibri" w:hAnsi="Calibri"/>
          <w:sz w:val="18"/>
          <w:szCs w:val="18"/>
          <w:color w:val="3051F2"/>
        </w:rPr>
        <w:t xml:space="preserve"> </w:t>
      </w:r>
      <w:r>
        <w:rPr>
          <w:rFonts w:ascii="Calibri" w:cs="Calibri" w:eastAsia="Calibri" w:hAnsi="Calibri"/>
          <w:sz w:val="18"/>
          <w:szCs w:val="18"/>
          <w:color w:val="000000"/>
        </w:rPr>
        <w:t>.</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007681"/>
        </w:rPr>
        <w:t>About Macerich and this Document:</w:t>
      </w:r>
    </w:p>
    <w:p>
      <w:pPr>
        <w:spacing w:after="0" w:line="204" w:lineRule="exact"/>
        <w:rPr>
          <w:sz w:val="20"/>
          <w:szCs w:val="20"/>
          <w:color w:val="auto"/>
        </w:rPr>
      </w:pPr>
    </w:p>
    <w:p>
      <w:pPr>
        <w:ind w:right="320"/>
        <w:spacing w:after="0" w:line="220" w:lineRule="auto"/>
        <w:rPr>
          <w:sz w:val="20"/>
          <w:szCs w:val="20"/>
          <w:color w:val="auto"/>
        </w:rPr>
      </w:pPr>
      <w:r>
        <w:rPr>
          <w:rFonts w:ascii="Calibri" w:cs="Calibri" w:eastAsia="Calibri" w:hAnsi="Calibri"/>
          <w:sz w:val="18"/>
          <w:szCs w:val="18"/>
          <w:color w:val="auto"/>
        </w:rPr>
        <w:t>The Company is a fully integrated, self-managed and self-administered real estate investment trust, which focuses on the acquisiton, leasing, management, development and redevelopment of regional retail centers throughout the United States. The Company is the sole general partner of, and owns a majority of the ownership interests in, The Macerich Partnership, L.P., a Delaware limited partnership (the “Operatng Partnership”) and conducts all of its operatons through the Operatng Partnership and the Company’s management companies.</w:t>
      </w:r>
    </w:p>
    <w:p>
      <w:pPr>
        <w:spacing w:after="0" w:line="181" w:lineRule="exact"/>
        <w:rPr>
          <w:sz w:val="20"/>
          <w:szCs w:val="20"/>
          <w:color w:val="auto"/>
        </w:rPr>
      </w:pPr>
    </w:p>
    <w:p>
      <w:pPr>
        <w:ind w:right="200"/>
        <w:spacing w:after="0" w:line="233" w:lineRule="auto"/>
        <w:rPr>
          <w:sz w:val="20"/>
          <w:szCs w:val="20"/>
          <w:color w:val="auto"/>
        </w:rPr>
      </w:pPr>
      <w:r>
        <w:rPr>
          <w:rFonts w:ascii="Calibri" w:cs="Calibri" w:eastAsia="Calibri" w:hAnsi="Calibri"/>
          <w:sz w:val="17"/>
          <w:szCs w:val="17"/>
          <w:color w:val="auto"/>
        </w:rPr>
        <w:t>As of the date of this fling, the Operatng Partnership owned or had an ownership interest in approximately 41 million square feet of gross leasable area (“GLA”) consistng primarily of interests in 38 regional retail centers, and one community/power shopping center. These 39 centers are referred to hereinafer as the “Centers” unless the context requires otherwise. All references to the Company in this document include the Company, those enttes owned or controlled by the Company and predecessors of the Company, unless the context indicates otherwise. The Company's "Go-Forward Portolio Centers" represents the assets included in the go-forward portolio</w:t>
      </w: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The Macerich Company</w:t>
      </w:r>
    </w:p>
    <w:p>
      <w:pPr>
        <w:jc w:val="center"/>
        <w:ind w:right="-139"/>
        <w:spacing w:after="0" w:line="206" w:lineRule="auto"/>
        <w:rPr>
          <w:sz w:val="20"/>
          <w:szCs w:val="20"/>
          <w:color w:val="auto"/>
        </w:rPr>
      </w:pPr>
      <w:r>
        <w:rPr>
          <w:rFonts w:ascii="Calibri" w:cs="Calibri" w:eastAsia="Calibri" w:hAnsi="Calibri"/>
          <w:sz w:val="18"/>
          <w:szCs w:val="18"/>
          <w:b w:val="1"/>
          <w:bCs w:val="1"/>
          <w:color w:val="auto"/>
        </w:rPr>
        <w:t>Executve Summary</w:t>
      </w:r>
    </w:p>
    <w:p>
      <w:pPr>
        <w:spacing w:after="0" w:line="159" w:lineRule="exact"/>
        <w:rPr>
          <w:sz w:val="20"/>
          <w:szCs w:val="20"/>
          <w:color w:val="auto"/>
        </w:rPr>
      </w:pPr>
    </w:p>
    <w:p>
      <w:pPr>
        <w:jc w:val="center"/>
        <w:ind w:right="-199"/>
        <w:spacing w:after="0"/>
        <w:rPr>
          <w:sz w:val="20"/>
          <w:szCs w:val="20"/>
          <w:color w:val="auto"/>
        </w:rPr>
      </w:pPr>
      <w:r>
        <w:rPr>
          <w:rFonts w:ascii="Calibri" w:cs="Calibri" w:eastAsia="Calibri" w:hAnsi="Calibri"/>
          <w:sz w:val="18"/>
          <w:szCs w:val="18"/>
          <w:b w:val="1"/>
          <w:bCs w:val="1"/>
          <w:color w:val="FFFFFF"/>
        </w:rPr>
        <w:t>March 31, 2026</w:t>
      </w:r>
    </w:p>
    <w:p>
      <w:pPr>
        <w:spacing w:after="0" w:line="42" w:lineRule="exact"/>
        <w:rPr>
          <w:sz w:val="20"/>
          <w:szCs w:val="20"/>
          <w:color w:val="auto"/>
        </w:rPr>
      </w:pPr>
    </w:p>
    <w:p>
      <w:pPr>
        <w:ind w:right="260"/>
        <w:spacing w:after="0" w:line="227" w:lineRule="auto"/>
        <w:rPr>
          <w:sz w:val="20"/>
          <w:szCs w:val="20"/>
          <w:color w:val="auto"/>
        </w:rPr>
      </w:pPr>
      <w:r>
        <w:rPr>
          <w:rFonts w:ascii="Calibri" w:cs="Calibri" w:eastAsia="Calibri" w:hAnsi="Calibri"/>
          <w:sz w:val="18"/>
          <w:szCs w:val="18"/>
          <w:color w:val="auto"/>
        </w:rPr>
        <w:t xml:space="preserve">as described in the Path Forward Plan, which can be found on the Company's website at </w:t>
      </w:r>
      <w:r>
        <w:rPr>
          <w:rFonts w:ascii="Calibri" w:cs="Calibri" w:eastAsia="Calibri" w:hAnsi="Calibri"/>
          <w:sz w:val="18"/>
          <w:szCs w:val="18"/>
          <w:u w:val="single" w:color="auto"/>
          <w:color w:val="3051F2"/>
        </w:rPr>
        <w:t>htps://investng.macerich.com/</w:t>
      </w:r>
      <w:r>
        <w:rPr>
          <w:rFonts w:ascii="Calibri" w:cs="Calibri" w:eastAsia="Calibri" w:hAnsi="Calibri"/>
          <w:sz w:val="18"/>
          <w:szCs w:val="18"/>
          <w:color w:val="auto"/>
        </w:rPr>
        <w:t xml:space="preserve"> . The Go-Forward Portolio Centers are subject to change.</w:t>
      </w:r>
    </w:p>
    <w:p>
      <w:pPr>
        <w:spacing w:after="0" w:line="178" w:lineRule="exact"/>
        <w:rPr>
          <w:sz w:val="20"/>
          <w:szCs w:val="20"/>
          <w:color w:val="auto"/>
        </w:rPr>
      </w:pPr>
    </w:p>
    <w:p>
      <w:pPr>
        <w:spacing w:after="0" w:line="220" w:lineRule="auto"/>
        <w:rPr>
          <w:sz w:val="20"/>
          <w:szCs w:val="20"/>
          <w:color w:val="auto"/>
        </w:rPr>
      </w:pPr>
      <w:r>
        <w:rPr>
          <w:rFonts w:ascii="Calibri" w:cs="Calibri" w:eastAsia="Calibri" w:hAnsi="Calibri"/>
          <w:sz w:val="18"/>
          <w:szCs w:val="18"/>
          <w:color w:val="auto"/>
        </w:rPr>
        <w:t xml:space="preserve">Macerich uses, and intends to contnue to use, its Investor Relatons website, which can be found at </w:t>
      </w:r>
      <w:r>
        <w:rPr>
          <w:rFonts w:ascii="Calibri" w:cs="Calibri" w:eastAsia="Calibri" w:hAnsi="Calibri"/>
          <w:sz w:val="18"/>
          <w:szCs w:val="18"/>
          <w:u w:val="single" w:color="auto"/>
          <w:color w:val="3051F2"/>
        </w:rPr>
        <w:t>htps://investng.macerich.com/</w:t>
      </w:r>
      <w:r>
        <w:rPr>
          <w:rFonts w:ascii="Calibri" w:cs="Calibri" w:eastAsia="Calibri" w:hAnsi="Calibri"/>
          <w:sz w:val="18"/>
          <w:szCs w:val="18"/>
          <w:color w:val="auto"/>
        </w:rPr>
        <w:t xml:space="preserve"> , as a means of disclosing material nonpublic informaton and for complying with its disclosure obligatons under Regulaton FD. Additonal informaton about Macerich can be found though social media platorms such as LinkedIn and Twiter.</w:t>
      </w:r>
    </w:p>
    <w:p>
      <w:pPr>
        <w:spacing w:after="0" w:line="192" w:lineRule="exact"/>
        <w:rPr>
          <w:sz w:val="20"/>
          <w:szCs w:val="20"/>
          <w:color w:val="auto"/>
        </w:rPr>
      </w:pPr>
    </w:p>
    <w:p>
      <w:pPr>
        <w:ind w:right="120"/>
        <w:spacing w:after="0" w:line="230" w:lineRule="auto"/>
        <w:rPr>
          <w:sz w:val="20"/>
          <w:szCs w:val="20"/>
          <w:color w:val="auto"/>
        </w:rPr>
      </w:pPr>
      <w:r>
        <w:rPr>
          <w:rFonts w:ascii="Calibri" w:cs="Calibri" w:eastAsia="Calibri" w:hAnsi="Calibri"/>
          <w:sz w:val="17"/>
          <w:szCs w:val="17"/>
          <w:color w:val="auto"/>
        </w:rPr>
        <w:t>The Company presents certain measures in this document on a pro rata basis, which represents (i) the measure on a consolidated basis, minus the Company’s partners’ share of the measure from its consolidated joint ventures (calculated based upon the partners’ percentage ownership interest); plus (ii) the Company’s share of the measure from its unconsolidated joint ventures (calculated based upon the Company’s percentage ownership interest). Management believes that these measures provide useful informaton to investors regarding its fnancial conditon and/or results of operatons because they include the Company’s share of the applicable amount from unconsolidated joint ventures and exclude the Company’s partners’ share from consolidated joint ventures, in each case presented on the same basis. The Company has several signifcant joint ventures, and the Company believes that presentng various measures in this manner can help investors beter understand the Company’s fnancial conditon and/or results of operatons afer taking into account its economic interest in these joint ventures. Management also uses these measures to evaluate regional property level performance and to make decisions about resource allocatons. The Company’s economic interest (as distnct from its legal ownership interest) in certain of its joint ventures could fuctuate from tme to tme and may not wholly align with its legal ownership interests because of provisions in certain joint venture agreements regarding distributons of cash fow based on capital account balances, allocatons of profts and losses, payments of preferred returns and control over major decisions. Additonally, the Company</w:t>
      </w:r>
    </w:p>
    <w:p>
      <w:pPr>
        <w:sectPr>
          <w:pgSz w:w="11900" w:h="16916" w:orient="portrait"/>
          <w:cols w:equalWidth="0" w:num="1">
            <w:col w:w="9760"/>
          </w:cols>
          <w:pgMar w:left="980" w:top="78" w:right="1159" w:bottom="0" w:gutter="0" w:footer="0" w:header="0"/>
        </w:sectPr>
      </w:pPr>
    </w:p>
    <w:bookmarkStart w:id="8" w:name="page9"/>
    <w:bookmarkEnd w:id="8"/>
    <w:p>
      <w:pPr>
        <w:ind w:left="60" w:right="620"/>
        <w:spacing w:after="0" w:line="227" w:lineRule="auto"/>
        <w:rPr>
          <w:sz w:val="20"/>
          <w:szCs w:val="20"/>
          <w:color w:val="auto"/>
        </w:rPr>
      </w:pPr>
      <w:r>
        <w:rPr>
          <w:rFonts w:ascii="Calibri" w:cs="Calibri" w:eastAsia="Calibri" w:hAnsi="Calibri"/>
          <w:sz w:val="18"/>
          <w:szCs w:val="18"/>
          <w:color w:val="auto"/>
        </w:rPr>
        <w:t>does not control its unconsolidated joint ventures and the presentaton of certain items, such as assets, liabilites, revenues and expenses, from these unconsolidated joint ventures does not represent the Company’s legal claim to such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-248920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58" w:lineRule="exact"/>
        <w:rPr>
          <w:sz w:val="20"/>
          <w:szCs w:val="20"/>
          <w:color w:val="auto"/>
        </w:rPr>
      </w:pPr>
    </w:p>
    <w:p>
      <w:pPr>
        <w:ind w:left="60" w:right="40"/>
        <w:spacing w:after="0" w:line="233" w:lineRule="auto"/>
        <w:rPr>
          <w:sz w:val="20"/>
          <w:szCs w:val="20"/>
          <w:color w:val="auto"/>
        </w:rPr>
      </w:pPr>
      <w:r>
        <w:rPr>
          <w:rFonts w:ascii="Calibri" w:cs="Calibri" w:eastAsia="Calibri" w:hAnsi="Calibri"/>
          <w:sz w:val="17"/>
          <w:szCs w:val="17"/>
          <w:color w:val="auto"/>
        </w:rPr>
        <w:t>Note: This document contains statements that consttute forward-looking statements, which can be identfed by the use of words, such as “will,” “expects,” “antcipates,” “assumes,” “believes,” “estmated,” “guidance,” “projects,” “scheduled” and similar expressions that do not relate to historical maters, and includes expectatons regarding the Company’s future operatonal results, including the Path Forward Plan and its ability to meet the established goals under such Plan, as well as development, redevelopment and expansion actvites. Stockholders are cautoned that any such forward-looking statements are not guarantees of future performance and involve risks, uncertaintes and other factors that may cause actual results, performance or achievements of the Company to vary materially from those antcipated, expected or projected. Such factors include, among others, general industry, as well as global, natonal, regional and local economic and business conditons, including the impact of geopolitcal tensions, tarifs, elevated interest rates and infaton, which will, among other things, afect demand for retail space or retail goods, availability and creditworthiness of current and prospectve tenants, anchor or tenant bankruptcies, closures, mergers or consolidatons, lease rates, terms and payments, elevated interest rates and their impact on the fnancial conditon and results of operatons of the Company, including as a result of any increased borrowing costs on the Company's outstanding foatng-rate debt and defaults on mortgage loans, availability, terms and cost of fnancing, and operatng expenses; adverse changes in the real estate markets including, among other things, competton from other companies, retail formats and technology, risks of real estate development and redevelopment (including elevated infaton, supply chain disruptons and constructon delays), acquisitons and dispositons; adverse impacts from any pandemic, epidemic or outbreak of any highly infectous disease on the U.S., regional and global economies and the fnancial conditon and results of operatons of the Company and its tenants; the liquidity of real estate investments; government shutdowns and other governmental actons and initatves (including legislatve and regulatory changes); environmental and safety requirements; and terrorist actvites or other acts of violence, which could adversely afect all of the above factors. The reader is directed to the Company’s various flings with the Securites and Exchange Commission, including the Annual Report on Form 10-K for the year ended December 31, 2025, for a discussion of such risks and uncertaintes, which discussion is incorporated herein by reference. You are cautoned not to place undue reliance on these forward-looking statements, which speak only as of the date of this document. The Company does not intend, and undertakes no obligaton, to update any forward-looking informaton to refect events or circumstances afer the date of this document or to refect the occurrence of unantcipated events unless required by law to do so.</w:t>
      </w:r>
    </w:p>
    <w:p>
      <w:pPr>
        <w:spacing w:after="0" w:line="181" w:lineRule="exact"/>
        <w:rPr>
          <w:sz w:val="20"/>
          <w:szCs w:val="20"/>
          <w:color w:val="auto"/>
        </w:rPr>
      </w:pPr>
    </w:p>
    <w:p>
      <w:pPr>
        <w:jc w:val="center"/>
        <w:ind w:right="-279"/>
        <w:spacing w:after="0"/>
        <w:rPr>
          <w:sz w:val="20"/>
          <w:szCs w:val="20"/>
          <w:color w:val="auto"/>
        </w:rPr>
      </w:pPr>
      <w:r>
        <w:rPr>
          <w:rFonts w:ascii="Calibri" w:cs="Calibri" w:eastAsia="Calibri" w:hAnsi="Calibri"/>
          <w:sz w:val="18"/>
          <w:szCs w:val="18"/>
          <w:color w:val="auto"/>
        </w:rPr>
        <w:t>(See atached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19"/>
        <w:spacing w:after="0"/>
        <w:rPr>
          <w:sz w:val="20"/>
          <w:szCs w:val="20"/>
          <w:color w:val="auto"/>
        </w:rPr>
      </w:pPr>
      <w:r>
        <w:rPr>
          <w:rFonts w:ascii="Calibri" w:cs="Calibri" w:eastAsia="Calibri" w:hAnsi="Calibri"/>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20"/>
        <w:spacing w:after="0"/>
        <w:rPr>
          <w:sz w:val="20"/>
          <w:szCs w:val="20"/>
          <w:color w:val="auto"/>
        </w:rPr>
      </w:pPr>
      <w:r>
        <w:rPr>
          <w:rFonts w:ascii="Calibri" w:cs="Calibri" w:eastAsia="Calibri" w:hAnsi="Calibri"/>
          <w:sz w:val="18"/>
          <w:szCs w:val="18"/>
          <w:b w:val="1"/>
          <w:bCs w:val="1"/>
          <w:color w:val="auto"/>
        </w:rPr>
        <w:t>THE MACERICH COMPANY</w:t>
      </w:r>
    </w:p>
    <w:p>
      <w:pPr>
        <w:ind w:left="4120"/>
        <w:spacing w:after="0" w:line="206" w:lineRule="auto"/>
        <w:rPr>
          <w:sz w:val="20"/>
          <w:szCs w:val="20"/>
          <w:color w:val="auto"/>
        </w:rPr>
      </w:pPr>
      <w:r>
        <w:rPr>
          <w:rFonts w:ascii="Calibri" w:cs="Calibri" w:eastAsia="Calibri" w:hAnsi="Calibri"/>
          <w:sz w:val="18"/>
          <w:szCs w:val="18"/>
          <w:b w:val="1"/>
          <w:bCs w:val="1"/>
          <w:color w:val="auto"/>
        </w:rPr>
        <w:t>FINANCIAL HIGHLIGHTS</w:t>
      </w:r>
    </w:p>
    <w:p>
      <w:pPr>
        <w:jc w:val="center"/>
        <w:ind w:right="-159"/>
        <w:spacing w:after="0" w:line="221" w:lineRule="auto"/>
        <w:rPr>
          <w:sz w:val="20"/>
          <w:szCs w:val="20"/>
          <w:color w:val="auto"/>
        </w:rPr>
      </w:pPr>
      <w:r>
        <w:rPr>
          <w:rFonts w:ascii="Calibri" w:cs="Calibri" w:eastAsia="Calibri" w:hAnsi="Calibri"/>
          <w:sz w:val="18"/>
          <w:szCs w:val="18"/>
          <w:b w:val="1"/>
          <w:bCs w:val="1"/>
          <w:color w:val="auto"/>
        </w:rPr>
        <w:t>(IN THOUSANDS, EXCEPT PER SHARE AMOUNTS)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007681"/>
        </w:rPr>
        <w:t>Results of Operatons: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80" w:type="dxa"/>
            <w:vAlign w:val="bottom"/>
            <w:gridSpan w:val="2"/>
          </w:tcPr>
          <w:p>
            <w:pPr>
              <w:jc w:val="right"/>
              <w:ind w:right="50"/>
              <w:spacing w:after="0"/>
              <w:rPr>
                <w:sz w:val="20"/>
                <w:szCs w:val="20"/>
                <w:color w:val="auto"/>
              </w:rPr>
            </w:pPr>
            <w:r>
              <w:rPr>
                <w:rFonts w:ascii="Calibri" w:cs="Calibri" w:eastAsia="Calibri" w:hAnsi="Calibri"/>
                <w:sz w:val="14"/>
                <w:szCs w:val="14"/>
                <w:b w:val="1"/>
                <w:bCs w:val="1"/>
                <w:color w:val="auto"/>
              </w:rPr>
              <w:t>Unaudited</w:t>
            </w:r>
          </w:p>
        </w:tc>
        <w:tc>
          <w:tcPr>
            <w:tcW w:w="900" w:type="dxa"/>
            <w:vAlign w:val="bottom"/>
          </w:tcPr>
          <w:p>
            <w:pPr>
              <w:spacing w:after="0"/>
              <w:rPr>
                <w:sz w:val="14"/>
                <w:szCs w:val="14"/>
                <w:color w:val="auto"/>
              </w:rPr>
            </w:pPr>
          </w:p>
        </w:tc>
      </w:tr>
      <w:tr>
        <w:trPr>
          <w:trHeight w:val="230"/>
        </w:trPr>
        <w:tc>
          <w:tcPr>
            <w:tcW w:w="50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80" w:type="dxa"/>
            <w:vAlign w:val="bottom"/>
          </w:tcPr>
          <w:p>
            <w:pPr>
              <w:jc w:val="right"/>
              <w:ind w:right="493"/>
              <w:spacing w:after="0"/>
              <w:rPr>
                <w:sz w:val="20"/>
                <w:szCs w:val="20"/>
                <w:color w:val="auto"/>
              </w:rPr>
            </w:pPr>
            <w:r>
              <w:rPr>
                <w:rFonts w:ascii="Calibri" w:cs="Calibri" w:eastAsia="Calibri" w:hAnsi="Calibri"/>
                <w:sz w:val="14"/>
                <w:szCs w:val="14"/>
                <w:b w:val="1"/>
                <w:bCs w:val="1"/>
                <w:color w:val="auto"/>
              </w:rPr>
              <w:t>2026</w:t>
            </w:r>
          </w:p>
        </w:tc>
        <w:tc>
          <w:tcPr>
            <w:tcW w:w="400" w:type="dxa"/>
            <w:vAlign w:val="bottom"/>
          </w:tcPr>
          <w:p>
            <w:pPr>
              <w:spacing w:after="0"/>
              <w:rPr>
                <w:sz w:val="19"/>
                <w:szCs w:val="19"/>
                <w:color w:val="auto"/>
              </w:rPr>
            </w:pPr>
          </w:p>
        </w:tc>
        <w:tc>
          <w:tcPr>
            <w:tcW w:w="900" w:type="dxa"/>
            <w:vAlign w:val="bottom"/>
          </w:tcPr>
          <w:p>
            <w:pPr>
              <w:jc w:val="right"/>
              <w:ind w:right="391"/>
              <w:spacing w:after="0"/>
              <w:rPr>
                <w:sz w:val="20"/>
                <w:szCs w:val="20"/>
                <w:color w:val="auto"/>
              </w:rPr>
            </w:pPr>
            <w:r>
              <w:rPr>
                <w:rFonts w:ascii="Calibri" w:cs="Calibri" w:eastAsia="Calibri" w:hAnsi="Calibri"/>
                <w:sz w:val="14"/>
                <w:szCs w:val="14"/>
                <w:b w:val="1"/>
                <w:bCs w:val="1"/>
                <w:color w:val="auto"/>
              </w:rPr>
              <w:t>2025</w:t>
            </w:r>
          </w:p>
        </w:tc>
      </w:tr>
      <w:tr>
        <w:trPr>
          <w:trHeight w:val="253"/>
        </w:trPr>
        <w:tc>
          <w:tcPr>
            <w:tcW w:w="5040" w:type="dxa"/>
            <w:vAlign w:val="bottom"/>
          </w:tcPr>
          <w:p>
            <w:pPr>
              <w:spacing w:after="0"/>
              <w:rPr>
                <w:sz w:val="20"/>
                <w:szCs w:val="20"/>
                <w:color w:val="auto"/>
              </w:rPr>
            </w:pPr>
            <w:r>
              <w:rPr>
                <w:rFonts w:ascii="Calibri" w:cs="Calibri" w:eastAsia="Calibri" w:hAnsi="Calibri"/>
                <w:sz w:val="18"/>
                <w:szCs w:val="18"/>
                <w:color w:val="auto"/>
              </w:rPr>
              <w:t>Revenues:</w:t>
            </w:r>
          </w:p>
        </w:tc>
        <w:tc>
          <w:tcPr>
            <w:tcW w:w="20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4"/>
        </w:trPr>
        <w:tc>
          <w:tcPr>
            <w:tcW w:w="5040" w:type="dxa"/>
            <w:vAlign w:val="bottom"/>
          </w:tcPr>
          <w:p>
            <w:pPr>
              <w:spacing w:after="0"/>
              <w:rPr>
                <w:sz w:val="20"/>
                <w:szCs w:val="20"/>
                <w:color w:val="auto"/>
              </w:rPr>
            </w:pPr>
            <w:r>
              <w:rPr>
                <w:rFonts w:ascii="Calibri" w:cs="Calibri" w:eastAsia="Calibri" w:hAnsi="Calibri"/>
                <w:sz w:val="18"/>
                <w:szCs w:val="18"/>
                <w:color w:val="auto"/>
              </w:rPr>
              <w:t>Leasing revenue</w:t>
            </w:r>
          </w:p>
        </w:tc>
        <w:tc>
          <w:tcPr>
            <w:tcW w:w="2040" w:type="dxa"/>
            <w:vAlign w:val="bottom"/>
          </w:tcPr>
          <w:p>
            <w:pPr>
              <w:jc w:val="right"/>
              <w:ind w:right="110"/>
              <w:spacing w:after="0"/>
              <w:rPr>
                <w:sz w:val="20"/>
                <w:szCs w:val="20"/>
                <w:color w:val="auto"/>
              </w:rPr>
            </w:pPr>
            <w:r>
              <w:rPr>
                <w:rFonts w:ascii="Calibri" w:cs="Calibri" w:eastAsia="Calibri" w:hAnsi="Calibri"/>
                <w:sz w:val="18"/>
                <w:szCs w:val="18"/>
                <w:color w:val="auto"/>
              </w:rPr>
              <w:t>$</w:t>
            </w:r>
          </w:p>
        </w:tc>
        <w:tc>
          <w:tcPr>
            <w:tcW w:w="1080" w:type="dxa"/>
            <w:vAlign w:val="bottom"/>
          </w:tcPr>
          <w:p>
            <w:pPr>
              <w:jc w:val="right"/>
              <w:ind w:right="33"/>
              <w:spacing w:after="0"/>
              <w:rPr>
                <w:sz w:val="20"/>
                <w:szCs w:val="20"/>
                <w:color w:val="auto"/>
              </w:rPr>
            </w:pPr>
            <w:r>
              <w:rPr>
                <w:rFonts w:ascii="Calibri" w:cs="Calibri" w:eastAsia="Calibri" w:hAnsi="Calibri"/>
                <w:sz w:val="18"/>
                <w:szCs w:val="18"/>
                <w:color w:val="auto"/>
              </w:rPr>
              <w:t>225,976</w:t>
            </w:r>
          </w:p>
        </w:tc>
        <w:tc>
          <w:tcPr>
            <w:tcW w:w="400" w:type="dxa"/>
            <w:vAlign w:val="bottom"/>
          </w:tcPr>
          <w:p>
            <w:pPr>
              <w:jc w:val="right"/>
              <w:ind w:right="150"/>
              <w:spacing w:after="0"/>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rPr>
                <w:sz w:val="20"/>
                <w:szCs w:val="20"/>
                <w:color w:val="auto"/>
              </w:rPr>
            </w:pPr>
            <w:r>
              <w:rPr>
                <w:rFonts w:ascii="Calibri" w:cs="Calibri" w:eastAsia="Calibri" w:hAnsi="Calibri"/>
                <w:sz w:val="18"/>
                <w:szCs w:val="18"/>
                <w:color w:val="auto"/>
              </w:rPr>
              <w:t>235,647</w:t>
            </w:r>
          </w:p>
        </w:tc>
      </w:tr>
      <w:tr>
        <w:trPr>
          <w:trHeight w:val="256"/>
        </w:trPr>
        <w:tc>
          <w:tcPr>
            <w:tcW w:w="5040" w:type="dxa"/>
            <w:vAlign w:val="bottom"/>
          </w:tcPr>
          <w:p>
            <w:pPr>
              <w:spacing w:after="0"/>
              <w:rPr>
                <w:sz w:val="20"/>
                <w:szCs w:val="20"/>
                <w:color w:val="auto"/>
              </w:rPr>
            </w:pPr>
            <w:r>
              <w:rPr>
                <w:rFonts w:ascii="Calibri" w:cs="Calibri" w:eastAsia="Calibri" w:hAnsi="Calibri"/>
                <w:sz w:val="18"/>
                <w:szCs w:val="18"/>
                <w:color w:val="auto"/>
              </w:rPr>
              <w:t>Other income</w:t>
            </w:r>
          </w:p>
        </w:tc>
        <w:tc>
          <w:tcPr>
            <w:tcW w:w="204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Calibri" w:cs="Calibri" w:eastAsia="Calibri" w:hAnsi="Calibri"/>
                <w:sz w:val="18"/>
                <w:szCs w:val="18"/>
                <w:color w:val="auto"/>
              </w:rPr>
              <w:t>9,019</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8,656</w:t>
            </w:r>
          </w:p>
        </w:tc>
      </w:tr>
      <w:tr>
        <w:trPr>
          <w:trHeight w:val="256"/>
        </w:trPr>
        <w:tc>
          <w:tcPr>
            <w:tcW w:w="5040" w:type="dxa"/>
            <w:vAlign w:val="bottom"/>
          </w:tcPr>
          <w:p>
            <w:pPr>
              <w:spacing w:after="0"/>
              <w:rPr>
                <w:sz w:val="20"/>
                <w:szCs w:val="20"/>
                <w:color w:val="auto"/>
              </w:rPr>
            </w:pPr>
            <w:r>
              <w:rPr>
                <w:rFonts w:ascii="Calibri" w:cs="Calibri" w:eastAsia="Calibri" w:hAnsi="Calibri"/>
                <w:sz w:val="18"/>
                <w:szCs w:val="18"/>
                <w:color w:val="auto"/>
              </w:rPr>
              <w:t>Management Companies' revenues</w:t>
            </w:r>
          </w:p>
        </w:tc>
        <w:tc>
          <w:tcPr>
            <w:tcW w:w="204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Calibri" w:cs="Calibri" w:eastAsia="Calibri" w:hAnsi="Calibri"/>
                <w:sz w:val="18"/>
                <w:szCs w:val="18"/>
                <w:color w:val="auto"/>
              </w:rPr>
              <w:t>6,543</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4,921</w:t>
            </w:r>
          </w:p>
        </w:tc>
      </w:tr>
      <w:tr>
        <w:trPr>
          <w:trHeight w:val="256"/>
        </w:trPr>
        <w:tc>
          <w:tcPr>
            <w:tcW w:w="5040" w:type="dxa"/>
            <w:vAlign w:val="bottom"/>
          </w:tcPr>
          <w:p>
            <w:pPr>
              <w:ind w:left="340"/>
              <w:spacing w:after="0"/>
              <w:rPr>
                <w:sz w:val="20"/>
                <w:szCs w:val="20"/>
                <w:color w:val="auto"/>
              </w:rPr>
            </w:pPr>
            <w:r>
              <w:rPr>
                <w:rFonts w:ascii="Calibri" w:cs="Calibri" w:eastAsia="Calibri" w:hAnsi="Calibri"/>
                <w:sz w:val="18"/>
                <w:szCs w:val="18"/>
                <w:color w:val="auto"/>
              </w:rPr>
              <w:t>Total revenues</w:t>
            </w:r>
          </w:p>
        </w:tc>
        <w:tc>
          <w:tcPr>
            <w:tcW w:w="204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Calibri" w:cs="Calibri" w:eastAsia="Calibri" w:hAnsi="Calibri"/>
                <w:sz w:val="18"/>
                <w:szCs w:val="18"/>
                <w:color w:val="auto"/>
              </w:rPr>
              <w:t>241,538</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249,224</w:t>
            </w:r>
          </w:p>
        </w:tc>
      </w:tr>
      <w:tr>
        <w:trPr>
          <w:trHeight w:val="229"/>
        </w:trPr>
        <w:tc>
          <w:tcPr>
            <w:tcW w:w="5040" w:type="dxa"/>
            <w:vAlign w:val="bottom"/>
          </w:tcPr>
          <w:p>
            <w:pPr>
              <w:spacing w:after="0"/>
              <w:rPr>
                <w:sz w:val="20"/>
                <w:szCs w:val="20"/>
                <w:color w:val="auto"/>
              </w:rPr>
            </w:pPr>
            <w:r>
              <w:rPr>
                <w:rFonts w:ascii="Calibri" w:cs="Calibri" w:eastAsia="Calibri" w:hAnsi="Calibri"/>
                <w:sz w:val="18"/>
                <w:szCs w:val="18"/>
                <w:color w:val="auto"/>
              </w:rPr>
              <w:t>Expenses:</w:t>
            </w:r>
          </w:p>
        </w:tc>
        <w:tc>
          <w:tcPr>
            <w:tcW w:w="2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83"/>
        </w:trPr>
        <w:tc>
          <w:tcPr>
            <w:tcW w:w="5040" w:type="dxa"/>
            <w:vAlign w:val="bottom"/>
          </w:tcPr>
          <w:p>
            <w:pPr>
              <w:spacing w:after="0"/>
              <w:rPr>
                <w:sz w:val="20"/>
                <w:szCs w:val="20"/>
                <w:color w:val="auto"/>
              </w:rPr>
            </w:pPr>
            <w:r>
              <w:rPr>
                <w:rFonts w:ascii="Calibri" w:cs="Calibri" w:eastAsia="Calibri" w:hAnsi="Calibri"/>
                <w:sz w:val="18"/>
                <w:szCs w:val="18"/>
                <w:color w:val="auto"/>
              </w:rPr>
              <w:t>Shopping center and operatng expenses</w:t>
            </w:r>
          </w:p>
        </w:tc>
        <w:tc>
          <w:tcPr>
            <w:tcW w:w="2040" w:type="dxa"/>
            <w:vAlign w:val="bottom"/>
          </w:tcPr>
          <w:p>
            <w:pPr>
              <w:spacing w:after="0"/>
              <w:rPr>
                <w:sz w:val="24"/>
                <w:szCs w:val="24"/>
                <w:color w:val="auto"/>
              </w:rPr>
            </w:pPr>
          </w:p>
        </w:tc>
        <w:tc>
          <w:tcPr>
            <w:tcW w:w="1080" w:type="dxa"/>
            <w:vAlign w:val="bottom"/>
          </w:tcPr>
          <w:p>
            <w:pPr>
              <w:jc w:val="right"/>
              <w:ind w:right="33"/>
              <w:spacing w:after="0"/>
              <w:rPr>
                <w:sz w:val="20"/>
                <w:szCs w:val="20"/>
                <w:color w:val="auto"/>
              </w:rPr>
            </w:pPr>
            <w:r>
              <w:rPr>
                <w:rFonts w:ascii="Calibri" w:cs="Calibri" w:eastAsia="Calibri" w:hAnsi="Calibri"/>
                <w:sz w:val="18"/>
                <w:szCs w:val="18"/>
                <w:color w:val="auto"/>
              </w:rPr>
              <w:t>83,251</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85,163</w:t>
            </w:r>
          </w:p>
        </w:tc>
      </w:tr>
      <w:tr>
        <w:trPr>
          <w:trHeight w:val="256"/>
        </w:trPr>
        <w:tc>
          <w:tcPr>
            <w:tcW w:w="5040" w:type="dxa"/>
            <w:vAlign w:val="bottom"/>
          </w:tcPr>
          <w:p>
            <w:pPr>
              <w:spacing w:after="0"/>
              <w:rPr>
                <w:sz w:val="20"/>
                <w:szCs w:val="20"/>
                <w:color w:val="auto"/>
              </w:rPr>
            </w:pPr>
            <w:r>
              <w:rPr>
                <w:rFonts w:ascii="Calibri" w:cs="Calibri" w:eastAsia="Calibri" w:hAnsi="Calibri"/>
                <w:sz w:val="18"/>
                <w:szCs w:val="18"/>
                <w:color w:val="auto"/>
              </w:rPr>
              <w:t>Management Companies' operatng expenses</w:t>
            </w:r>
          </w:p>
        </w:tc>
        <w:tc>
          <w:tcPr>
            <w:tcW w:w="204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Calibri" w:cs="Calibri" w:eastAsia="Calibri" w:hAnsi="Calibri"/>
                <w:sz w:val="18"/>
                <w:szCs w:val="18"/>
                <w:color w:val="auto"/>
              </w:rPr>
              <w:t>22,385</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20,783</w:t>
            </w:r>
          </w:p>
        </w:tc>
      </w:tr>
      <w:tr>
        <w:trPr>
          <w:trHeight w:val="257"/>
        </w:trPr>
        <w:tc>
          <w:tcPr>
            <w:tcW w:w="5040" w:type="dxa"/>
            <w:vAlign w:val="bottom"/>
          </w:tcPr>
          <w:p>
            <w:pPr>
              <w:spacing w:after="0"/>
              <w:rPr>
                <w:sz w:val="20"/>
                <w:szCs w:val="20"/>
                <w:color w:val="auto"/>
              </w:rPr>
            </w:pPr>
            <w:r>
              <w:rPr>
                <w:rFonts w:ascii="Calibri" w:cs="Calibri" w:eastAsia="Calibri" w:hAnsi="Calibri"/>
                <w:sz w:val="18"/>
                <w:szCs w:val="18"/>
                <w:color w:val="auto"/>
              </w:rPr>
              <w:t>Leasing expenses</w:t>
            </w:r>
          </w:p>
        </w:tc>
        <w:tc>
          <w:tcPr>
            <w:tcW w:w="204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Calibri" w:cs="Calibri" w:eastAsia="Calibri" w:hAnsi="Calibri"/>
                <w:sz w:val="18"/>
                <w:szCs w:val="18"/>
                <w:color w:val="auto"/>
              </w:rPr>
              <w:t>13,809</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11,219</w:t>
            </w:r>
          </w:p>
        </w:tc>
      </w:tr>
      <w:tr>
        <w:trPr>
          <w:trHeight w:val="256"/>
        </w:trPr>
        <w:tc>
          <w:tcPr>
            <w:tcW w:w="5040" w:type="dxa"/>
            <w:vAlign w:val="bottom"/>
          </w:tcPr>
          <w:p>
            <w:pPr>
              <w:spacing w:after="0"/>
              <w:rPr>
                <w:sz w:val="20"/>
                <w:szCs w:val="20"/>
                <w:color w:val="auto"/>
              </w:rPr>
            </w:pPr>
            <w:r>
              <w:rPr>
                <w:rFonts w:ascii="Calibri" w:cs="Calibri" w:eastAsia="Calibri" w:hAnsi="Calibri"/>
                <w:sz w:val="18"/>
                <w:szCs w:val="18"/>
                <w:color w:val="auto"/>
              </w:rPr>
              <w:t>REIT general and administratve expenses</w:t>
            </w:r>
          </w:p>
        </w:tc>
        <w:tc>
          <w:tcPr>
            <w:tcW w:w="204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Calibri" w:cs="Calibri" w:eastAsia="Calibri" w:hAnsi="Calibri"/>
                <w:sz w:val="18"/>
                <w:szCs w:val="18"/>
                <w:color w:val="auto"/>
              </w:rPr>
              <w:t>8,026</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7,612</w:t>
            </w:r>
          </w:p>
        </w:tc>
      </w:tr>
      <w:tr>
        <w:trPr>
          <w:trHeight w:val="257"/>
        </w:trPr>
        <w:tc>
          <w:tcPr>
            <w:tcW w:w="5040" w:type="dxa"/>
            <w:vAlign w:val="bottom"/>
          </w:tcPr>
          <w:p>
            <w:pPr>
              <w:spacing w:after="0"/>
              <w:rPr>
                <w:sz w:val="20"/>
                <w:szCs w:val="20"/>
                <w:color w:val="auto"/>
              </w:rPr>
            </w:pPr>
            <w:r>
              <w:rPr>
                <w:rFonts w:ascii="Calibri" w:cs="Calibri" w:eastAsia="Calibri" w:hAnsi="Calibri"/>
                <w:sz w:val="18"/>
                <w:szCs w:val="18"/>
                <w:color w:val="auto"/>
              </w:rPr>
              <w:t>Depreciaton and amortzaton</w:t>
            </w:r>
          </w:p>
        </w:tc>
        <w:tc>
          <w:tcPr>
            <w:tcW w:w="204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Calibri" w:cs="Calibri" w:eastAsia="Calibri" w:hAnsi="Calibri"/>
                <w:sz w:val="18"/>
                <w:szCs w:val="18"/>
                <w:color w:val="auto"/>
              </w:rPr>
              <w:t>83,076</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92,562</w:t>
            </w:r>
          </w:p>
        </w:tc>
      </w:tr>
      <w:tr>
        <w:trPr>
          <w:trHeight w:val="256"/>
        </w:trPr>
        <w:tc>
          <w:tcPr>
            <w:tcW w:w="5040" w:type="dxa"/>
            <w:vAlign w:val="bottom"/>
          </w:tcPr>
          <w:p>
            <w:pPr>
              <w:spacing w:after="0"/>
              <w:rPr>
                <w:sz w:val="20"/>
                <w:szCs w:val="20"/>
                <w:color w:val="auto"/>
              </w:rPr>
            </w:pPr>
            <w:r>
              <w:rPr>
                <w:rFonts w:ascii="Calibri" w:cs="Calibri" w:eastAsia="Calibri" w:hAnsi="Calibri"/>
                <w:sz w:val="18"/>
                <w:szCs w:val="18"/>
                <w:color w:val="auto"/>
              </w:rPr>
              <w:t>Interest expense</w:t>
            </w:r>
          </w:p>
        </w:tc>
        <w:tc>
          <w:tcPr>
            <w:tcW w:w="204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Calibri" w:cs="Calibri" w:eastAsia="Calibri" w:hAnsi="Calibri"/>
                <w:sz w:val="18"/>
                <w:szCs w:val="18"/>
                <w:color w:val="auto"/>
              </w:rPr>
              <w:t>67,500</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69,074</w:t>
            </w:r>
          </w:p>
        </w:tc>
      </w:tr>
      <w:tr>
        <w:trPr>
          <w:trHeight w:val="257"/>
        </w:trPr>
        <w:tc>
          <w:tcPr>
            <w:tcW w:w="5040" w:type="dxa"/>
            <w:vAlign w:val="bottom"/>
          </w:tcPr>
          <w:p>
            <w:pPr>
              <w:ind w:left="340"/>
              <w:spacing w:after="0"/>
              <w:rPr>
                <w:sz w:val="20"/>
                <w:szCs w:val="20"/>
                <w:color w:val="auto"/>
              </w:rPr>
            </w:pPr>
            <w:r>
              <w:rPr>
                <w:rFonts w:ascii="Calibri" w:cs="Calibri" w:eastAsia="Calibri" w:hAnsi="Calibri"/>
                <w:sz w:val="18"/>
                <w:szCs w:val="18"/>
                <w:color w:val="auto"/>
              </w:rPr>
              <w:t>Total expenses</w:t>
            </w:r>
          </w:p>
        </w:tc>
        <w:tc>
          <w:tcPr>
            <w:tcW w:w="204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Calibri" w:cs="Calibri" w:eastAsia="Calibri" w:hAnsi="Calibri"/>
                <w:sz w:val="18"/>
                <w:szCs w:val="18"/>
                <w:color w:val="auto"/>
              </w:rPr>
              <w:t>278,047</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286,413</w:t>
            </w:r>
          </w:p>
        </w:tc>
      </w:tr>
      <w:tr>
        <w:trPr>
          <w:trHeight w:val="229"/>
        </w:trPr>
        <w:tc>
          <w:tcPr>
            <w:tcW w:w="5040" w:type="dxa"/>
            <w:vAlign w:val="bottom"/>
          </w:tcPr>
          <w:p>
            <w:pPr>
              <w:spacing w:after="0"/>
              <w:rPr>
                <w:sz w:val="20"/>
                <w:szCs w:val="20"/>
                <w:color w:val="auto"/>
              </w:rPr>
            </w:pPr>
            <w:r>
              <w:rPr>
                <w:rFonts w:ascii="Calibri" w:cs="Calibri" w:eastAsia="Calibri" w:hAnsi="Calibri"/>
                <w:sz w:val="18"/>
                <w:szCs w:val="18"/>
                <w:color w:val="auto"/>
              </w:rPr>
              <w:t>Equity in loss of unconsolidated joint ventures</w:t>
            </w:r>
          </w:p>
        </w:tc>
        <w:tc>
          <w:tcPr>
            <w:tcW w:w="20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(9,866)</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auto"/>
              </w:rPr>
              <w:t>(799)</w:t>
            </w:r>
          </w:p>
        </w:tc>
      </w:tr>
    </w:tbl>
    <w:p>
      <w:pPr>
        <w:sectPr>
          <w:pgSz w:w="11900" w:h="16838" w:orient="portrait"/>
          <w:cols w:equalWidth="0" w:num="1">
            <w:col w:w="9740"/>
          </w:cols>
          <w:pgMar w:left="920" w:top="117" w:right="1239" w:bottom="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0"/>
        </w:trPr>
        <w:tc>
          <w:tcPr>
            <w:tcW w:w="380" w:type="dxa"/>
            <w:vAlign w:val="bottom"/>
            <w:tcBorders>
              <w:left w:val="single" w:sz="8" w:color="CCCCCC"/>
            </w:tcBorders>
          </w:tcPr>
          <w:p>
            <w:pPr>
              <w:spacing w:after="0"/>
              <w:rPr>
                <w:sz w:val="19"/>
                <w:szCs w:val="19"/>
                <w:color w:val="auto"/>
              </w:rPr>
            </w:pPr>
          </w:p>
        </w:tc>
        <w:tc>
          <w:tcPr>
            <w:tcW w:w="200" w:type="dxa"/>
            <w:vAlign w:val="bottom"/>
          </w:tcPr>
          <w:p>
            <w:pPr>
              <w:spacing w:after="0"/>
              <w:rPr>
                <w:sz w:val="19"/>
                <w:szCs w:val="19"/>
                <w:color w:val="auto"/>
              </w:rPr>
            </w:pPr>
          </w:p>
        </w:tc>
        <w:tc>
          <w:tcPr>
            <w:tcW w:w="6780" w:type="dxa"/>
            <w:vAlign w:val="bottom"/>
          </w:tcPr>
          <w:p>
            <w:pPr>
              <w:ind w:left="40"/>
              <w:spacing w:after="0"/>
              <w:rPr>
                <w:sz w:val="20"/>
                <w:szCs w:val="20"/>
                <w:color w:val="auto"/>
              </w:rPr>
            </w:pPr>
            <w:r>
              <w:rPr>
                <w:rFonts w:ascii="Calibri" w:cs="Calibri" w:eastAsia="Calibri" w:hAnsi="Calibri"/>
                <w:sz w:val="18"/>
                <w:szCs w:val="18"/>
                <w:color w:val="auto"/>
              </w:rPr>
              <w:t>Income tax beneft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Calibri" w:cs="Calibri" w:eastAsia="Calibri" w:hAnsi="Calibri"/>
                <w:sz w:val="18"/>
                <w:szCs w:val="18"/>
                <w:color w:val="auto"/>
              </w:rPr>
              <w:t>2,641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auto"/>
              </w:rPr>
              <w:t>822</w:t>
            </w:r>
          </w:p>
        </w:tc>
        <w:tc>
          <w:tcPr>
            <w:tcW w:w="180" w:type="dxa"/>
            <w:vAlign w:val="bottom"/>
          </w:tcPr>
          <w:p>
            <w:pPr>
              <w:spacing w:after="0"/>
              <w:rPr>
                <w:sz w:val="19"/>
                <w:szCs w:val="19"/>
                <w:color w:val="auto"/>
              </w:rPr>
            </w:pPr>
          </w:p>
        </w:tc>
        <w:tc>
          <w:tcPr>
            <w:tcW w:w="440" w:type="dxa"/>
            <w:vAlign w:val="bottom"/>
            <w:tcBorders>
              <w:right w:val="single" w:sz="8" w:color="CCCCCC"/>
            </w:tcBorders>
          </w:tcPr>
          <w:p>
            <w:pPr>
              <w:spacing w:after="0"/>
              <w:rPr>
                <w:sz w:val="19"/>
                <w:szCs w:val="19"/>
                <w:color w:val="auto"/>
              </w:rPr>
            </w:pPr>
          </w:p>
        </w:tc>
      </w:tr>
      <w:tr>
        <w:trPr>
          <w:trHeight w:val="122"/>
        </w:trPr>
        <w:tc>
          <w:tcPr>
            <w:tcW w:w="380" w:type="dxa"/>
            <w:vAlign w:val="bottom"/>
            <w:tcBorders>
              <w:left w:val="single" w:sz="8" w:color="CCCCCC"/>
            </w:tcBorders>
          </w:tcPr>
          <w:p>
            <w:pPr>
              <w:spacing w:after="0"/>
              <w:rPr>
                <w:sz w:val="10"/>
                <w:szCs w:val="10"/>
                <w:color w:val="auto"/>
              </w:rPr>
            </w:pPr>
          </w:p>
        </w:tc>
        <w:tc>
          <w:tcPr>
            <w:tcW w:w="200" w:type="dxa"/>
            <w:vAlign w:val="bottom"/>
          </w:tcPr>
          <w:p>
            <w:pPr>
              <w:spacing w:after="0"/>
              <w:rPr>
                <w:sz w:val="10"/>
                <w:szCs w:val="10"/>
                <w:color w:val="auto"/>
              </w:rPr>
            </w:pPr>
          </w:p>
        </w:tc>
        <w:tc>
          <w:tcPr>
            <w:tcW w:w="6780" w:type="dxa"/>
            <w:vAlign w:val="bottom"/>
          </w:tcPr>
          <w:p>
            <w:pPr>
              <w:ind w:left="40"/>
              <w:spacing w:after="0" w:line="122" w:lineRule="exact"/>
              <w:rPr>
                <w:sz w:val="20"/>
                <w:szCs w:val="20"/>
                <w:color w:val="auto"/>
              </w:rPr>
            </w:pPr>
            <w:r>
              <w:rPr>
                <w:rFonts w:ascii="Calibri" w:cs="Calibri" w:eastAsia="Calibri" w:hAnsi="Calibri"/>
                <w:sz w:val="13"/>
                <w:szCs w:val="13"/>
                <w:color w:val="auto"/>
              </w:rPr>
              <w:t>Gain (loss) on sale or write down of assets, net</w:t>
            </w: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Calibri" w:cs="Calibri" w:eastAsia="Calibri" w:hAnsi="Calibri"/>
                <w:sz w:val="13"/>
                <w:szCs w:val="13"/>
                <w:color w:val="auto"/>
              </w:rPr>
              <w:t>(13,987)</w:t>
            </w:r>
          </w:p>
        </w:tc>
        <w:tc>
          <w:tcPr>
            <w:tcW w:w="180" w:type="dxa"/>
            <w:vAlign w:val="bottom"/>
          </w:tcPr>
          <w:p>
            <w:pPr>
              <w:spacing w:after="0"/>
              <w:rPr>
                <w:sz w:val="10"/>
                <w:szCs w:val="10"/>
                <w:color w:val="auto"/>
              </w:rPr>
            </w:pPr>
          </w:p>
        </w:tc>
        <w:tc>
          <w:tcPr>
            <w:tcW w:w="440" w:type="dxa"/>
            <w:vAlign w:val="bottom"/>
            <w:tcBorders>
              <w:right w:val="single" w:sz="8" w:color="CCCCCC"/>
            </w:tcBorders>
          </w:tcPr>
          <w:p>
            <w:pPr>
              <w:spacing w:after="0"/>
              <w:rPr>
                <w:sz w:val="10"/>
                <w:szCs w:val="10"/>
                <w:color w:val="auto"/>
              </w:rPr>
            </w:pPr>
          </w:p>
        </w:tc>
      </w:tr>
      <w:tr>
        <w:trPr>
          <w:trHeight w:val="108"/>
        </w:trPr>
        <w:tc>
          <w:tcPr>
            <w:tcW w:w="380" w:type="dxa"/>
            <w:vAlign w:val="bottom"/>
            <w:tcBorders>
              <w:left w:val="single" w:sz="8" w:color="CCCCCC"/>
            </w:tcBorders>
          </w:tcPr>
          <w:p>
            <w:pPr>
              <w:spacing w:after="0"/>
              <w:rPr>
                <w:sz w:val="9"/>
                <w:szCs w:val="9"/>
                <w:color w:val="auto"/>
              </w:rPr>
            </w:pPr>
          </w:p>
        </w:tc>
        <w:tc>
          <w:tcPr>
            <w:tcW w:w="20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4"/>
          </w:tcPr>
          <w:p>
            <w:pPr>
              <w:jc w:val="right"/>
              <w:ind w:right="132"/>
              <w:spacing w:after="0" w:line="108" w:lineRule="exact"/>
              <w:rPr>
                <w:sz w:val="20"/>
                <w:szCs w:val="20"/>
                <w:color w:val="auto"/>
              </w:rPr>
            </w:pPr>
            <w:r>
              <w:rPr>
                <w:rFonts w:ascii="Calibri" w:cs="Calibri" w:eastAsia="Calibri" w:hAnsi="Calibri"/>
                <w:sz w:val="9"/>
                <w:szCs w:val="9"/>
                <w:b w:val="1"/>
                <w:bCs w:val="1"/>
                <w:color w:val="auto"/>
              </w:rPr>
              <w:t>For the Three</w:t>
            </w:r>
            <w:r>
              <w:rPr>
                <w:rFonts w:ascii="Calibri" w:cs="Calibri" w:eastAsia="Calibri" w:hAnsi="Calibri"/>
                <w:sz w:val="11"/>
                <w:szCs w:val="11"/>
                <w:color w:val="auto"/>
              </w:rPr>
              <w:t>6,840</w:t>
            </w:r>
            <w:r>
              <w:rPr>
                <w:rFonts w:ascii="Calibri" w:cs="Calibri" w:eastAsia="Calibri" w:hAnsi="Calibri"/>
                <w:sz w:val="9"/>
                <w:szCs w:val="9"/>
                <w:b w:val="1"/>
                <w:bCs w:val="1"/>
                <w:color w:val="auto"/>
              </w:rPr>
              <w:t>Months Ended March 31,</w:t>
            </w:r>
          </w:p>
        </w:tc>
        <w:tc>
          <w:tcPr>
            <w:tcW w:w="180" w:type="dxa"/>
            <w:vAlign w:val="bottom"/>
          </w:tcPr>
          <w:p>
            <w:pPr>
              <w:spacing w:after="0"/>
              <w:rPr>
                <w:sz w:val="9"/>
                <w:szCs w:val="9"/>
                <w:color w:val="auto"/>
              </w:rPr>
            </w:pPr>
          </w:p>
        </w:tc>
        <w:tc>
          <w:tcPr>
            <w:tcW w:w="440" w:type="dxa"/>
            <w:vAlign w:val="bottom"/>
            <w:tcBorders>
              <w:right w:val="single" w:sz="8" w:color="CCCCCC"/>
            </w:tcBorders>
          </w:tcPr>
          <w:p>
            <w:pPr>
              <w:spacing w:after="0"/>
              <w:rPr>
                <w:sz w:val="9"/>
                <w:szCs w:val="9"/>
                <w:color w:val="auto"/>
              </w:rPr>
            </w:pPr>
          </w:p>
        </w:tc>
      </w:tr>
      <w:tr>
        <w:trPr>
          <w:trHeight w:val="208"/>
        </w:trPr>
        <w:tc>
          <w:tcPr>
            <w:tcW w:w="380" w:type="dxa"/>
            <w:vAlign w:val="bottom"/>
            <w:tcBorders>
              <w:left w:val="single" w:sz="8" w:color="CCCCCC"/>
            </w:tcBorders>
          </w:tcPr>
          <w:p>
            <w:pPr>
              <w:spacing w:after="0"/>
              <w:rPr>
                <w:sz w:val="18"/>
                <w:szCs w:val="18"/>
                <w:color w:val="auto"/>
              </w:rPr>
            </w:pPr>
          </w:p>
        </w:tc>
        <w:tc>
          <w:tcPr>
            <w:tcW w:w="200" w:type="dxa"/>
            <w:vAlign w:val="bottom"/>
          </w:tcPr>
          <w:p>
            <w:pPr>
              <w:spacing w:after="0"/>
              <w:rPr>
                <w:sz w:val="18"/>
                <w:szCs w:val="18"/>
                <w:color w:val="auto"/>
              </w:rPr>
            </w:pPr>
          </w:p>
        </w:tc>
        <w:tc>
          <w:tcPr>
            <w:tcW w:w="6780" w:type="dxa"/>
            <w:vAlign w:val="bottom"/>
          </w:tcPr>
          <w:p>
            <w:pPr>
              <w:ind w:left="360"/>
              <w:spacing w:after="0" w:line="195" w:lineRule="exact"/>
              <w:rPr>
                <w:sz w:val="20"/>
                <w:szCs w:val="20"/>
                <w:color w:val="auto"/>
              </w:rPr>
            </w:pPr>
            <w:r>
              <w:rPr>
                <w:rFonts w:ascii="Calibri" w:cs="Calibri" w:eastAsia="Calibri" w:hAnsi="Calibri"/>
                <w:sz w:val="18"/>
                <w:szCs w:val="18"/>
                <w:color w:val="auto"/>
              </w:rPr>
              <w:t>Net loss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(36,894)</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(51,153)</w:t>
            </w:r>
          </w:p>
        </w:tc>
        <w:tc>
          <w:tcPr>
            <w:tcW w:w="180" w:type="dxa"/>
            <w:vAlign w:val="bottom"/>
          </w:tcPr>
          <w:p>
            <w:pPr>
              <w:spacing w:after="0"/>
              <w:rPr>
                <w:sz w:val="18"/>
                <w:szCs w:val="18"/>
                <w:color w:val="auto"/>
              </w:rPr>
            </w:pPr>
          </w:p>
        </w:tc>
        <w:tc>
          <w:tcPr>
            <w:tcW w:w="440" w:type="dxa"/>
            <w:vAlign w:val="bottom"/>
            <w:tcBorders>
              <w:right w:val="single" w:sz="8" w:color="CCCCCC"/>
            </w:tcBorders>
          </w:tcPr>
          <w:p>
            <w:pPr>
              <w:spacing w:after="0"/>
              <w:rPr>
                <w:sz w:val="18"/>
                <w:szCs w:val="18"/>
                <w:color w:val="auto"/>
              </w:rPr>
            </w:pPr>
          </w:p>
        </w:tc>
      </w:tr>
      <w:tr>
        <w:trPr>
          <w:trHeight w:val="210"/>
        </w:trPr>
        <w:tc>
          <w:tcPr>
            <w:tcW w:w="380" w:type="dxa"/>
            <w:vAlign w:val="bottom"/>
            <w:tcBorders>
              <w:left w:val="single" w:sz="8" w:color="CCCCCC"/>
            </w:tcBorders>
          </w:tcPr>
          <w:p>
            <w:pPr>
              <w:spacing w:after="0"/>
              <w:rPr>
                <w:sz w:val="18"/>
                <w:szCs w:val="18"/>
                <w:color w:val="auto"/>
              </w:rPr>
            </w:pPr>
          </w:p>
        </w:tc>
        <w:tc>
          <w:tcPr>
            <w:tcW w:w="200" w:type="dxa"/>
            <w:vAlign w:val="bottom"/>
          </w:tcPr>
          <w:p>
            <w:pPr>
              <w:spacing w:after="0"/>
              <w:rPr>
                <w:sz w:val="18"/>
                <w:szCs w:val="18"/>
                <w:color w:val="auto"/>
              </w:rPr>
            </w:pPr>
          </w:p>
        </w:tc>
        <w:tc>
          <w:tcPr>
            <w:tcW w:w="6780" w:type="dxa"/>
            <w:vAlign w:val="bottom"/>
          </w:tcPr>
          <w:p>
            <w:pPr>
              <w:ind w:left="40"/>
              <w:spacing w:after="0" w:line="201" w:lineRule="exact"/>
              <w:rPr>
                <w:sz w:val="20"/>
                <w:szCs w:val="20"/>
                <w:color w:val="auto"/>
              </w:rPr>
            </w:pPr>
            <w:r>
              <w:rPr>
                <w:rFonts w:ascii="Calibri" w:cs="Calibri" w:eastAsia="Calibri" w:hAnsi="Calibri"/>
                <w:sz w:val="18"/>
                <w:szCs w:val="18"/>
                <w:color w:val="auto"/>
              </w:rPr>
              <w:t>Less net loss atributable to noncontrolling interests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(544)</w:t>
            </w: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(1,030)</w:t>
            </w:r>
          </w:p>
        </w:tc>
        <w:tc>
          <w:tcPr>
            <w:tcW w:w="180" w:type="dxa"/>
            <w:vAlign w:val="bottom"/>
          </w:tcPr>
          <w:p>
            <w:pPr>
              <w:spacing w:after="0"/>
              <w:rPr>
                <w:sz w:val="18"/>
                <w:szCs w:val="18"/>
                <w:color w:val="auto"/>
              </w:rPr>
            </w:pPr>
          </w:p>
        </w:tc>
        <w:tc>
          <w:tcPr>
            <w:tcW w:w="440" w:type="dxa"/>
            <w:vAlign w:val="bottom"/>
            <w:tcBorders>
              <w:right w:val="single" w:sz="8" w:color="CCCCCC"/>
            </w:tcBorders>
          </w:tcPr>
          <w:p>
            <w:pPr>
              <w:spacing w:after="0"/>
              <w:rPr>
                <w:sz w:val="18"/>
                <w:szCs w:val="18"/>
                <w:color w:val="auto"/>
              </w:rPr>
            </w:pPr>
          </w:p>
        </w:tc>
      </w:tr>
      <w:tr>
        <w:trPr>
          <w:trHeight w:val="237"/>
        </w:trPr>
        <w:tc>
          <w:tcPr>
            <w:tcW w:w="380" w:type="dxa"/>
            <w:vAlign w:val="bottom"/>
            <w:tcBorders>
              <w:left w:val="single" w:sz="8" w:color="CCCCCC"/>
            </w:tcBorders>
          </w:tcPr>
          <w:p>
            <w:pPr>
              <w:spacing w:after="0"/>
              <w:rPr>
                <w:sz w:val="20"/>
                <w:szCs w:val="20"/>
                <w:color w:val="auto"/>
              </w:rPr>
            </w:pPr>
          </w:p>
        </w:tc>
        <w:tc>
          <w:tcPr>
            <w:tcW w:w="200" w:type="dxa"/>
            <w:vAlign w:val="bottom"/>
          </w:tcPr>
          <w:p>
            <w:pPr>
              <w:spacing w:after="0"/>
              <w:rPr>
                <w:sz w:val="20"/>
                <w:szCs w:val="20"/>
                <w:color w:val="auto"/>
              </w:rPr>
            </w:pPr>
          </w:p>
        </w:tc>
        <w:tc>
          <w:tcPr>
            <w:tcW w:w="6780" w:type="dxa"/>
            <w:vAlign w:val="bottom"/>
          </w:tcPr>
          <w:p>
            <w:pPr>
              <w:ind w:left="360"/>
              <w:spacing w:after="0"/>
              <w:rPr>
                <w:sz w:val="20"/>
                <w:szCs w:val="20"/>
                <w:color w:val="auto"/>
              </w:rPr>
            </w:pPr>
            <w:r>
              <w:rPr>
                <w:rFonts w:ascii="Calibri" w:cs="Calibri" w:eastAsia="Calibri" w:hAnsi="Calibri"/>
                <w:sz w:val="18"/>
                <w:szCs w:val="18"/>
                <w:color w:val="auto"/>
              </w:rPr>
              <w:t>Net loss atributable to the Company</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rPr>
                <w:sz w:val="20"/>
                <w:szCs w:val="20"/>
                <w:color w:val="auto"/>
              </w:rPr>
            </w:pPr>
            <w:r>
              <w:rPr>
                <w:rFonts w:ascii="Calibri" w:cs="Calibri" w:eastAsia="Calibri" w:hAnsi="Calibri"/>
                <w:sz w:val="18"/>
                <w:szCs w:val="18"/>
                <w:color w:val="auto"/>
              </w:rPr>
              <w:t>(36,350)</w:t>
            </w:r>
          </w:p>
        </w:tc>
        <w:tc>
          <w:tcPr>
            <w:tcW w:w="40" w:type="dxa"/>
            <w:vAlign w:val="bottom"/>
          </w:tcPr>
          <w:p>
            <w:pPr>
              <w:spacing w:after="0"/>
              <w:rPr>
                <w:sz w:val="20"/>
                <w:szCs w:val="20"/>
                <w:color w:val="auto"/>
              </w:rPr>
            </w:pPr>
          </w:p>
        </w:tc>
        <w:tc>
          <w:tcPr>
            <w:tcW w:w="400" w:type="dxa"/>
            <w:vAlign w:val="bottom"/>
          </w:tcPr>
          <w:p>
            <w:pPr>
              <w:jc w:val="right"/>
              <w:ind w:right="170"/>
              <w:spacing w:after="0"/>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(50,123)</w:t>
            </w:r>
          </w:p>
        </w:tc>
        <w:tc>
          <w:tcPr>
            <w:tcW w:w="180" w:type="dxa"/>
            <w:vAlign w:val="bottom"/>
          </w:tcPr>
          <w:p>
            <w:pPr>
              <w:spacing w:after="0"/>
              <w:rPr>
                <w:sz w:val="20"/>
                <w:szCs w:val="20"/>
                <w:color w:val="auto"/>
              </w:rPr>
            </w:pPr>
          </w:p>
        </w:tc>
        <w:tc>
          <w:tcPr>
            <w:tcW w:w="440" w:type="dxa"/>
            <w:vAlign w:val="bottom"/>
            <w:tcBorders>
              <w:right w:val="single" w:sz="8" w:color="CCCCCC"/>
            </w:tcBorders>
          </w:tcPr>
          <w:p>
            <w:pPr>
              <w:spacing w:after="0"/>
              <w:rPr>
                <w:sz w:val="20"/>
                <w:szCs w:val="20"/>
                <w:color w:val="auto"/>
              </w:rPr>
            </w:pPr>
          </w:p>
        </w:tc>
      </w:tr>
      <w:tr>
        <w:trPr>
          <w:trHeight w:val="257"/>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shd w:val="clear" w:color="auto" w:fill="F5F5F5"/>
          </w:tcPr>
          <w:p>
            <w:pPr>
              <w:spacing w:after="0"/>
              <w:rPr>
                <w:sz w:val="22"/>
                <w:szCs w:val="22"/>
                <w:color w:val="auto"/>
              </w:rPr>
            </w:pPr>
          </w:p>
        </w:tc>
        <w:tc>
          <w:tcPr>
            <w:tcW w:w="160" w:type="dxa"/>
            <w:vAlign w:val="bottom"/>
            <w:shd w:val="clear" w:color="auto" w:fill="F5F5F5"/>
          </w:tcPr>
          <w:p>
            <w:pPr>
              <w:spacing w:after="0"/>
              <w:rPr>
                <w:sz w:val="22"/>
                <w:szCs w:val="22"/>
                <w:color w:val="auto"/>
              </w:rPr>
            </w:pPr>
          </w:p>
        </w:tc>
        <w:tc>
          <w:tcPr>
            <w:tcW w:w="1240" w:type="dxa"/>
            <w:vAlign w:val="bottom"/>
            <w:shd w:val="clear" w:color="auto" w:fill="F5F5F5"/>
          </w:tcPr>
          <w:p>
            <w:pPr>
              <w:spacing w:after="0"/>
              <w:rPr>
                <w:sz w:val="22"/>
                <w:szCs w:val="22"/>
                <w:color w:val="auto"/>
              </w:rPr>
            </w:pPr>
          </w:p>
        </w:tc>
        <w:tc>
          <w:tcPr>
            <w:tcW w:w="40" w:type="dxa"/>
            <w:vAlign w:val="bottom"/>
            <w:shd w:val="clear" w:color="auto" w:fill="F5F5F5"/>
          </w:tcPr>
          <w:p>
            <w:pPr>
              <w:spacing w:after="0"/>
              <w:rPr>
                <w:sz w:val="22"/>
                <w:szCs w:val="22"/>
                <w:color w:val="auto"/>
              </w:rPr>
            </w:pPr>
          </w:p>
        </w:tc>
        <w:tc>
          <w:tcPr>
            <w:tcW w:w="400" w:type="dxa"/>
            <w:vAlign w:val="bottom"/>
            <w:shd w:val="clear" w:color="auto" w:fill="F5F5F5"/>
          </w:tcPr>
          <w:p>
            <w:pPr>
              <w:spacing w:after="0"/>
              <w:rPr>
                <w:sz w:val="22"/>
                <w:szCs w:val="22"/>
                <w:color w:val="auto"/>
              </w:rPr>
            </w:pPr>
          </w:p>
        </w:tc>
        <w:tc>
          <w:tcPr>
            <w:tcW w:w="920" w:type="dxa"/>
            <w:vAlign w:val="bottom"/>
            <w:shd w:val="clear" w:color="auto" w:fill="F5F5F5"/>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57"/>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tcPr>
          <w:p>
            <w:pPr>
              <w:ind w:left="40"/>
              <w:spacing w:after="0"/>
              <w:rPr>
                <w:sz w:val="20"/>
                <w:szCs w:val="20"/>
                <w:color w:val="auto"/>
              </w:rPr>
            </w:pPr>
            <w:r>
              <w:rPr>
                <w:rFonts w:ascii="Calibri" w:cs="Calibri" w:eastAsia="Calibri" w:hAnsi="Calibri"/>
                <w:sz w:val="18"/>
                <w:szCs w:val="18"/>
                <w:color w:val="auto"/>
              </w:rPr>
              <w:t>Weighted average number of shares outstanding - basic</w:t>
            </w:r>
          </w:p>
        </w:tc>
        <w:tc>
          <w:tcPr>
            <w:tcW w:w="16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Calibri" w:cs="Calibri" w:eastAsia="Calibri" w:hAnsi="Calibri"/>
                <w:sz w:val="18"/>
                <w:szCs w:val="18"/>
                <w:color w:val="auto"/>
              </w:rPr>
              <w:t>258,028</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auto"/>
              </w:rPr>
              <w:t>252,992</w:t>
            </w: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56"/>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shd w:val="clear" w:color="auto" w:fill="F5F5F5"/>
          </w:tcPr>
          <w:p>
            <w:pPr>
              <w:ind w:left="40"/>
              <w:spacing w:after="0"/>
              <w:rPr>
                <w:sz w:val="20"/>
                <w:szCs w:val="20"/>
                <w:color w:val="auto"/>
              </w:rPr>
            </w:pPr>
            <w:r>
              <w:rPr>
                <w:rFonts w:ascii="Calibri" w:cs="Calibri" w:eastAsia="Calibri" w:hAnsi="Calibri"/>
                <w:sz w:val="18"/>
                <w:szCs w:val="18"/>
                <w:color w:val="auto"/>
              </w:rPr>
              <w:t>Weighted average shares outstanding - Funds From Operatons ("FFO") - diluted (a)</w:t>
            </w:r>
          </w:p>
        </w:tc>
        <w:tc>
          <w:tcPr>
            <w:tcW w:w="160" w:type="dxa"/>
            <w:vAlign w:val="bottom"/>
            <w:tcBorders>
              <w:bottom w:val="single" w:sz="8" w:color="auto"/>
            </w:tcBorders>
            <w:shd w:val="clear" w:color="auto" w:fill="F5F5F5"/>
          </w:tcPr>
          <w:p>
            <w:pPr>
              <w:spacing w:after="0"/>
              <w:rPr>
                <w:sz w:val="22"/>
                <w:szCs w:val="22"/>
                <w:color w:val="auto"/>
              </w:rPr>
            </w:pPr>
          </w:p>
        </w:tc>
        <w:tc>
          <w:tcPr>
            <w:tcW w:w="1240" w:type="dxa"/>
            <w:vAlign w:val="bottom"/>
            <w:tcBorders>
              <w:bottom w:val="single" w:sz="8" w:color="auto"/>
            </w:tcBorders>
            <w:shd w:val="clear" w:color="auto" w:fill="F5F5F5"/>
          </w:tcPr>
          <w:p>
            <w:pPr>
              <w:jc w:val="right"/>
              <w:ind w:right="13"/>
              <w:spacing w:after="0"/>
              <w:rPr>
                <w:sz w:val="20"/>
                <w:szCs w:val="20"/>
                <w:color w:val="auto"/>
              </w:rPr>
            </w:pPr>
            <w:r>
              <w:rPr>
                <w:rFonts w:ascii="Calibri" w:cs="Calibri" w:eastAsia="Calibri" w:hAnsi="Calibri"/>
                <w:sz w:val="18"/>
                <w:szCs w:val="18"/>
                <w:color w:val="auto"/>
              </w:rPr>
              <w:t>269,392</w:t>
            </w:r>
          </w:p>
        </w:tc>
        <w:tc>
          <w:tcPr>
            <w:tcW w:w="40" w:type="dxa"/>
            <w:vAlign w:val="bottom"/>
            <w:shd w:val="clear" w:color="auto" w:fill="F5F5F5"/>
          </w:tcPr>
          <w:p>
            <w:pPr>
              <w:spacing w:after="0"/>
              <w:rPr>
                <w:sz w:val="22"/>
                <w:szCs w:val="22"/>
                <w:color w:val="auto"/>
              </w:rPr>
            </w:pPr>
          </w:p>
        </w:tc>
        <w:tc>
          <w:tcPr>
            <w:tcW w:w="400" w:type="dxa"/>
            <w:vAlign w:val="bottom"/>
            <w:tcBorders>
              <w:bottom w:val="single" w:sz="8" w:color="auto"/>
            </w:tcBorders>
            <w:shd w:val="clear" w:color="auto" w:fill="F5F5F5"/>
          </w:tcPr>
          <w:p>
            <w:pPr>
              <w:spacing w:after="0"/>
              <w:rPr>
                <w:sz w:val="22"/>
                <w:szCs w:val="22"/>
                <w:color w:val="auto"/>
              </w:rPr>
            </w:pPr>
          </w:p>
        </w:tc>
        <w:tc>
          <w:tcPr>
            <w:tcW w:w="920" w:type="dxa"/>
            <w:vAlign w:val="bottom"/>
            <w:tcBorders>
              <w:bottom w:val="single" w:sz="8" w:color="auto"/>
            </w:tcBorders>
            <w:shd w:val="clear" w:color="auto" w:fill="F5F5F5"/>
          </w:tcPr>
          <w:p>
            <w:pPr>
              <w:jc w:val="right"/>
              <w:spacing w:after="0"/>
              <w:rPr>
                <w:sz w:val="20"/>
                <w:szCs w:val="20"/>
                <w:color w:val="auto"/>
              </w:rPr>
            </w:pPr>
            <w:r>
              <w:rPr>
                <w:rFonts w:ascii="Calibri" w:cs="Calibri" w:eastAsia="Calibri" w:hAnsi="Calibri"/>
                <w:sz w:val="18"/>
                <w:szCs w:val="18"/>
                <w:color w:val="auto"/>
              </w:rPr>
              <w:t>263,851</w:t>
            </w: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335"/>
        </w:trPr>
        <w:tc>
          <w:tcPr>
            <w:tcW w:w="380" w:type="dxa"/>
            <w:vAlign w:val="bottom"/>
            <w:tcBorders>
              <w:left w:val="single" w:sz="8" w:color="CCCCCC"/>
            </w:tcBorders>
          </w:tcPr>
          <w:p>
            <w:pPr>
              <w:spacing w:after="0"/>
              <w:rPr>
                <w:sz w:val="24"/>
                <w:szCs w:val="24"/>
                <w:color w:val="auto"/>
              </w:rPr>
            </w:pPr>
          </w:p>
        </w:tc>
        <w:tc>
          <w:tcPr>
            <w:tcW w:w="200" w:type="dxa"/>
            <w:vAlign w:val="bottom"/>
          </w:tcPr>
          <w:p>
            <w:pPr>
              <w:spacing w:after="0"/>
              <w:rPr>
                <w:sz w:val="24"/>
                <w:szCs w:val="24"/>
                <w:color w:val="auto"/>
              </w:rPr>
            </w:pPr>
          </w:p>
        </w:tc>
        <w:tc>
          <w:tcPr>
            <w:tcW w:w="6780" w:type="dxa"/>
            <w:vAlign w:val="bottom"/>
          </w:tcPr>
          <w:p>
            <w:pPr>
              <w:ind w:left="40"/>
              <w:spacing w:after="0"/>
              <w:rPr>
                <w:sz w:val="20"/>
                <w:szCs w:val="20"/>
                <w:color w:val="auto"/>
              </w:rPr>
            </w:pPr>
            <w:r>
              <w:rPr>
                <w:rFonts w:ascii="Calibri" w:cs="Calibri" w:eastAsia="Calibri" w:hAnsi="Calibri"/>
                <w:sz w:val="18"/>
                <w:szCs w:val="18"/>
                <w:color w:val="auto"/>
              </w:rPr>
              <w:t>Earnings per share ("EPS") - basic</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rPr>
                <w:sz w:val="20"/>
                <w:szCs w:val="20"/>
                <w:color w:val="auto"/>
              </w:rPr>
            </w:pPr>
            <w:r>
              <w:rPr>
                <w:rFonts w:ascii="Calibri" w:cs="Calibri" w:eastAsia="Calibri" w:hAnsi="Calibri"/>
                <w:sz w:val="18"/>
                <w:szCs w:val="18"/>
                <w:color w:val="auto"/>
              </w:rPr>
              <w:t>(0.14)</w:t>
            </w:r>
          </w:p>
        </w:tc>
        <w:tc>
          <w:tcPr>
            <w:tcW w:w="40" w:type="dxa"/>
            <w:vAlign w:val="bottom"/>
          </w:tcPr>
          <w:p>
            <w:pPr>
              <w:spacing w:after="0"/>
              <w:rPr>
                <w:sz w:val="24"/>
                <w:szCs w:val="24"/>
                <w:color w:val="auto"/>
              </w:rPr>
            </w:pPr>
          </w:p>
        </w:tc>
        <w:tc>
          <w:tcPr>
            <w:tcW w:w="400" w:type="dxa"/>
            <w:vAlign w:val="bottom"/>
          </w:tcPr>
          <w:p>
            <w:pPr>
              <w:jc w:val="right"/>
              <w:ind w:right="170"/>
              <w:spacing w:after="0"/>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(0.20)</w:t>
            </w:r>
          </w:p>
        </w:tc>
        <w:tc>
          <w:tcPr>
            <w:tcW w:w="180" w:type="dxa"/>
            <w:vAlign w:val="bottom"/>
          </w:tcPr>
          <w:p>
            <w:pPr>
              <w:spacing w:after="0"/>
              <w:rPr>
                <w:sz w:val="24"/>
                <w:szCs w:val="24"/>
                <w:color w:val="auto"/>
              </w:rPr>
            </w:pPr>
          </w:p>
        </w:tc>
        <w:tc>
          <w:tcPr>
            <w:tcW w:w="440" w:type="dxa"/>
            <w:vAlign w:val="bottom"/>
            <w:tcBorders>
              <w:right w:val="single" w:sz="8" w:color="CCCCCC"/>
            </w:tcBorders>
          </w:tcPr>
          <w:p>
            <w:pPr>
              <w:spacing w:after="0"/>
              <w:rPr>
                <w:sz w:val="24"/>
                <w:szCs w:val="24"/>
                <w:color w:val="auto"/>
              </w:rPr>
            </w:pPr>
          </w:p>
        </w:tc>
      </w:tr>
      <w:tr>
        <w:trPr>
          <w:trHeight w:val="257"/>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tcPr>
          <w:p>
            <w:pPr>
              <w:ind w:left="40"/>
              <w:spacing w:after="0"/>
              <w:rPr>
                <w:sz w:val="20"/>
                <w:szCs w:val="20"/>
                <w:color w:val="auto"/>
              </w:rPr>
            </w:pPr>
            <w:r>
              <w:rPr>
                <w:rFonts w:ascii="Calibri" w:cs="Calibri" w:eastAsia="Calibri" w:hAnsi="Calibri"/>
                <w:sz w:val="18"/>
                <w:szCs w:val="18"/>
                <w:color w:val="auto"/>
              </w:rPr>
              <w:t>EPS - diluted</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rPr>
                <w:sz w:val="20"/>
                <w:szCs w:val="20"/>
                <w:color w:val="auto"/>
              </w:rPr>
            </w:pPr>
            <w:r>
              <w:rPr>
                <w:rFonts w:ascii="Calibri" w:cs="Calibri" w:eastAsia="Calibri" w:hAnsi="Calibri"/>
                <w:sz w:val="18"/>
                <w:szCs w:val="18"/>
                <w:color w:val="auto"/>
              </w:rPr>
              <w:t>(0.14)</w:t>
            </w:r>
          </w:p>
        </w:tc>
        <w:tc>
          <w:tcPr>
            <w:tcW w:w="4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(0.20)</w:t>
            </w: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56"/>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tcPr>
          <w:p>
            <w:pPr>
              <w:ind w:left="40"/>
              <w:spacing w:after="0"/>
              <w:rPr>
                <w:sz w:val="20"/>
                <w:szCs w:val="20"/>
                <w:color w:val="auto"/>
              </w:rPr>
            </w:pPr>
            <w:r>
              <w:rPr>
                <w:rFonts w:ascii="Calibri" w:cs="Calibri" w:eastAsia="Calibri" w:hAnsi="Calibri"/>
                <w:sz w:val="18"/>
                <w:szCs w:val="18"/>
                <w:color w:val="auto"/>
              </w:rPr>
              <w:t>Dividend paid per share</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rPr>
                <w:sz w:val="20"/>
                <w:szCs w:val="20"/>
                <w:color w:val="auto"/>
              </w:rPr>
            </w:pPr>
            <w:r>
              <w:rPr>
                <w:rFonts w:ascii="Calibri" w:cs="Calibri" w:eastAsia="Calibri" w:hAnsi="Calibri"/>
                <w:sz w:val="18"/>
                <w:szCs w:val="18"/>
                <w:color w:val="auto"/>
              </w:rPr>
              <w:t>0.17</w:t>
            </w:r>
          </w:p>
        </w:tc>
        <w:tc>
          <w:tcPr>
            <w:tcW w:w="4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0.17</w:t>
            </w: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57"/>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tcPr>
          <w:p>
            <w:pPr>
              <w:ind w:left="40"/>
              <w:spacing w:after="0"/>
              <w:rPr>
                <w:sz w:val="20"/>
                <w:szCs w:val="20"/>
                <w:color w:val="auto"/>
              </w:rPr>
            </w:pPr>
            <w:r>
              <w:rPr>
                <w:rFonts w:ascii="Calibri" w:cs="Calibri" w:eastAsia="Calibri" w:hAnsi="Calibri"/>
                <w:sz w:val="18"/>
                <w:szCs w:val="18"/>
                <w:color w:val="auto"/>
              </w:rPr>
              <w:t>FFO - basic and diluted (a) (b)</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ind w:right="13"/>
              <w:spacing w:after="0"/>
              <w:rPr>
                <w:sz w:val="20"/>
                <w:szCs w:val="20"/>
                <w:color w:val="auto"/>
              </w:rPr>
            </w:pPr>
            <w:r>
              <w:rPr>
                <w:rFonts w:ascii="Calibri" w:cs="Calibri" w:eastAsia="Calibri" w:hAnsi="Calibri"/>
                <w:sz w:val="18"/>
                <w:szCs w:val="18"/>
                <w:color w:val="auto"/>
              </w:rPr>
              <w:t>75,883</w:t>
            </w:r>
          </w:p>
        </w:tc>
        <w:tc>
          <w:tcPr>
            <w:tcW w:w="4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80,973</w:t>
            </w: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57"/>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tcPr>
          <w:p>
            <w:pPr>
              <w:ind w:left="40"/>
              <w:spacing w:after="0"/>
              <w:rPr>
                <w:sz w:val="20"/>
                <w:szCs w:val="20"/>
                <w:color w:val="auto"/>
              </w:rPr>
            </w:pPr>
            <w:r>
              <w:rPr>
                <w:rFonts w:ascii="Calibri" w:cs="Calibri" w:eastAsia="Calibri" w:hAnsi="Calibri"/>
                <w:sz w:val="18"/>
                <w:szCs w:val="18"/>
                <w:color w:val="auto"/>
              </w:rPr>
              <w:t>FFO, as adjusted - basic and diluted (a) (b)</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ind w:right="13"/>
              <w:spacing w:after="0"/>
              <w:rPr>
                <w:sz w:val="20"/>
                <w:szCs w:val="20"/>
                <w:color w:val="auto"/>
              </w:rPr>
            </w:pPr>
            <w:r>
              <w:rPr>
                <w:rFonts w:ascii="Calibri" w:cs="Calibri" w:eastAsia="Calibri" w:hAnsi="Calibri"/>
                <w:sz w:val="18"/>
                <w:szCs w:val="18"/>
                <w:color w:val="auto"/>
              </w:rPr>
              <w:t>92,383</w:t>
            </w:r>
          </w:p>
        </w:tc>
        <w:tc>
          <w:tcPr>
            <w:tcW w:w="4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89,764</w:t>
            </w: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57"/>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tcPr>
          <w:p>
            <w:pPr>
              <w:ind w:left="40"/>
              <w:spacing w:after="0"/>
              <w:rPr>
                <w:sz w:val="20"/>
                <w:szCs w:val="20"/>
                <w:color w:val="auto"/>
              </w:rPr>
            </w:pPr>
            <w:r>
              <w:rPr>
                <w:rFonts w:ascii="Calibri" w:cs="Calibri" w:eastAsia="Calibri" w:hAnsi="Calibri"/>
                <w:sz w:val="18"/>
                <w:szCs w:val="18"/>
                <w:color w:val="auto"/>
              </w:rPr>
              <w:t>FFO per share - basic and diluted (a) (b)</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rPr>
                <w:sz w:val="20"/>
                <w:szCs w:val="20"/>
                <w:color w:val="auto"/>
              </w:rPr>
            </w:pPr>
            <w:r>
              <w:rPr>
                <w:rFonts w:ascii="Calibri" w:cs="Calibri" w:eastAsia="Calibri" w:hAnsi="Calibri"/>
                <w:sz w:val="18"/>
                <w:szCs w:val="18"/>
                <w:color w:val="auto"/>
              </w:rPr>
              <w:t>0.28</w:t>
            </w:r>
          </w:p>
        </w:tc>
        <w:tc>
          <w:tcPr>
            <w:tcW w:w="4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0.31</w:t>
            </w: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57"/>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tcPr>
          <w:p>
            <w:pPr>
              <w:ind w:left="40"/>
              <w:spacing w:after="0"/>
              <w:rPr>
                <w:sz w:val="20"/>
                <w:szCs w:val="20"/>
                <w:color w:val="auto"/>
              </w:rPr>
            </w:pPr>
            <w:r>
              <w:rPr>
                <w:rFonts w:ascii="Calibri" w:cs="Calibri" w:eastAsia="Calibri" w:hAnsi="Calibri"/>
                <w:sz w:val="18"/>
                <w:szCs w:val="18"/>
                <w:color w:val="auto"/>
              </w:rPr>
              <w:t>FFO per share, as adjusted - basic and diluted (a) (b)</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rPr>
                <w:sz w:val="20"/>
                <w:szCs w:val="20"/>
                <w:color w:val="auto"/>
              </w:rPr>
            </w:pPr>
            <w:r>
              <w:rPr>
                <w:rFonts w:ascii="Calibri" w:cs="Calibri" w:eastAsia="Calibri" w:hAnsi="Calibri"/>
                <w:sz w:val="18"/>
                <w:szCs w:val="18"/>
                <w:color w:val="auto"/>
              </w:rPr>
              <w:t>0.34</w:t>
            </w:r>
          </w:p>
        </w:tc>
        <w:tc>
          <w:tcPr>
            <w:tcW w:w="4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0.34</w:t>
            </w: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158"/>
        </w:trPr>
        <w:tc>
          <w:tcPr>
            <w:tcW w:w="380" w:type="dxa"/>
            <w:vAlign w:val="bottom"/>
            <w:tcBorders>
              <w:left w:val="single" w:sz="8" w:color="CCCCCC"/>
            </w:tcBorders>
          </w:tcPr>
          <w:p>
            <w:pPr>
              <w:spacing w:after="0"/>
              <w:rPr>
                <w:sz w:val="13"/>
                <w:szCs w:val="13"/>
                <w:color w:val="auto"/>
              </w:rPr>
            </w:pPr>
          </w:p>
        </w:tc>
        <w:tc>
          <w:tcPr>
            <w:tcW w:w="20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right w:val="single" w:sz="8" w:color="CCCCCC"/>
            </w:tcBorders>
          </w:tcPr>
          <w:p>
            <w:pPr>
              <w:spacing w:after="0"/>
              <w:rPr>
                <w:sz w:val="13"/>
                <w:szCs w:val="13"/>
                <w:color w:val="auto"/>
              </w:rPr>
            </w:pPr>
          </w:p>
        </w:tc>
      </w:tr>
      <w:tr>
        <w:trPr>
          <w:trHeight w:val="236"/>
        </w:trPr>
        <w:tc>
          <w:tcPr>
            <w:tcW w:w="380" w:type="dxa"/>
            <w:vAlign w:val="bottom"/>
            <w:tcBorders>
              <w:left w:val="single" w:sz="8" w:color="CCCCCC"/>
            </w:tcBorders>
          </w:tcPr>
          <w:p>
            <w:pPr>
              <w:spacing w:after="0"/>
              <w:rPr>
                <w:sz w:val="20"/>
                <w:szCs w:val="20"/>
                <w:color w:val="auto"/>
              </w:rPr>
            </w:pPr>
          </w:p>
        </w:tc>
        <w:tc>
          <w:tcPr>
            <w:tcW w:w="200" w:type="dxa"/>
            <w:vAlign w:val="bottom"/>
          </w:tcPr>
          <w:p>
            <w:pPr>
              <w:spacing w:after="0"/>
              <w:rPr>
                <w:sz w:val="20"/>
                <w:szCs w:val="20"/>
                <w:color w:val="auto"/>
              </w:rPr>
            </w:pPr>
          </w:p>
        </w:tc>
        <w:tc>
          <w:tcPr>
            <w:tcW w:w="6780" w:type="dxa"/>
            <w:vAlign w:val="bottom"/>
            <w:tcBorders>
              <w:bottom w:val="single" w:sz="8" w:color="F5F5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Borders>
              <w:bottom w:val="single" w:sz="8" w:color="F5F5F5"/>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right w:val="single" w:sz="8" w:color="CCCCCC"/>
            </w:tcBorders>
          </w:tcPr>
          <w:p>
            <w:pPr>
              <w:spacing w:after="0"/>
              <w:rPr>
                <w:sz w:val="20"/>
                <w:szCs w:val="20"/>
                <w:color w:val="auto"/>
              </w:rPr>
            </w:pPr>
          </w:p>
        </w:tc>
      </w:tr>
      <w:tr>
        <w:trPr>
          <w:trHeight w:val="237"/>
        </w:trPr>
        <w:tc>
          <w:tcPr>
            <w:tcW w:w="380" w:type="dxa"/>
            <w:vAlign w:val="bottom"/>
            <w:tcBorders>
              <w:left w:val="single" w:sz="8" w:color="CCCCCC"/>
            </w:tcBorders>
          </w:tcPr>
          <w:p>
            <w:pPr>
              <w:spacing w:after="0"/>
              <w:rPr>
                <w:sz w:val="20"/>
                <w:szCs w:val="20"/>
                <w:color w:val="auto"/>
              </w:rPr>
            </w:pPr>
          </w:p>
        </w:tc>
        <w:tc>
          <w:tcPr>
            <w:tcW w:w="200" w:type="dxa"/>
            <w:vAlign w:val="bottom"/>
          </w:tcPr>
          <w:p>
            <w:pPr>
              <w:spacing w:after="0"/>
              <w:rPr>
                <w:sz w:val="20"/>
                <w:szCs w:val="20"/>
                <w:color w:val="auto"/>
              </w:rPr>
            </w:pPr>
          </w:p>
        </w:tc>
        <w:tc>
          <w:tcPr>
            <w:tcW w:w="6780" w:type="dxa"/>
            <w:vAlign w:val="bottom"/>
            <w:shd w:val="clear" w:color="auto" w:fill="F5F5F5"/>
          </w:tcPr>
          <w:p>
            <w:pPr>
              <w:spacing w:after="0"/>
              <w:rPr>
                <w:sz w:val="20"/>
                <w:szCs w:val="20"/>
                <w:color w:val="auto"/>
              </w:rPr>
            </w:pPr>
          </w:p>
        </w:tc>
        <w:tc>
          <w:tcPr>
            <w:tcW w:w="160" w:type="dxa"/>
            <w:vAlign w:val="bottom"/>
            <w:shd w:val="clear" w:color="auto" w:fill="F5F5F5"/>
          </w:tcPr>
          <w:p>
            <w:pPr>
              <w:spacing w:after="0"/>
              <w:rPr>
                <w:sz w:val="20"/>
                <w:szCs w:val="20"/>
                <w:color w:val="auto"/>
              </w:rPr>
            </w:pPr>
          </w:p>
        </w:tc>
        <w:tc>
          <w:tcPr>
            <w:tcW w:w="1240" w:type="dxa"/>
            <w:vAlign w:val="bottom"/>
            <w:shd w:val="clear" w:color="auto" w:fill="F5F5F5"/>
          </w:tcPr>
          <w:p>
            <w:pPr>
              <w:spacing w:after="0"/>
              <w:rPr>
                <w:sz w:val="20"/>
                <w:szCs w:val="20"/>
                <w:color w:val="auto"/>
              </w:rPr>
            </w:pPr>
          </w:p>
        </w:tc>
        <w:tc>
          <w:tcPr>
            <w:tcW w:w="40" w:type="dxa"/>
            <w:vAlign w:val="bottom"/>
            <w:shd w:val="clear" w:color="auto" w:fill="F5F5F5"/>
          </w:tcPr>
          <w:p>
            <w:pPr>
              <w:spacing w:after="0"/>
              <w:rPr>
                <w:sz w:val="20"/>
                <w:szCs w:val="20"/>
                <w:color w:val="auto"/>
              </w:rPr>
            </w:pPr>
          </w:p>
        </w:tc>
        <w:tc>
          <w:tcPr>
            <w:tcW w:w="400" w:type="dxa"/>
            <w:vAlign w:val="bottom"/>
            <w:shd w:val="clear" w:color="auto" w:fill="F5F5F5"/>
          </w:tcPr>
          <w:p>
            <w:pPr>
              <w:spacing w:after="0"/>
              <w:rPr>
                <w:sz w:val="20"/>
                <w:szCs w:val="20"/>
                <w:color w:val="auto"/>
              </w:rPr>
            </w:pPr>
          </w:p>
        </w:tc>
        <w:tc>
          <w:tcPr>
            <w:tcW w:w="920" w:type="dxa"/>
            <w:vAlign w:val="bottom"/>
            <w:shd w:val="clear" w:color="auto" w:fill="F5F5F5"/>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right w:val="single" w:sz="8" w:color="CCCCCC"/>
            </w:tcBorders>
          </w:tcPr>
          <w:p>
            <w:pPr>
              <w:spacing w:after="0"/>
              <w:rPr>
                <w:sz w:val="20"/>
                <w:szCs w:val="20"/>
                <w:color w:val="auto"/>
              </w:rPr>
            </w:pPr>
          </w:p>
        </w:tc>
      </w:tr>
      <w:tr>
        <w:trPr>
          <w:trHeight w:val="257"/>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57"/>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shd w:val="clear" w:color="auto" w:fill="F5F5F5"/>
          </w:tcPr>
          <w:p>
            <w:pPr>
              <w:spacing w:after="0"/>
              <w:rPr>
                <w:sz w:val="22"/>
                <w:szCs w:val="22"/>
                <w:color w:val="auto"/>
              </w:rPr>
            </w:pPr>
          </w:p>
        </w:tc>
        <w:tc>
          <w:tcPr>
            <w:tcW w:w="160" w:type="dxa"/>
            <w:vAlign w:val="bottom"/>
            <w:tcBorders>
              <w:bottom w:val="single" w:sz="8" w:color="auto"/>
            </w:tcBorders>
            <w:shd w:val="clear" w:color="auto" w:fill="F5F5F5"/>
          </w:tcPr>
          <w:p>
            <w:pPr>
              <w:spacing w:after="0"/>
              <w:rPr>
                <w:sz w:val="22"/>
                <w:szCs w:val="22"/>
                <w:color w:val="auto"/>
              </w:rPr>
            </w:pPr>
          </w:p>
        </w:tc>
        <w:tc>
          <w:tcPr>
            <w:tcW w:w="1240" w:type="dxa"/>
            <w:vAlign w:val="bottom"/>
            <w:tcBorders>
              <w:bottom w:val="single" w:sz="8" w:color="auto"/>
            </w:tcBorders>
            <w:shd w:val="clear" w:color="auto" w:fill="F5F5F5"/>
          </w:tcPr>
          <w:p>
            <w:pPr>
              <w:spacing w:after="0"/>
              <w:rPr>
                <w:sz w:val="22"/>
                <w:szCs w:val="22"/>
                <w:color w:val="auto"/>
              </w:rPr>
            </w:pPr>
          </w:p>
        </w:tc>
        <w:tc>
          <w:tcPr>
            <w:tcW w:w="40" w:type="dxa"/>
            <w:vAlign w:val="bottom"/>
            <w:shd w:val="clear" w:color="auto" w:fill="F5F5F5"/>
          </w:tcPr>
          <w:p>
            <w:pPr>
              <w:spacing w:after="0"/>
              <w:rPr>
                <w:sz w:val="22"/>
                <w:szCs w:val="22"/>
                <w:color w:val="auto"/>
              </w:rPr>
            </w:pPr>
          </w:p>
        </w:tc>
        <w:tc>
          <w:tcPr>
            <w:tcW w:w="400" w:type="dxa"/>
            <w:vAlign w:val="bottom"/>
            <w:tcBorders>
              <w:bottom w:val="single" w:sz="8" w:color="auto"/>
            </w:tcBorders>
            <w:shd w:val="clear" w:color="auto" w:fill="F5F5F5"/>
          </w:tcPr>
          <w:p>
            <w:pPr>
              <w:spacing w:after="0"/>
              <w:rPr>
                <w:sz w:val="22"/>
                <w:szCs w:val="22"/>
                <w:color w:val="auto"/>
              </w:rPr>
            </w:pPr>
          </w:p>
        </w:tc>
        <w:tc>
          <w:tcPr>
            <w:tcW w:w="920" w:type="dxa"/>
            <w:vAlign w:val="bottom"/>
            <w:tcBorders>
              <w:bottom w:val="single" w:sz="8" w:color="auto"/>
            </w:tcBorders>
            <w:shd w:val="clear" w:color="auto" w:fill="F5F5F5"/>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36"/>
        </w:trPr>
        <w:tc>
          <w:tcPr>
            <w:tcW w:w="380" w:type="dxa"/>
            <w:vAlign w:val="bottom"/>
            <w:tcBorders>
              <w:left w:val="single" w:sz="8" w:color="CCCCCC"/>
            </w:tcBorders>
          </w:tcPr>
          <w:p>
            <w:pPr>
              <w:spacing w:after="0"/>
              <w:rPr>
                <w:sz w:val="20"/>
                <w:szCs w:val="20"/>
                <w:color w:val="auto"/>
              </w:rPr>
            </w:pPr>
          </w:p>
        </w:tc>
        <w:tc>
          <w:tcPr>
            <w:tcW w:w="2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right w:val="single" w:sz="8" w:color="CCCCCC"/>
            </w:tcBorders>
          </w:tcPr>
          <w:p>
            <w:pPr>
              <w:spacing w:after="0"/>
              <w:rPr>
                <w:sz w:val="20"/>
                <w:szCs w:val="20"/>
                <w:color w:val="auto"/>
              </w:rPr>
            </w:pPr>
          </w:p>
        </w:tc>
      </w:tr>
      <w:tr>
        <w:trPr>
          <w:trHeight w:val="257"/>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shd w:val="clear" w:color="auto" w:fill="F5F5F5"/>
          </w:tcPr>
          <w:p>
            <w:pPr>
              <w:spacing w:after="0"/>
              <w:rPr>
                <w:sz w:val="22"/>
                <w:szCs w:val="22"/>
                <w:color w:val="auto"/>
              </w:rPr>
            </w:pPr>
          </w:p>
        </w:tc>
        <w:tc>
          <w:tcPr>
            <w:tcW w:w="160" w:type="dxa"/>
            <w:vAlign w:val="bottom"/>
            <w:tcBorders>
              <w:bottom w:val="single" w:sz="8" w:color="auto"/>
            </w:tcBorders>
            <w:shd w:val="clear" w:color="auto" w:fill="F5F5F5"/>
          </w:tcPr>
          <w:p>
            <w:pPr>
              <w:spacing w:after="0"/>
              <w:rPr>
                <w:sz w:val="22"/>
                <w:szCs w:val="22"/>
                <w:color w:val="auto"/>
              </w:rPr>
            </w:pPr>
          </w:p>
        </w:tc>
        <w:tc>
          <w:tcPr>
            <w:tcW w:w="1240" w:type="dxa"/>
            <w:vAlign w:val="bottom"/>
            <w:tcBorders>
              <w:bottom w:val="single" w:sz="8" w:color="auto"/>
            </w:tcBorders>
            <w:shd w:val="clear" w:color="auto" w:fill="F5F5F5"/>
          </w:tcPr>
          <w:p>
            <w:pPr>
              <w:spacing w:after="0"/>
              <w:rPr>
                <w:sz w:val="22"/>
                <w:szCs w:val="22"/>
                <w:color w:val="auto"/>
              </w:rPr>
            </w:pPr>
          </w:p>
        </w:tc>
        <w:tc>
          <w:tcPr>
            <w:tcW w:w="40" w:type="dxa"/>
            <w:vAlign w:val="bottom"/>
            <w:shd w:val="clear" w:color="auto" w:fill="F5F5F5"/>
          </w:tcPr>
          <w:p>
            <w:pPr>
              <w:spacing w:after="0"/>
              <w:rPr>
                <w:sz w:val="22"/>
                <w:szCs w:val="22"/>
                <w:color w:val="auto"/>
              </w:rPr>
            </w:pPr>
          </w:p>
        </w:tc>
        <w:tc>
          <w:tcPr>
            <w:tcW w:w="400" w:type="dxa"/>
            <w:vAlign w:val="bottom"/>
            <w:tcBorders>
              <w:bottom w:val="single" w:sz="8" w:color="auto"/>
            </w:tcBorders>
            <w:shd w:val="clear" w:color="auto" w:fill="F5F5F5"/>
          </w:tcPr>
          <w:p>
            <w:pPr>
              <w:spacing w:after="0"/>
              <w:rPr>
                <w:sz w:val="22"/>
                <w:szCs w:val="22"/>
                <w:color w:val="auto"/>
              </w:rPr>
            </w:pPr>
          </w:p>
        </w:tc>
        <w:tc>
          <w:tcPr>
            <w:tcW w:w="920" w:type="dxa"/>
            <w:vAlign w:val="bottom"/>
            <w:tcBorders>
              <w:bottom w:val="single" w:sz="8" w:color="auto"/>
            </w:tcBorders>
            <w:shd w:val="clear" w:color="auto" w:fill="F5F5F5"/>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10"/>
        </w:trPr>
        <w:tc>
          <w:tcPr>
            <w:tcW w:w="380" w:type="dxa"/>
            <w:vAlign w:val="bottom"/>
            <w:tcBorders>
              <w:left w:val="single" w:sz="8" w:color="CCCCCC"/>
            </w:tcBorders>
          </w:tcPr>
          <w:p>
            <w:pPr>
              <w:spacing w:after="0"/>
              <w:rPr>
                <w:sz w:val="18"/>
                <w:szCs w:val="18"/>
                <w:color w:val="auto"/>
              </w:rPr>
            </w:pPr>
          </w:p>
        </w:tc>
        <w:tc>
          <w:tcPr>
            <w:tcW w:w="2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right w:val="single" w:sz="8" w:color="CCCCCC"/>
            </w:tcBorders>
          </w:tcPr>
          <w:p>
            <w:pPr>
              <w:spacing w:after="0"/>
              <w:rPr>
                <w:sz w:val="18"/>
                <w:szCs w:val="18"/>
                <w:color w:val="auto"/>
              </w:rPr>
            </w:pPr>
          </w:p>
        </w:tc>
      </w:tr>
      <w:tr>
        <w:trPr>
          <w:trHeight w:val="20"/>
        </w:trPr>
        <w:tc>
          <w:tcPr>
            <w:tcW w:w="380" w:type="dxa"/>
            <w:vAlign w:val="bottom"/>
            <w:tcBorders>
              <w:left w:val="single" w:sz="8" w:color="CCCCC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80" w:type="dxa"/>
            <w:vAlign w:val="bottom"/>
            <w:tcBorders>
              <w:bottom w:val="single" w:sz="8" w:color="F5F5F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F5F5F5"/>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right w:val="single" w:sz="8" w:color="CCCCCC"/>
            </w:tcBorders>
          </w:tcPr>
          <w:p>
            <w:pPr>
              <w:spacing w:after="0" w:line="20" w:lineRule="exact"/>
              <w:rPr>
                <w:sz w:val="1"/>
                <w:szCs w:val="1"/>
                <w:color w:val="auto"/>
              </w:rPr>
            </w:pPr>
          </w:p>
        </w:tc>
      </w:tr>
      <w:tr>
        <w:trPr>
          <w:trHeight w:val="223"/>
        </w:trPr>
        <w:tc>
          <w:tcPr>
            <w:tcW w:w="380" w:type="dxa"/>
            <w:vAlign w:val="bottom"/>
            <w:tcBorders>
              <w:left w:val="single" w:sz="8" w:color="CCCCCC"/>
            </w:tcBorders>
          </w:tcPr>
          <w:p>
            <w:pPr>
              <w:spacing w:after="0"/>
              <w:rPr>
                <w:sz w:val="19"/>
                <w:szCs w:val="19"/>
                <w:color w:val="auto"/>
              </w:rPr>
            </w:pPr>
          </w:p>
        </w:tc>
        <w:tc>
          <w:tcPr>
            <w:tcW w:w="200" w:type="dxa"/>
            <w:vAlign w:val="bottom"/>
          </w:tcPr>
          <w:p>
            <w:pPr>
              <w:spacing w:after="0"/>
              <w:rPr>
                <w:sz w:val="19"/>
                <w:szCs w:val="19"/>
                <w:color w:val="auto"/>
              </w:rPr>
            </w:pPr>
          </w:p>
        </w:tc>
        <w:tc>
          <w:tcPr>
            <w:tcW w:w="6780" w:type="dxa"/>
            <w:vAlign w:val="bottom"/>
            <w:shd w:val="clear" w:color="auto" w:fill="F5F5F5"/>
          </w:tcPr>
          <w:p>
            <w:pPr>
              <w:spacing w:after="0"/>
              <w:rPr>
                <w:sz w:val="19"/>
                <w:szCs w:val="19"/>
                <w:color w:val="auto"/>
              </w:rPr>
            </w:pPr>
          </w:p>
        </w:tc>
        <w:tc>
          <w:tcPr>
            <w:tcW w:w="160" w:type="dxa"/>
            <w:vAlign w:val="bottom"/>
            <w:shd w:val="clear" w:color="auto" w:fill="F5F5F5"/>
          </w:tcPr>
          <w:p>
            <w:pPr>
              <w:spacing w:after="0"/>
              <w:rPr>
                <w:sz w:val="19"/>
                <w:szCs w:val="19"/>
                <w:color w:val="auto"/>
              </w:rPr>
            </w:pPr>
          </w:p>
        </w:tc>
        <w:tc>
          <w:tcPr>
            <w:tcW w:w="1240" w:type="dxa"/>
            <w:vAlign w:val="bottom"/>
            <w:shd w:val="clear" w:color="auto" w:fill="F5F5F5"/>
          </w:tcPr>
          <w:p>
            <w:pPr>
              <w:spacing w:after="0"/>
              <w:rPr>
                <w:sz w:val="19"/>
                <w:szCs w:val="19"/>
                <w:color w:val="auto"/>
              </w:rPr>
            </w:pPr>
          </w:p>
        </w:tc>
        <w:tc>
          <w:tcPr>
            <w:tcW w:w="40" w:type="dxa"/>
            <w:vAlign w:val="bottom"/>
            <w:shd w:val="clear" w:color="auto" w:fill="F5F5F5"/>
          </w:tcPr>
          <w:p>
            <w:pPr>
              <w:spacing w:after="0"/>
              <w:rPr>
                <w:sz w:val="19"/>
                <w:szCs w:val="19"/>
                <w:color w:val="auto"/>
              </w:rPr>
            </w:pPr>
          </w:p>
        </w:tc>
        <w:tc>
          <w:tcPr>
            <w:tcW w:w="400" w:type="dxa"/>
            <w:vAlign w:val="bottom"/>
            <w:shd w:val="clear" w:color="auto" w:fill="F5F5F5"/>
          </w:tcPr>
          <w:p>
            <w:pPr>
              <w:spacing w:after="0"/>
              <w:rPr>
                <w:sz w:val="19"/>
                <w:szCs w:val="19"/>
                <w:color w:val="auto"/>
              </w:rPr>
            </w:pPr>
          </w:p>
        </w:tc>
        <w:tc>
          <w:tcPr>
            <w:tcW w:w="920" w:type="dxa"/>
            <w:vAlign w:val="bottom"/>
            <w:shd w:val="clear" w:color="auto" w:fill="F5F5F5"/>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right w:val="single" w:sz="8" w:color="CCCCCC"/>
            </w:tcBorders>
          </w:tcPr>
          <w:p>
            <w:pPr>
              <w:spacing w:after="0"/>
              <w:rPr>
                <w:sz w:val="19"/>
                <w:szCs w:val="19"/>
                <w:color w:val="auto"/>
              </w:rPr>
            </w:pPr>
          </w:p>
        </w:tc>
      </w:tr>
      <w:tr>
        <w:trPr>
          <w:trHeight w:val="257"/>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tcBorders>
              <w:bottom w:val="single" w:sz="8" w:color="F5F5F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0" w:type="dxa"/>
            <w:vAlign w:val="bottom"/>
            <w:tcBorders>
              <w:bottom w:val="single" w:sz="8" w:color="F5F5F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63"/>
        </w:trPr>
        <w:tc>
          <w:tcPr>
            <w:tcW w:w="380" w:type="dxa"/>
            <w:vAlign w:val="bottom"/>
            <w:tcBorders>
              <w:left w:val="single" w:sz="8" w:color="CCCCCC"/>
            </w:tcBorders>
          </w:tcPr>
          <w:p>
            <w:pPr>
              <w:spacing w:after="0"/>
              <w:rPr>
                <w:sz w:val="22"/>
                <w:szCs w:val="22"/>
                <w:color w:val="auto"/>
              </w:rPr>
            </w:pPr>
          </w:p>
        </w:tc>
        <w:tc>
          <w:tcPr>
            <w:tcW w:w="200" w:type="dxa"/>
            <w:vAlign w:val="bottom"/>
          </w:tcPr>
          <w:p>
            <w:pPr>
              <w:spacing w:after="0"/>
              <w:rPr>
                <w:sz w:val="22"/>
                <w:szCs w:val="22"/>
                <w:color w:val="auto"/>
              </w:rPr>
            </w:pPr>
          </w:p>
        </w:tc>
        <w:tc>
          <w:tcPr>
            <w:tcW w:w="6780" w:type="dxa"/>
            <w:vAlign w:val="bottom"/>
            <w:shd w:val="clear" w:color="auto" w:fill="F5F5F5"/>
          </w:tcPr>
          <w:p>
            <w:pPr>
              <w:spacing w:after="0"/>
              <w:rPr>
                <w:sz w:val="22"/>
                <w:szCs w:val="22"/>
                <w:color w:val="auto"/>
              </w:rPr>
            </w:pPr>
          </w:p>
        </w:tc>
        <w:tc>
          <w:tcPr>
            <w:tcW w:w="160" w:type="dxa"/>
            <w:vAlign w:val="bottom"/>
            <w:tcBorders>
              <w:bottom w:val="single" w:sz="8" w:color="auto"/>
            </w:tcBorders>
            <w:shd w:val="clear" w:color="auto" w:fill="F5F5F5"/>
          </w:tcPr>
          <w:p>
            <w:pPr>
              <w:spacing w:after="0"/>
              <w:rPr>
                <w:sz w:val="22"/>
                <w:szCs w:val="22"/>
                <w:color w:val="auto"/>
              </w:rPr>
            </w:pPr>
          </w:p>
        </w:tc>
        <w:tc>
          <w:tcPr>
            <w:tcW w:w="1240" w:type="dxa"/>
            <w:vAlign w:val="bottom"/>
            <w:tcBorders>
              <w:bottom w:val="single" w:sz="8" w:color="auto"/>
            </w:tcBorders>
            <w:shd w:val="clear" w:color="auto" w:fill="F5F5F5"/>
          </w:tcPr>
          <w:p>
            <w:pPr>
              <w:spacing w:after="0"/>
              <w:rPr>
                <w:sz w:val="22"/>
                <w:szCs w:val="22"/>
                <w:color w:val="auto"/>
              </w:rPr>
            </w:pPr>
          </w:p>
        </w:tc>
        <w:tc>
          <w:tcPr>
            <w:tcW w:w="40" w:type="dxa"/>
            <w:vAlign w:val="bottom"/>
            <w:shd w:val="clear" w:color="auto" w:fill="F5F5F5"/>
          </w:tcPr>
          <w:p>
            <w:pPr>
              <w:spacing w:after="0"/>
              <w:rPr>
                <w:sz w:val="22"/>
                <w:szCs w:val="22"/>
                <w:color w:val="auto"/>
              </w:rPr>
            </w:pPr>
          </w:p>
        </w:tc>
        <w:tc>
          <w:tcPr>
            <w:tcW w:w="400" w:type="dxa"/>
            <w:vAlign w:val="bottom"/>
            <w:tcBorders>
              <w:bottom w:val="single" w:sz="8" w:color="auto"/>
            </w:tcBorders>
            <w:shd w:val="clear" w:color="auto" w:fill="F5F5F5"/>
          </w:tcPr>
          <w:p>
            <w:pPr>
              <w:spacing w:after="0"/>
              <w:rPr>
                <w:sz w:val="22"/>
                <w:szCs w:val="22"/>
                <w:color w:val="auto"/>
              </w:rPr>
            </w:pPr>
          </w:p>
        </w:tc>
        <w:tc>
          <w:tcPr>
            <w:tcW w:w="920" w:type="dxa"/>
            <w:vAlign w:val="bottom"/>
            <w:tcBorders>
              <w:bottom w:val="single" w:sz="8" w:color="auto"/>
            </w:tcBorders>
            <w:shd w:val="clear" w:color="auto" w:fill="F5F5F5"/>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right w:val="single" w:sz="8" w:color="CCCCCC"/>
            </w:tcBorders>
          </w:tcPr>
          <w:p>
            <w:pPr>
              <w:spacing w:after="0"/>
              <w:rPr>
                <w:sz w:val="22"/>
                <w:szCs w:val="22"/>
                <w:color w:val="auto"/>
              </w:rPr>
            </w:pPr>
          </w:p>
        </w:tc>
      </w:tr>
      <w:tr>
        <w:trPr>
          <w:trHeight w:val="291"/>
        </w:trPr>
        <w:tc>
          <w:tcPr>
            <w:tcW w:w="380" w:type="dxa"/>
            <w:vAlign w:val="bottom"/>
            <w:tcBorders>
              <w:left w:val="single" w:sz="8" w:color="CCCCCC"/>
            </w:tcBorders>
          </w:tcPr>
          <w:p>
            <w:pPr>
              <w:spacing w:after="0"/>
              <w:rPr>
                <w:sz w:val="24"/>
                <w:szCs w:val="24"/>
                <w:color w:val="auto"/>
              </w:rPr>
            </w:pPr>
          </w:p>
        </w:tc>
        <w:tc>
          <w:tcPr>
            <w:tcW w:w="200" w:type="dxa"/>
            <w:vAlign w:val="bottom"/>
          </w:tcPr>
          <w:p>
            <w:pPr>
              <w:spacing w:after="0"/>
              <w:rPr>
                <w:sz w:val="24"/>
                <w:szCs w:val="24"/>
                <w:color w:val="auto"/>
              </w:rPr>
            </w:pPr>
          </w:p>
        </w:tc>
        <w:tc>
          <w:tcPr>
            <w:tcW w:w="6780" w:type="dxa"/>
            <w:vAlign w:val="bottom"/>
            <w:tcBorders>
              <w:bottom w:val="single" w:sz="8" w:color="F5F5F5"/>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F5F5F5"/>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right w:val="single" w:sz="8" w:color="CCCCCC"/>
            </w:tcBorders>
          </w:tcPr>
          <w:p>
            <w:pPr>
              <w:spacing w:after="0"/>
              <w:rPr>
                <w:sz w:val="24"/>
                <w:szCs w:val="24"/>
                <w:color w:val="auto"/>
              </w:rPr>
            </w:pPr>
          </w:p>
        </w:tc>
      </w:tr>
      <w:tr>
        <w:trPr>
          <w:trHeight w:val="236"/>
        </w:trPr>
        <w:tc>
          <w:tcPr>
            <w:tcW w:w="380" w:type="dxa"/>
            <w:vAlign w:val="bottom"/>
            <w:tcBorders>
              <w:left w:val="single" w:sz="8" w:color="CCCCCC"/>
            </w:tcBorders>
          </w:tcPr>
          <w:p>
            <w:pPr>
              <w:spacing w:after="0"/>
              <w:rPr>
                <w:sz w:val="20"/>
                <w:szCs w:val="20"/>
                <w:color w:val="auto"/>
              </w:rPr>
            </w:pPr>
          </w:p>
        </w:tc>
        <w:tc>
          <w:tcPr>
            <w:tcW w:w="200" w:type="dxa"/>
            <w:vAlign w:val="bottom"/>
          </w:tcPr>
          <w:p>
            <w:pPr>
              <w:spacing w:after="0"/>
              <w:rPr>
                <w:sz w:val="20"/>
                <w:szCs w:val="20"/>
                <w:color w:val="auto"/>
              </w:rPr>
            </w:pPr>
          </w:p>
        </w:tc>
        <w:tc>
          <w:tcPr>
            <w:tcW w:w="6780" w:type="dxa"/>
            <w:vAlign w:val="bottom"/>
            <w:shd w:val="clear" w:color="auto" w:fill="F5F5F5"/>
          </w:tcPr>
          <w:p>
            <w:pPr>
              <w:spacing w:after="0"/>
              <w:rPr>
                <w:sz w:val="20"/>
                <w:szCs w:val="20"/>
                <w:color w:val="auto"/>
              </w:rPr>
            </w:pPr>
          </w:p>
        </w:tc>
        <w:tc>
          <w:tcPr>
            <w:tcW w:w="160" w:type="dxa"/>
            <w:vAlign w:val="bottom"/>
            <w:tcBorders>
              <w:bottom w:val="single" w:sz="8" w:color="auto"/>
            </w:tcBorders>
            <w:shd w:val="clear" w:color="auto" w:fill="F5F5F5"/>
          </w:tcPr>
          <w:p>
            <w:pPr>
              <w:spacing w:after="0"/>
              <w:rPr>
                <w:sz w:val="20"/>
                <w:szCs w:val="20"/>
                <w:color w:val="auto"/>
              </w:rPr>
            </w:pPr>
          </w:p>
        </w:tc>
        <w:tc>
          <w:tcPr>
            <w:tcW w:w="1240" w:type="dxa"/>
            <w:vAlign w:val="bottom"/>
            <w:tcBorders>
              <w:bottom w:val="single" w:sz="8" w:color="auto"/>
            </w:tcBorders>
            <w:shd w:val="clear" w:color="auto" w:fill="F5F5F5"/>
          </w:tcPr>
          <w:p>
            <w:pPr>
              <w:spacing w:after="0"/>
              <w:rPr>
                <w:sz w:val="20"/>
                <w:szCs w:val="20"/>
                <w:color w:val="auto"/>
              </w:rPr>
            </w:pPr>
          </w:p>
        </w:tc>
        <w:tc>
          <w:tcPr>
            <w:tcW w:w="40" w:type="dxa"/>
            <w:vAlign w:val="bottom"/>
            <w:shd w:val="clear" w:color="auto" w:fill="F5F5F5"/>
          </w:tcPr>
          <w:p>
            <w:pPr>
              <w:spacing w:after="0"/>
              <w:rPr>
                <w:sz w:val="20"/>
                <w:szCs w:val="20"/>
                <w:color w:val="auto"/>
              </w:rPr>
            </w:pPr>
          </w:p>
        </w:tc>
        <w:tc>
          <w:tcPr>
            <w:tcW w:w="400" w:type="dxa"/>
            <w:vAlign w:val="bottom"/>
            <w:tcBorders>
              <w:bottom w:val="single" w:sz="8" w:color="auto"/>
            </w:tcBorders>
            <w:shd w:val="clear" w:color="auto" w:fill="F5F5F5"/>
          </w:tcPr>
          <w:p>
            <w:pPr>
              <w:spacing w:after="0"/>
              <w:rPr>
                <w:sz w:val="20"/>
                <w:szCs w:val="20"/>
                <w:color w:val="auto"/>
              </w:rPr>
            </w:pPr>
          </w:p>
        </w:tc>
        <w:tc>
          <w:tcPr>
            <w:tcW w:w="920" w:type="dxa"/>
            <w:vAlign w:val="bottom"/>
            <w:tcBorders>
              <w:bottom w:val="single" w:sz="8" w:color="auto"/>
            </w:tcBorders>
            <w:shd w:val="clear" w:color="auto" w:fill="F5F5F5"/>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right w:val="single" w:sz="8" w:color="CCCCCC"/>
            </w:tcBorders>
          </w:tcPr>
          <w:p>
            <w:pPr>
              <w:spacing w:after="0"/>
              <w:rPr>
                <w:sz w:val="20"/>
                <w:szCs w:val="20"/>
                <w:color w:val="auto"/>
              </w:rPr>
            </w:pPr>
          </w:p>
        </w:tc>
      </w:tr>
      <w:tr>
        <w:trPr>
          <w:trHeight w:val="237"/>
        </w:trPr>
        <w:tc>
          <w:tcPr>
            <w:tcW w:w="380" w:type="dxa"/>
            <w:vAlign w:val="bottom"/>
            <w:tcBorders>
              <w:left w:val="single" w:sz="8" w:color="CCCCCC"/>
            </w:tcBorders>
          </w:tcPr>
          <w:p>
            <w:pPr>
              <w:spacing w:after="0"/>
              <w:rPr>
                <w:sz w:val="20"/>
                <w:szCs w:val="20"/>
                <w:color w:val="auto"/>
              </w:rPr>
            </w:pPr>
          </w:p>
        </w:tc>
        <w:tc>
          <w:tcPr>
            <w:tcW w:w="200" w:type="dxa"/>
            <w:vAlign w:val="bottom"/>
          </w:tcPr>
          <w:p>
            <w:pPr>
              <w:spacing w:after="0"/>
              <w:rPr>
                <w:sz w:val="20"/>
                <w:szCs w:val="20"/>
                <w:color w:val="auto"/>
              </w:rPr>
            </w:pPr>
          </w:p>
        </w:tc>
        <w:tc>
          <w:tcPr>
            <w:tcW w:w="6780" w:type="dxa"/>
            <w:vAlign w:val="bottom"/>
            <w:tcBorders>
              <w:bottom w:val="single" w:sz="8" w:color="F5F5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Borders>
              <w:bottom w:val="single" w:sz="8" w:color="F5F5F5"/>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right w:val="single" w:sz="8" w:color="CCCCCC"/>
            </w:tcBorders>
          </w:tcPr>
          <w:p>
            <w:pPr>
              <w:spacing w:after="0"/>
              <w:rPr>
                <w:sz w:val="20"/>
                <w:szCs w:val="20"/>
                <w:color w:val="auto"/>
              </w:rPr>
            </w:pPr>
          </w:p>
        </w:tc>
      </w:tr>
      <w:tr>
        <w:trPr>
          <w:trHeight w:val="236"/>
        </w:trPr>
        <w:tc>
          <w:tcPr>
            <w:tcW w:w="380" w:type="dxa"/>
            <w:vAlign w:val="bottom"/>
            <w:tcBorders>
              <w:left w:val="single" w:sz="8" w:color="CCCCCC"/>
            </w:tcBorders>
          </w:tcPr>
          <w:p>
            <w:pPr>
              <w:spacing w:after="0"/>
              <w:rPr>
                <w:sz w:val="20"/>
                <w:szCs w:val="20"/>
                <w:color w:val="auto"/>
              </w:rPr>
            </w:pPr>
          </w:p>
        </w:tc>
        <w:tc>
          <w:tcPr>
            <w:tcW w:w="200" w:type="dxa"/>
            <w:vAlign w:val="bottom"/>
          </w:tcPr>
          <w:p>
            <w:pPr>
              <w:spacing w:after="0"/>
              <w:rPr>
                <w:sz w:val="20"/>
                <w:szCs w:val="20"/>
                <w:color w:val="auto"/>
              </w:rPr>
            </w:pPr>
          </w:p>
        </w:tc>
        <w:tc>
          <w:tcPr>
            <w:tcW w:w="6780" w:type="dxa"/>
            <w:vAlign w:val="bottom"/>
            <w:shd w:val="clear" w:color="auto" w:fill="F5F5F5"/>
          </w:tcPr>
          <w:p>
            <w:pPr>
              <w:spacing w:after="0"/>
              <w:rPr>
                <w:sz w:val="20"/>
                <w:szCs w:val="20"/>
                <w:color w:val="auto"/>
              </w:rPr>
            </w:pPr>
          </w:p>
        </w:tc>
        <w:tc>
          <w:tcPr>
            <w:tcW w:w="160" w:type="dxa"/>
            <w:vAlign w:val="bottom"/>
            <w:tcBorders>
              <w:bottom w:val="single" w:sz="8" w:color="auto"/>
            </w:tcBorders>
            <w:shd w:val="clear" w:color="auto" w:fill="F5F5F5"/>
          </w:tcPr>
          <w:p>
            <w:pPr>
              <w:spacing w:after="0"/>
              <w:rPr>
                <w:sz w:val="20"/>
                <w:szCs w:val="20"/>
                <w:color w:val="auto"/>
              </w:rPr>
            </w:pPr>
          </w:p>
        </w:tc>
        <w:tc>
          <w:tcPr>
            <w:tcW w:w="1240" w:type="dxa"/>
            <w:vAlign w:val="bottom"/>
            <w:tcBorders>
              <w:bottom w:val="single" w:sz="8" w:color="auto"/>
            </w:tcBorders>
            <w:shd w:val="clear" w:color="auto" w:fill="F5F5F5"/>
          </w:tcPr>
          <w:p>
            <w:pPr>
              <w:spacing w:after="0"/>
              <w:rPr>
                <w:sz w:val="20"/>
                <w:szCs w:val="20"/>
                <w:color w:val="auto"/>
              </w:rPr>
            </w:pPr>
          </w:p>
        </w:tc>
        <w:tc>
          <w:tcPr>
            <w:tcW w:w="40" w:type="dxa"/>
            <w:vAlign w:val="bottom"/>
            <w:shd w:val="clear" w:color="auto" w:fill="F5F5F5"/>
          </w:tcPr>
          <w:p>
            <w:pPr>
              <w:spacing w:after="0"/>
              <w:rPr>
                <w:sz w:val="20"/>
                <w:szCs w:val="20"/>
                <w:color w:val="auto"/>
              </w:rPr>
            </w:pPr>
          </w:p>
        </w:tc>
        <w:tc>
          <w:tcPr>
            <w:tcW w:w="400" w:type="dxa"/>
            <w:vAlign w:val="bottom"/>
            <w:tcBorders>
              <w:bottom w:val="single" w:sz="8" w:color="auto"/>
            </w:tcBorders>
            <w:shd w:val="clear" w:color="auto" w:fill="F5F5F5"/>
          </w:tcPr>
          <w:p>
            <w:pPr>
              <w:spacing w:after="0"/>
              <w:rPr>
                <w:sz w:val="20"/>
                <w:szCs w:val="20"/>
                <w:color w:val="auto"/>
              </w:rPr>
            </w:pPr>
          </w:p>
        </w:tc>
        <w:tc>
          <w:tcPr>
            <w:tcW w:w="920" w:type="dxa"/>
            <w:vAlign w:val="bottom"/>
            <w:tcBorders>
              <w:bottom w:val="single" w:sz="8" w:color="auto"/>
            </w:tcBorders>
            <w:shd w:val="clear" w:color="auto" w:fill="F5F5F5"/>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right w:val="single" w:sz="8" w:color="CCCCCC"/>
            </w:tcBorders>
          </w:tcPr>
          <w:p>
            <w:pPr>
              <w:spacing w:after="0"/>
              <w:rPr>
                <w:sz w:val="20"/>
                <w:szCs w:val="20"/>
                <w:color w:val="auto"/>
              </w:rPr>
            </w:pPr>
          </w:p>
        </w:tc>
      </w:tr>
      <w:tr>
        <w:trPr>
          <w:trHeight w:val="237"/>
        </w:trPr>
        <w:tc>
          <w:tcPr>
            <w:tcW w:w="380" w:type="dxa"/>
            <w:vAlign w:val="bottom"/>
            <w:tcBorders>
              <w:left w:val="single" w:sz="8" w:color="CCCCCC"/>
            </w:tcBorders>
          </w:tcPr>
          <w:p>
            <w:pPr>
              <w:spacing w:after="0"/>
              <w:rPr>
                <w:sz w:val="20"/>
                <w:szCs w:val="20"/>
                <w:color w:val="auto"/>
              </w:rPr>
            </w:pPr>
          </w:p>
        </w:tc>
        <w:tc>
          <w:tcPr>
            <w:tcW w:w="200" w:type="dxa"/>
            <w:vAlign w:val="bottom"/>
          </w:tcPr>
          <w:p>
            <w:pPr>
              <w:spacing w:after="0"/>
              <w:rPr>
                <w:sz w:val="20"/>
                <w:szCs w:val="20"/>
                <w:color w:val="auto"/>
              </w:rPr>
            </w:pPr>
          </w:p>
        </w:tc>
        <w:tc>
          <w:tcPr>
            <w:tcW w:w="6780" w:type="dxa"/>
            <w:vAlign w:val="bottom"/>
            <w:tcBorders>
              <w:bottom w:val="single" w:sz="8" w:color="F5F5F5"/>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Borders>
              <w:bottom w:val="single" w:sz="8" w:color="F5F5F5"/>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right w:val="single" w:sz="8" w:color="CCCCCC"/>
            </w:tcBorders>
          </w:tcPr>
          <w:p>
            <w:pPr>
              <w:spacing w:after="0"/>
              <w:rPr>
                <w:sz w:val="20"/>
                <w:szCs w:val="20"/>
                <w:color w:val="auto"/>
              </w:rPr>
            </w:pPr>
          </w:p>
        </w:tc>
      </w:tr>
      <w:tr>
        <w:trPr>
          <w:trHeight w:val="236"/>
        </w:trPr>
        <w:tc>
          <w:tcPr>
            <w:tcW w:w="380" w:type="dxa"/>
            <w:vAlign w:val="bottom"/>
            <w:tcBorders>
              <w:left w:val="single" w:sz="8" w:color="CCCCCC"/>
            </w:tcBorders>
          </w:tcPr>
          <w:p>
            <w:pPr>
              <w:spacing w:after="0"/>
              <w:rPr>
                <w:sz w:val="20"/>
                <w:szCs w:val="20"/>
                <w:color w:val="auto"/>
              </w:rPr>
            </w:pPr>
          </w:p>
        </w:tc>
        <w:tc>
          <w:tcPr>
            <w:tcW w:w="200" w:type="dxa"/>
            <w:vAlign w:val="bottom"/>
          </w:tcPr>
          <w:p>
            <w:pPr>
              <w:spacing w:after="0"/>
              <w:rPr>
                <w:sz w:val="20"/>
                <w:szCs w:val="20"/>
                <w:color w:val="auto"/>
              </w:rPr>
            </w:pPr>
          </w:p>
        </w:tc>
        <w:tc>
          <w:tcPr>
            <w:tcW w:w="6780" w:type="dxa"/>
            <w:vAlign w:val="bottom"/>
            <w:shd w:val="clear" w:color="auto" w:fill="F5F5F5"/>
          </w:tcPr>
          <w:p>
            <w:pPr>
              <w:ind w:left="4720"/>
              <w:spacing w:after="0"/>
              <w:rPr>
                <w:sz w:val="20"/>
                <w:szCs w:val="20"/>
                <w:color w:val="auto"/>
              </w:rPr>
            </w:pPr>
            <w:r>
              <w:rPr>
                <w:rFonts w:ascii="Calibri" w:cs="Calibri" w:eastAsia="Calibri" w:hAnsi="Calibri"/>
                <w:sz w:val="18"/>
                <w:szCs w:val="18"/>
                <w:color w:val="auto"/>
              </w:rPr>
              <w:t>4</w:t>
            </w:r>
          </w:p>
        </w:tc>
        <w:tc>
          <w:tcPr>
            <w:tcW w:w="160" w:type="dxa"/>
            <w:vAlign w:val="bottom"/>
            <w:tcBorders>
              <w:bottom w:val="single" w:sz="8" w:color="auto"/>
            </w:tcBorders>
            <w:shd w:val="clear" w:color="auto" w:fill="F5F5F5"/>
          </w:tcPr>
          <w:p>
            <w:pPr>
              <w:spacing w:after="0"/>
              <w:rPr>
                <w:sz w:val="20"/>
                <w:szCs w:val="20"/>
                <w:color w:val="auto"/>
              </w:rPr>
            </w:pPr>
          </w:p>
        </w:tc>
        <w:tc>
          <w:tcPr>
            <w:tcW w:w="1240" w:type="dxa"/>
            <w:vAlign w:val="bottom"/>
            <w:tcBorders>
              <w:bottom w:val="single" w:sz="8" w:color="auto"/>
            </w:tcBorders>
            <w:shd w:val="clear" w:color="auto" w:fill="F5F5F5"/>
          </w:tcPr>
          <w:p>
            <w:pPr>
              <w:spacing w:after="0"/>
              <w:rPr>
                <w:sz w:val="20"/>
                <w:szCs w:val="20"/>
                <w:color w:val="auto"/>
              </w:rPr>
            </w:pPr>
          </w:p>
        </w:tc>
        <w:tc>
          <w:tcPr>
            <w:tcW w:w="40" w:type="dxa"/>
            <w:vAlign w:val="bottom"/>
            <w:shd w:val="clear" w:color="auto" w:fill="F5F5F5"/>
          </w:tcPr>
          <w:p>
            <w:pPr>
              <w:spacing w:after="0"/>
              <w:rPr>
                <w:sz w:val="20"/>
                <w:szCs w:val="20"/>
                <w:color w:val="auto"/>
              </w:rPr>
            </w:pPr>
          </w:p>
        </w:tc>
        <w:tc>
          <w:tcPr>
            <w:tcW w:w="400" w:type="dxa"/>
            <w:vAlign w:val="bottom"/>
            <w:tcBorders>
              <w:bottom w:val="single" w:sz="8" w:color="auto"/>
            </w:tcBorders>
            <w:shd w:val="clear" w:color="auto" w:fill="F5F5F5"/>
          </w:tcPr>
          <w:p>
            <w:pPr>
              <w:spacing w:after="0"/>
              <w:rPr>
                <w:sz w:val="20"/>
                <w:szCs w:val="20"/>
                <w:color w:val="auto"/>
              </w:rPr>
            </w:pPr>
          </w:p>
        </w:tc>
        <w:tc>
          <w:tcPr>
            <w:tcW w:w="920" w:type="dxa"/>
            <w:vAlign w:val="bottom"/>
            <w:tcBorders>
              <w:bottom w:val="single" w:sz="8" w:color="auto"/>
            </w:tcBorders>
            <w:shd w:val="clear" w:color="auto" w:fill="F5F5F5"/>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right w:val="single" w:sz="8" w:color="CCCCCC"/>
            </w:tcBorders>
          </w:tcPr>
          <w:p>
            <w:pPr>
              <w:spacing w:after="0"/>
              <w:rPr>
                <w:sz w:val="20"/>
                <w:szCs w:val="20"/>
                <w:color w:val="auto"/>
              </w:rPr>
            </w:pPr>
          </w:p>
        </w:tc>
      </w:tr>
      <w:tr>
        <w:trPr>
          <w:trHeight w:val="237"/>
        </w:trPr>
        <w:tc>
          <w:tcPr>
            <w:tcW w:w="380" w:type="dxa"/>
            <w:vAlign w:val="bottom"/>
            <w:tcBorders>
              <w:left w:val="single" w:sz="8" w:color="CCCCCC"/>
            </w:tcBorders>
          </w:tcPr>
          <w:p>
            <w:pPr>
              <w:spacing w:after="0"/>
              <w:rPr>
                <w:sz w:val="20"/>
                <w:szCs w:val="20"/>
                <w:color w:val="auto"/>
              </w:rPr>
            </w:pPr>
          </w:p>
        </w:tc>
        <w:tc>
          <w:tcPr>
            <w:tcW w:w="2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right w:val="single" w:sz="8" w:color="CCCCCC"/>
            </w:tcBorders>
          </w:tcPr>
          <w:p>
            <w:pPr>
              <w:spacing w:after="0"/>
              <w:rPr>
                <w:sz w:val="20"/>
                <w:szCs w:val="20"/>
                <w:color w:val="auto"/>
              </w:rPr>
            </w:pPr>
          </w:p>
        </w:tc>
      </w:tr>
      <w:tr>
        <w:trPr>
          <w:trHeight w:val="463"/>
        </w:trPr>
        <w:tc>
          <w:tcPr>
            <w:tcW w:w="380" w:type="dxa"/>
            <w:vAlign w:val="bottom"/>
            <w:tcBorders>
              <w:left w:val="single" w:sz="8" w:color="CCCCCC"/>
              <w:bottom w:val="single" w:sz="8" w:color="CCCCCC"/>
            </w:tcBorders>
          </w:tcPr>
          <w:p>
            <w:pPr>
              <w:spacing w:after="0"/>
              <w:rPr>
                <w:sz w:val="24"/>
                <w:szCs w:val="24"/>
                <w:color w:val="auto"/>
              </w:rPr>
            </w:pPr>
          </w:p>
        </w:tc>
        <w:tc>
          <w:tcPr>
            <w:tcW w:w="200" w:type="dxa"/>
            <w:vAlign w:val="bottom"/>
            <w:tcBorders>
              <w:bottom w:val="single" w:sz="8" w:color="CCCCCC"/>
            </w:tcBorders>
          </w:tcPr>
          <w:p>
            <w:pPr>
              <w:spacing w:after="0"/>
              <w:rPr>
                <w:sz w:val="24"/>
                <w:szCs w:val="24"/>
                <w:color w:val="auto"/>
              </w:rPr>
            </w:pPr>
          </w:p>
        </w:tc>
        <w:tc>
          <w:tcPr>
            <w:tcW w:w="6780" w:type="dxa"/>
            <w:vAlign w:val="bottom"/>
            <w:tcBorders>
              <w:bottom w:val="single" w:sz="8" w:color="CCCCCC"/>
            </w:tcBorders>
          </w:tcPr>
          <w:p>
            <w:pPr>
              <w:spacing w:after="0"/>
              <w:rPr>
                <w:sz w:val="24"/>
                <w:szCs w:val="24"/>
                <w:color w:val="auto"/>
              </w:rPr>
            </w:pPr>
          </w:p>
        </w:tc>
        <w:tc>
          <w:tcPr>
            <w:tcW w:w="160" w:type="dxa"/>
            <w:vAlign w:val="bottom"/>
            <w:tcBorders>
              <w:bottom w:val="single" w:sz="8" w:color="CCCCCC"/>
            </w:tcBorders>
          </w:tcPr>
          <w:p>
            <w:pPr>
              <w:spacing w:after="0"/>
              <w:rPr>
                <w:sz w:val="24"/>
                <w:szCs w:val="24"/>
                <w:color w:val="auto"/>
              </w:rPr>
            </w:pPr>
          </w:p>
        </w:tc>
        <w:tc>
          <w:tcPr>
            <w:tcW w:w="124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400" w:type="dxa"/>
            <w:vAlign w:val="bottom"/>
            <w:tcBorders>
              <w:bottom w:val="single" w:sz="8" w:color="CCCCCC"/>
            </w:tcBorders>
          </w:tcPr>
          <w:p>
            <w:pPr>
              <w:spacing w:after="0"/>
              <w:rPr>
                <w:sz w:val="24"/>
                <w:szCs w:val="24"/>
                <w:color w:val="auto"/>
              </w:rPr>
            </w:pPr>
          </w:p>
        </w:tc>
        <w:tc>
          <w:tcPr>
            <w:tcW w:w="920" w:type="dxa"/>
            <w:vAlign w:val="bottom"/>
            <w:tcBorders>
              <w:bottom w:val="single" w:sz="8" w:color="CCCCCC"/>
            </w:tcBorders>
          </w:tcPr>
          <w:p>
            <w:pPr>
              <w:spacing w:after="0"/>
              <w:rPr>
                <w:sz w:val="24"/>
                <w:szCs w:val="24"/>
                <w:color w:val="auto"/>
              </w:rPr>
            </w:pPr>
          </w:p>
        </w:tc>
        <w:tc>
          <w:tcPr>
            <w:tcW w:w="180" w:type="dxa"/>
            <w:vAlign w:val="bottom"/>
            <w:tcBorders>
              <w:bottom w:val="single" w:sz="8" w:color="CCCCCC"/>
            </w:tcBorders>
          </w:tcPr>
          <w:p>
            <w:pPr>
              <w:spacing w:after="0"/>
              <w:rPr>
                <w:sz w:val="24"/>
                <w:szCs w:val="24"/>
                <w:color w:val="auto"/>
              </w:rPr>
            </w:pPr>
          </w:p>
        </w:tc>
        <w:tc>
          <w:tcPr>
            <w:tcW w:w="440" w:type="dxa"/>
            <w:vAlign w:val="bottom"/>
            <w:tcBorders>
              <w:bottom w:val="single" w:sz="8" w:color="CCCCCC"/>
              <w:right w:val="single" w:sz="8" w:color="CCCCCC"/>
            </w:tcBorders>
          </w:tcPr>
          <w:p>
            <w:pPr>
              <w:spacing w:after="0"/>
              <w:rPr>
                <w:sz w:val="24"/>
                <w:szCs w:val="24"/>
                <w:color w:val="auto"/>
              </w:rPr>
            </w:pPr>
          </w:p>
        </w:tc>
      </w:tr>
      <w:tr>
        <w:trPr>
          <w:trHeight w:val="307"/>
        </w:trPr>
        <w:tc>
          <w:tcPr>
            <w:tcW w:w="380" w:type="dxa"/>
            <w:vAlign w:val="bottom"/>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Pr>
          <w:p>
            <w:pPr>
              <w:spacing w:after="0"/>
              <w:rPr>
                <w:sz w:val="24"/>
                <w:szCs w:val="24"/>
                <w:color w:val="auto"/>
              </w:rPr>
            </w:pPr>
          </w:p>
        </w:tc>
      </w:tr>
      <w:tr>
        <w:trPr>
          <w:trHeight w:val="34"/>
        </w:trPr>
        <w:tc>
          <w:tcPr>
            <w:tcW w:w="380" w:type="dxa"/>
            <w:vAlign w:val="bottom"/>
          </w:tcPr>
          <w:p>
            <w:pPr>
              <w:spacing w:after="0"/>
              <w:rPr>
                <w:sz w:val="2"/>
                <w:szCs w:val="2"/>
                <w:color w:val="auto"/>
              </w:rPr>
            </w:pPr>
          </w:p>
        </w:tc>
        <w:tc>
          <w:tcPr>
            <w:tcW w:w="200" w:type="dxa"/>
            <w:vAlign w:val="bottom"/>
            <w:tcBorders>
              <w:bottom w:val="single" w:sz="8" w:color="EFEFEF"/>
            </w:tcBorders>
          </w:tcPr>
          <w:p>
            <w:pPr>
              <w:spacing w:after="0"/>
              <w:rPr>
                <w:sz w:val="2"/>
                <w:szCs w:val="2"/>
                <w:color w:val="auto"/>
              </w:rPr>
            </w:pPr>
          </w:p>
        </w:tc>
        <w:tc>
          <w:tcPr>
            <w:tcW w:w="6780" w:type="dxa"/>
            <w:vAlign w:val="bottom"/>
            <w:tcBorders>
              <w:bottom w:val="single" w:sz="8" w:color="EFEFEF"/>
            </w:tcBorders>
          </w:tcPr>
          <w:p>
            <w:pPr>
              <w:spacing w:after="0"/>
              <w:rPr>
                <w:sz w:val="2"/>
                <w:szCs w:val="2"/>
                <w:color w:val="auto"/>
              </w:rPr>
            </w:pPr>
          </w:p>
        </w:tc>
        <w:tc>
          <w:tcPr>
            <w:tcW w:w="160" w:type="dxa"/>
            <w:vAlign w:val="bottom"/>
            <w:tcBorders>
              <w:bottom w:val="single" w:sz="8" w:color="EFEFEF"/>
            </w:tcBorders>
          </w:tcPr>
          <w:p>
            <w:pPr>
              <w:spacing w:after="0"/>
              <w:rPr>
                <w:sz w:val="2"/>
                <w:szCs w:val="2"/>
                <w:color w:val="auto"/>
              </w:rPr>
            </w:pPr>
          </w:p>
        </w:tc>
        <w:tc>
          <w:tcPr>
            <w:tcW w:w="1240" w:type="dxa"/>
            <w:vAlign w:val="bottom"/>
            <w:tcBorders>
              <w:bottom w:val="single" w:sz="8" w:color="EFEFEF"/>
            </w:tcBorders>
          </w:tcPr>
          <w:p>
            <w:pPr>
              <w:spacing w:after="0"/>
              <w:rPr>
                <w:sz w:val="2"/>
                <w:szCs w:val="2"/>
                <w:color w:val="auto"/>
              </w:rPr>
            </w:pPr>
          </w:p>
        </w:tc>
        <w:tc>
          <w:tcPr>
            <w:tcW w:w="40" w:type="dxa"/>
            <w:vAlign w:val="bottom"/>
            <w:tcBorders>
              <w:bottom w:val="single" w:sz="8" w:color="EFEFEF"/>
            </w:tcBorders>
          </w:tcPr>
          <w:p>
            <w:pPr>
              <w:spacing w:after="0"/>
              <w:rPr>
                <w:sz w:val="2"/>
                <w:szCs w:val="2"/>
                <w:color w:val="auto"/>
              </w:rPr>
            </w:pPr>
          </w:p>
        </w:tc>
        <w:tc>
          <w:tcPr>
            <w:tcW w:w="400" w:type="dxa"/>
            <w:vAlign w:val="bottom"/>
            <w:tcBorders>
              <w:bottom w:val="single" w:sz="8" w:color="EFEFEF"/>
            </w:tcBorders>
          </w:tcPr>
          <w:p>
            <w:pPr>
              <w:spacing w:after="0"/>
              <w:rPr>
                <w:sz w:val="2"/>
                <w:szCs w:val="2"/>
                <w:color w:val="auto"/>
              </w:rPr>
            </w:pPr>
          </w:p>
        </w:tc>
        <w:tc>
          <w:tcPr>
            <w:tcW w:w="920" w:type="dxa"/>
            <w:vAlign w:val="bottom"/>
            <w:tcBorders>
              <w:bottom w:val="single" w:sz="8" w:color="EFEFEF"/>
            </w:tcBorders>
          </w:tcPr>
          <w:p>
            <w:pPr>
              <w:spacing w:after="0"/>
              <w:rPr>
                <w:sz w:val="2"/>
                <w:szCs w:val="2"/>
                <w:color w:val="auto"/>
              </w:rPr>
            </w:pPr>
          </w:p>
        </w:tc>
        <w:tc>
          <w:tcPr>
            <w:tcW w:w="180" w:type="dxa"/>
            <w:vAlign w:val="bottom"/>
            <w:tcBorders>
              <w:bottom w:val="single" w:sz="8" w:color="EFEFEF"/>
            </w:tcBorders>
          </w:tcPr>
          <w:p>
            <w:pPr>
              <w:spacing w:after="0"/>
              <w:rPr>
                <w:sz w:val="2"/>
                <w:szCs w:val="2"/>
                <w:color w:val="auto"/>
              </w:rPr>
            </w:pPr>
          </w:p>
        </w:tc>
        <w:tc>
          <w:tcPr>
            <w:tcW w:w="440" w:type="dxa"/>
            <w:vAlign w:val="bottom"/>
          </w:tcPr>
          <w:p>
            <w:pPr>
              <w:spacing w:after="0"/>
              <w:rPr>
                <w:sz w:val="2"/>
                <w:szCs w:val="2"/>
                <w:color w:val="auto"/>
              </w:rPr>
            </w:pPr>
          </w:p>
        </w:tc>
      </w:tr>
    </w:tbl>
    <w:p>
      <w:pPr>
        <w:spacing w:after="0" w:line="13" w:lineRule="exact"/>
        <w:rPr>
          <w:sz w:val="20"/>
          <w:szCs w:val="20"/>
          <w:color w:val="auto"/>
        </w:rPr>
      </w:pPr>
    </w:p>
    <w:p>
      <w:pPr>
        <w:ind w:left="4360"/>
        <w:spacing w:after="0"/>
        <w:rPr>
          <w:sz w:val="20"/>
          <w:szCs w:val="20"/>
          <w:color w:val="auto"/>
        </w:rPr>
      </w:pPr>
      <w:r>
        <w:rPr>
          <w:rFonts w:ascii="Calibri" w:cs="Calibri" w:eastAsia="Calibri" w:hAnsi="Calibri"/>
          <w:sz w:val="18"/>
          <w:szCs w:val="18"/>
          <w:b w:val="1"/>
          <w:bCs w:val="1"/>
          <w:color w:val="auto"/>
        </w:rPr>
        <w:t>THE MACERICH COMPANY</w:t>
      </w:r>
    </w:p>
    <w:p>
      <w:pPr>
        <w:ind w:left="4460"/>
        <w:spacing w:after="0" w:line="206" w:lineRule="auto"/>
        <w:rPr>
          <w:sz w:val="20"/>
          <w:szCs w:val="20"/>
          <w:color w:val="auto"/>
        </w:rPr>
      </w:pPr>
      <w:r>
        <w:rPr>
          <w:rFonts w:ascii="Calibri" w:cs="Calibri" w:eastAsia="Calibri" w:hAnsi="Calibri"/>
          <w:sz w:val="18"/>
          <w:szCs w:val="18"/>
          <w:b w:val="1"/>
          <w:bCs w:val="1"/>
          <w:color w:val="auto"/>
        </w:rPr>
        <w:t>FINANCIAL HIGHLIGHTS</w:t>
      </w:r>
    </w:p>
    <w:p>
      <w:pPr>
        <w:jc w:val="center"/>
        <w:ind w:right="140"/>
        <w:spacing w:after="0" w:line="221" w:lineRule="auto"/>
        <w:rPr>
          <w:sz w:val="20"/>
          <w:szCs w:val="20"/>
          <w:color w:val="auto"/>
        </w:rPr>
      </w:pPr>
      <w:r>
        <w:rPr>
          <w:rFonts w:ascii="Calibri" w:cs="Calibri" w:eastAsia="Calibri" w:hAnsi="Calibri"/>
          <w:sz w:val="18"/>
          <w:szCs w:val="18"/>
          <w:b w:val="1"/>
          <w:bCs w:val="1"/>
          <w:color w:val="auto"/>
        </w:rPr>
        <w:t>(IN THOUSANDS, EXCEPT PER SHARE AMOUNTS)</w:t>
      </w:r>
    </w:p>
    <w:p>
      <w:pPr>
        <w:spacing w:after="0" w:line="200" w:lineRule="exact"/>
        <w:rPr>
          <w:sz w:val="20"/>
          <w:szCs w:val="20"/>
          <w:color w:val="auto"/>
        </w:rPr>
      </w:pPr>
    </w:p>
    <w:p>
      <w:pPr>
        <w:spacing w:after="0" w:line="390" w:lineRule="exact"/>
        <w:rPr>
          <w:sz w:val="20"/>
          <w:szCs w:val="20"/>
          <w:color w:val="auto"/>
        </w:rPr>
      </w:pPr>
    </w:p>
    <w:p>
      <w:pPr>
        <w:ind w:left="740" w:right="480" w:hanging="398"/>
        <w:spacing w:after="0" w:line="239" w:lineRule="auto"/>
        <w:tabs>
          <w:tab w:leader="none" w:pos="74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The Operatng Partnership has operatng partnership units ("OP Units"). OP Units can be converted into shares of Company common stock. Conversion of the OP Units not owned by the Company has been assumed for purposes of calculatng FFO per share and the weighted average number of shares outstanding. The computaton of average shares for FFO-diluted includes the efect of share and unit-based compensaton plans. It also assumes conversion of MACWH, LP preferred and common units to the extent they are dilutve to the calculaton.</w:t>
      </w:r>
    </w:p>
    <w:p>
      <w:pPr>
        <w:spacing w:after="0" w:line="183" w:lineRule="exact"/>
        <w:rPr>
          <w:rFonts w:ascii="Calibri" w:cs="Calibri" w:eastAsia="Calibri" w:hAnsi="Calibri"/>
          <w:sz w:val="14"/>
          <w:szCs w:val="14"/>
          <w:color w:val="auto"/>
        </w:rPr>
      </w:pPr>
    </w:p>
    <w:p>
      <w:pPr>
        <w:ind w:left="740" w:right="500" w:hanging="398"/>
        <w:spacing w:after="0" w:line="242" w:lineRule="auto"/>
        <w:tabs>
          <w:tab w:leader="none" w:pos="74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The Company uses FFO in additon to net income to report its operatng and fnancial results and considers FFO and FFO-diluted as supplemental measures for the real estate industry and a supplement to Generally Accepted Accountng Principles ("GAAP") measures. The Natonal Associaton of Real Estate Investment Trusts ("Nareit") defnes FFO as net income (loss) (computed in accordance with GAAP), excluding gains (or losses) from sales of propertes, plus real estate related depreciaton and amortzaton, impairment write-downs of real estate and write-downs of investments in an afliate where the write-downs have been driven by a decrease in the value of real estate held by the afliate and afer adjustments for unconsolidated joint ventures. Adjustments for unconsolidated joint ventures are calculated to refect FFO on the same basis.</w:t>
      </w:r>
    </w:p>
    <w:p>
      <w:pPr>
        <w:spacing w:after="0" w:line="167" w:lineRule="exact"/>
        <w:rPr>
          <w:rFonts w:ascii="Calibri" w:cs="Calibri" w:eastAsia="Calibri" w:hAnsi="Calibri"/>
          <w:sz w:val="14"/>
          <w:szCs w:val="14"/>
          <w:color w:val="auto"/>
        </w:rPr>
      </w:pPr>
    </w:p>
    <w:p>
      <w:pPr>
        <w:ind w:left="740" w:right="780"/>
        <w:spacing w:after="0" w:line="245" w:lineRule="auto"/>
        <w:rPr>
          <w:rFonts w:ascii="Calibri" w:cs="Calibri" w:eastAsia="Calibri" w:hAnsi="Calibri"/>
          <w:sz w:val="14"/>
          <w:szCs w:val="14"/>
          <w:color w:val="auto"/>
        </w:rPr>
      </w:pPr>
      <w:r>
        <w:rPr>
          <w:rFonts w:ascii="Calibri" w:cs="Calibri" w:eastAsia="Calibri" w:hAnsi="Calibri"/>
          <w:sz w:val="14"/>
          <w:szCs w:val="14"/>
          <w:color w:val="auto"/>
        </w:rPr>
        <w:t>The Company also presents FFO, as adjusted. The Company calculates FFO, as adjusted, by excluding from FFO the impact of propertes in receivership, default interest expense and gain or loss on non-real estate investments.</w:t>
      </w:r>
    </w:p>
    <w:p>
      <w:pPr>
        <w:spacing w:after="0" w:line="177" w:lineRule="exact"/>
        <w:rPr>
          <w:rFonts w:ascii="Calibri" w:cs="Calibri" w:eastAsia="Calibri" w:hAnsi="Calibri"/>
          <w:sz w:val="14"/>
          <w:szCs w:val="14"/>
          <w:color w:val="auto"/>
        </w:rPr>
      </w:pPr>
    </w:p>
    <w:p>
      <w:pPr>
        <w:ind w:left="740" w:right="500"/>
        <w:spacing w:after="0" w:line="232" w:lineRule="auto"/>
        <w:rPr>
          <w:rFonts w:ascii="Calibri" w:cs="Calibri" w:eastAsia="Calibri" w:hAnsi="Calibri"/>
          <w:sz w:val="14"/>
          <w:szCs w:val="14"/>
          <w:color w:val="auto"/>
        </w:rPr>
      </w:pPr>
      <w:r>
        <w:rPr>
          <w:rFonts w:ascii="Calibri" w:cs="Calibri" w:eastAsia="Calibri" w:hAnsi="Calibri"/>
          <w:sz w:val="14"/>
          <w:szCs w:val="14"/>
          <w:color w:val="auto"/>
        </w:rPr>
        <w:t>FFO and FFO on a diluted basis are useful to investors in comparing operatng and fnancial results between periods. This is especially true since FFO excludes real estate depreciaton and amortzaton, as the Company believes real estate values fuctuate based on market conditons rather than depreciatng in value ratably on a straight-line basis over tme. The Company believes that such a presentaton also provides investors with a more meaningful measure of its operatng results in comparison to the operatng results of other REITs. In additon, the Company believes that FFO, as adjusted, which excludes the impact associated with propertes in receivership, default interest expense and impact of non-cash changes in the market value of non-real estate investments provides useful supplemental informaton regarding the Company's performance as it shows a more meaningful and consistent comparison of the Company's operatng performance and allows investors to more easily compare the Company's results. Santa Monica Place has been under control of a court appointed receiver since March 18, 2025 and the Company has excluded the FFO impact from this property for all periods presented. Efectve (i) April 9, 2024, default interest expense has been accrued on the non-recourse loan on Santa Monica Place; (ii) November 6, 2025 through February 5, 2026, default interest expense was incurred on the non-recourse loan at South Plains Mall; and (iii) February 6, 2026, default interest expense has been accrued on the non-recourse loan at Twenty Ninth Street. The Company is required under GAAP to accrue default interest expense, which is expected to be reversed or paid, once a loan is modifed or once ttle to the mortgaged loan collateral is transferred. The Company believes that default interest on non-recourse loans, and any related reversal thereof should be excluded. The Company holds certain non-real estate investments that are subject to mark to market changes every quarter. These investments are not core to the Company's business, and the changes to market value and the related gain or loss are entrely non-cash in nature. As a result, the Company believes that the gain or loss on non-real estate investments should be excluded.</w:t>
      </w:r>
    </w:p>
    <w:p>
      <w:pPr>
        <w:spacing w:after="0" w:line="171" w:lineRule="exact"/>
        <w:rPr>
          <w:rFonts w:ascii="Calibri" w:cs="Calibri" w:eastAsia="Calibri" w:hAnsi="Calibri"/>
          <w:sz w:val="14"/>
          <w:szCs w:val="14"/>
          <w:color w:val="auto"/>
        </w:rPr>
      </w:pPr>
    </w:p>
    <w:p>
      <w:pPr>
        <w:ind w:left="740" w:right="480"/>
        <w:spacing w:after="0" w:line="237" w:lineRule="auto"/>
        <w:rPr>
          <w:rFonts w:ascii="Calibri" w:cs="Calibri" w:eastAsia="Calibri" w:hAnsi="Calibri"/>
          <w:sz w:val="14"/>
          <w:szCs w:val="14"/>
          <w:color w:val="auto"/>
        </w:rPr>
      </w:pPr>
      <w:r>
        <w:rPr>
          <w:rFonts w:ascii="Calibri" w:cs="Calibri" w:eastAsia="Calibri" w:hAnsi="Calibri"/>
          <w:sz w:val="14"/>
          <w:szCs w:val="14"/>
          <w:color w:val="auto"/>
        </w:rPr>
        <w:t>The Company further believes that FFO and FFO, as adjusted, does not represent cash fow from operatons as defned by GAAP, should not be considered as an alternatve to net income (loss) as defned by GAAP, and is not indicatve of cash available to fund all cash fow needs. The Company also cautons that FFO and FFO, as adjusted, as presented, may not be comparable to similarly ttled measures reported by other REITs.</w:t>
      </w:r>
    </w:p>
    <w:p>
      <w:pPr>
        <w:sectPr>
          <w:pgSz w:w="11900" w:h="16838" w:orient="portrait"/>
          <w:cols w:equalWidth="0" w:num="1">
            <w:col w:w="10740"/>
          </w:cols>
          <w:pgMar w:left="580" w:top="55" w:right="579" w:bottom="117"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20"/>
        <w:spacing w:after="0"/>
        <w:rPr>
          <w:sz w:val="20"/>
          <w:szCs w:val="20"/>
          <w:color w:val="auto"/>
        </w:rPr>
      </w:pPr>
      <w:r>
        <w:rPr>
          <w:rFonts w:ascii="Calibri" w:cs="Calibri" w:eastAsia="Calibri" w:hAnsi="Calibri"/>
          <w:sz w:val="18"/>
          <w:szCs w:val="18"/>
          <w:b w:val="1"/>
          <w:bCs w:val="1"/>
          <w:color w:val="auto"/>
        </w:rPr>
        <w:t>THE MACERICH COMPANY</w:t>
      </w:r>
    </w:p>
    <w:p>
      <w:pPr>
        <w:ind w:left="4120"/>
        <w:spacing w:after="0" w:line="206" w:lineRule="auto"/>
        <w:rPr>
          <w:sz w:val="20"/>
          <w:szCs w:val="20"/>
          <w:color w:val="auto"/>
        </w:rPr>
      </w:pPr>
      <w:r>
        <w:rPr>
          <w:rFonts w:ascii="Calibri" w:cs="Calibri" w:eastAsia="Calibri" w:hAnsi="Calibri"/>
          <w:sz w:val="18"/>
          <w:szCs w:val="18"/>
          <w:b w:val="1"/>
          <w:bCs w:val="1"/>
          <w:color w:val="auto"/>
        </w:rPr>
        <w:t>FINANCIAL HIGHLIGHTS</w:t>
      </w:r>
    </w:p>
    <w:p>
      <w:pPr>
        <w:jc w:val="center"/>
        <w:ind w:right="-59"/>
        <w:spacing w:after="0" w:line="221" w:lineRule="auto"/>
        <w:rPr>
          <w:sz w:val="20"/>
          <w:szCs w:val="20"/>
          <w:color w:val="auto"/>
        </w:rPr>
      </w:pPr>
      <w:r>
        <w:rPr>
          <w:rFonts w:ascii="Calibri" w:cs="Calibri" w:eastAsia="Calibri" w:hAnsi="Calibri"/>
          <w:sz w:val="18"/>
          <w:szCs w:val="18"/>
          <w:b w:val="1"/>
          <w:bCs w:val="1"/>
          <w:color w:val="auto"/>
        </w:rPr>
        <w:t>(IN THOUSANDS, EXCEPT PER SHARE AMOUNTS)</w:t>
      </w:r>
    </w:p>
    <w:p>
      <w:pPr>
        <w:spacing w:after="0" w:line="218" w:lineRule="exact"/>
        <w:rPr>
          <w:sz w:val="20"/>
          <w:szCs w:val="20"/>
          <w:color w:val="auto"/>
        </w:rPr>
      </w:pPr>
    </w:p>
    <w:p>
      <w:pPr>
        <w:ind w:right="400"/>
        <w:spacing w:after="0" w:line="227" w:lineRule="auto"/>
        <w:rPr>
          <w:sz w:val="20"/>
          <w:szCs w:val="20"/>
          <w:color w:val="auto"/>
        </w:rPr>
      </w:pPr>
      <w:r>
        <w:rPr>
          <w:rFonts w:ascii="Calibri" w:cs="Calibri" w:eastAsia="Calibri" w:hAnsi="Calibri"/>
          <w:sz w:val="18"/>
          <w:szCs w:val="18"/>
          <w:b w:val="1"/>
          <w:bCs w:val="1"/>
          <w:color w:val="007681"/>
        </w:rPr>
        <w:t>Reconciliaton of Net loss atributable to the Company to FFO atributable to common stockholders and unit holders, as adjusted - basic and diluted (b):</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jc w:val="center"/>
              <w:ind w:right="51"/>
              <w:spacing w:after="0"/>
              <w:rPr>
                <w:sz w:val="20"/>
                <w:szCs w:val="20"/>
                <w:color w:val="auto"/>
              </w:rPr>
            </w:pPr>
            <w:r>
              <w:rPr>
                <w:rFonts w:ascii="Calibri" w:cs="Calibri" w:eastAsia="Calibri" w:hAnsi="Calibri"/>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33"/>
        </w:trPr>
        <w:tc>
          <w:tcPr>
            <w:tcW w:w="7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jc w:val="center"/>
              <w:ind w:left="653"/>
              <w:spacing w:after="0" w:line="164" w:lineRule="exact"/>
              <w:rPr>
                <w:sz w:val="20"/>
                <w:szCs w:val="20"/>
                <w:color w:val="auto"/>
              </w:rPr>
            </w:pPr>
            <w:r>
              <w:rPr>
                <w:rFonts w:ascii="Calibri" w:cs="Calibri" w:eastAsia="Calibri" w:hAnsi="Calibri"/>
                <w:sz w:val="14"/>
                <w:szCs w:val="14"/>
                <w:b w:val="1"/>
                <w:bCs w:val="1"/>
                <w:color w:val="auto"/>
              </w:rPr>
              <w:t>Unaudited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433"/>
              <w:spacing w:after="0" w:line="164" w:lineRule="exact"/>
              <w:rPr>
                <w:sz w:val="20"/>
                <w:szCs w:val="20"/>
                <w:color w:val="auto"/>
              </w:rPr>
            </w:pPr>
            <w:r>
              <w:rPr>
                <w:rFonts w:ascii="Calibri" w:cs="Calibri" w:eastAsia="Calibri" w:hAnsi="Calibri"/>
                <w:sz w:val="14"/>
                <w:szCs w:val="14"/>
                <w:b w:val="1"/>
                <w:bCs w:val="1"/>
                <w:color w:val="auto"/>
              </w:rPr>
              <w:t>2026</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71"/>
              <w:spacing w:after="0" w:line="164" w:lineRule="exact"/>
              <w:rPr>
                <w:sz w:val="20"/>
                <w:szCs w:val="20"/>
                <w:color w:val="auto"/>
              </w:rPr>
            </w:pPr>
            <w:r>
              <w:rPr>
                <w:rFonts w:ascii="Calibri" w:cs="Calibri" w:eastAsia="Calibri" w:hAnsi="Calibri"/>
                <w:sz w:val="14"/>
                <w:szCs w:val="14"/>
                <w:b w:val="1"/>
                <w:bCs w:val="1"/>
                <w:color w:val="auto"/>
              </w:rPr>
              <w:t>2025</w:t>
            </w:r>
          </w:p>
        </w:tc>
        <w:tc>
          <w:tcPr>
            <w:tcW w:w="0" w:type="dxa"/>
            <w:vAlign w:val="bottom"/>
          </w:tcPr>
          <w:p>
            <w:pPr>
              <w:spacing w:after="0"/>
              <w:rPr>
                <w:sz w:val="1"/>
                <w:szCs w:val="1"/>
                <w:color w:val="auto"/>
              </w:rPr>
            </w:pPr>
          </w:p>
        </w:tc>
      </w:tr>
      <w:tr>
        <w:trPr>
          <w:trHeight w:val="46"/>
        </w:trPr>
        <w:tc>
          <w:tcPr>
            <w:tcW w:w="7220" w:type="dxa"/>
            <w:vAlign w:val="bottom"/>
            <w:vMerge w:val="restart"/>
          </w:tcPr>
          <w:p>
            <w:pPr>
              <w:ind w:left="60"/>
              <w:spacing w:after="0"/>
              <w:rPr>
                <w:sz w:val="20"/>
                <w:szCs w:val="20"/>
                <w:color w:val="auto"/>
              </w:rPr>
            </w:pPr>
            <w:r>
              <w:rPr>
                <w:rFonts w:ascii="Calibri" w:cs="Calibri" w:eastAsia="Calibri" w:hAnsi="Calibri"/>
                <w:sz w:val="18"/>
                <w:szCs w:val="18"/>
                <w:color w:val="auto"/>
              </w:rPr>
              <w:t>Net loss atributable to the Company</w:t>
            </w: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220" w:type="dxa"/>
            <w:vAlign w:val="bottom"/>
            <w:vMerge w:val="continue"/>
          </w:tcPr>
          <w:p>
            <w:pPr>
              <w:spacing w:after="0"/>
              <w:rPr>
                <w:sz w:val="18"/>
                <w:szCs w:val="18"/>
                <w:color w:val="auto"/>
              </w:rPr>
            </w:pPr>
          </w:p>
        </w:tc>
        <w:tc>
          <w:tcPr>
            <w:tcW w:w="140" w:type="dxa"/>
            <w:vAlign w:val="bottom"/>
          </w:tcPr>
          <w:p>
            <w:pPr>
              <w:jc w:val="right"/>
              <w:spacing w:after="0" w:line="213"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3" w:lineRule="exact"/>
              <w:rPr>
                <w:sz w:val="20"/>
                <w:szCs w:val="20"/>
                <w:color w:val="auto"/>
              </w:rPr>
            </w:pPr>
            <w:r>
              <w:rPr>
                <w:rFonts w:ascii="Calibri" w:cs="Calibri" w:eastAsia="Calibri" w:hAnsi="Calibri"/>
                <w:sz w:val="18"/>
                <w:szCs w:val="18"/>
                <w:color w:val="auto"/>
              </w:rPr>
              <w:t>(36,350)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line="213" w:lineRule="exact"/>
              <w:rPr>
                <w:sz w:val="20"/>
                <w:szCs w:val="20"/>
                <w:color w:val="auto"/>
              </w:rPr>
            </w:pPr>
            <w:r>
              <w:rPr>
                <w:rFonts w:ascii="Calibri" w:cs="Calibri" w:eastAsia="Calibri" w:hAnsi="Calibri"/>
                <w:sz w:val="18"/>
                <w:szCs w:val="18"/>
                <w:color w:val="auto"/>
              </w:rPr>
              <w:t>($50,123)</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220" w:type="dxa"/>
            <w:vAlign w:val="bottom"/>
            <w:shd w:val="clear" w:color="auto" w:fill="F5F5F5"/>
          </w:tcPr>
          <w:p>
            <w:pPr>
              <w:ind w:left="60"/>
              <w:spacing w:after="0" w:line="180" w:lineRule="exact"/>
              <w:rPr>
                <w:sz w:val="20"/>
                <w:szCs w:val="20"/>
                <w:color w:val="auto"/>
              </w:rPr>
            </w:pPr>
            <w:r>
              <w:rPr>
                <w:rFonts w:ascii="Calibri" w:cs="Calibri" w:eastAsia="Calibri" w:hAnsi="Calibri"/>
                <w:sz w:val="18"/>
                <w:szCs w:val="18"/>
                <w:color w:val="auto"/>
              </w:rPr>
              <w:t>Adjustments to reconcile net loss atributable to the Company to FFO atributable to common</w:t>
            </w:r>
          </w:p>
        </w:tc>
        <w:tc>
          <w:tcPr>
            <w:tcW w:w="140" w:type="dxa"/>
            <w:vAlign w:val="bottom"/>
            <w:shd w:val="clear" w:color="auto" w:fill="F5F5F5"/>
          </w:tcPr>
          <w:p>
            <w:pPr>
              <w:spacing w:after="0"/>
              <w:rPr>
                <w:sz w:val="15"/>
                <w:szCs w:val="15"/>
                <w:color w:val="auto"/>
              </w:rPr>
            </w:pPr>
          </w:p>
        </w:tc>
        <w:tc>
          <w:tcPr>
            <w:tcW w:w="1200" w:type="dxa"/>
            <w:vAlign w:val="bottom"/>
            <w:shd w:val="clear" w:color="auto" w:fill="F5F5F5"/>
          </w:tcPr>
          <w:p>
            <w:pPr>
              <w:spacing w:after="0"/>
              <w:rPr>
                <w:sz w:val="15"/>
                <w:szCs w:val="15"/>
                <w:color w:val="auto"/>
              </w:rPr>
            </w:pPr>
          </w:p>
        </w:tc>
        <w:tc>
          <w:tcPr>
            <w:tcW w:w="60" w:type="dxa"/>
            <w:vAlign w:val="bottom"/>
            <w:shd w:val="clear" w:color="auto" w:fill="F5F5F5"/>
          </w:tcPr>
          <w:p>
            <w:pPr>
              <w:spacing w:after="0"/>
              <w:rPr>
                <w:sz w:val="15"/>
                <w:szCs w:val="15"/>
                <w:color w:val="auto"/>
              </w:rPr>
            </w:pPr>
          </w:p>
        </w:tc>
        <w:tc>
          <w:tcPr>
            <w:tcW w:w="340" w:type="dxa"/>
            <w:vAlign w:val="bottom"/>
            <w:shd w:val="clear" w:color="auto" w:fill="F5F5F5"/>
          </w:tcPr>
          <w:p>
            <w:pPr>
              <w:spacing w:after="0"/>
              <w:rPr>
                <w:sz w:val="15"/>
                <w:szCs w:val="15"/>
                <w:color w:val="auto"/>
              </w:rPr>
            </w:pPr>
          </w:p>
        </w:tc>
        <w:tc>
          <w:tcPr>
            <w:tcW w:w="880" w:type="dxa"/>
            <w:vAlign w:val="bottom"/>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22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stockholders and unit holders - basic and diluted:</w:t>
            </w:r>
          </w:p>
        </w:tc>
        <w:tc>
          <w:tcPr>
            <w:tcW w:w="140" w:type="dxa"/>
            <w:vAlign w:val="bottom"/>
            <w:tcBorders>
              <w:bottom w:val="single" w:sz="8" w:color="F5F5F5"/>
            </w:tcBorders>
            <w:shd w:val="clear" w:color="auto" w:fill="F5F5F5"/>
          </w:tcPr>
          <w:p>
            <w:pPr>
              <w:spacing w:after="0"/>
              <w:rPr>
                <w:sz w:val="21"/>
                <w:szCs w:val="21"/>
                <w:color w:val="auto"/>
              </w:rPr>
            </w:pPr>
          </w:p>
        </w:tc>
        <w:tc>
          <w:tcPr>
            <w:tcW w:w="1200" w:type="dxa"/>
            <w:vAlign w:val="bottom"/>
            <w:tcBorders>
              <w:bottom w:val="single" w:sz="8" w:color="F5F5F5"/>
            </w:tcBorders>
            <w:shd w:val="clear" w:color="auto" w:fill="F5F5F5"/>
          </w:tcPr>
          <w:p>
            <w:pPr>
              <w:spacing w:after="0"/>
              <w:rPr>
                <w:sz w:val="21"/>
                <w:szCs w:val="21"/>
                <w:color w:val="auto"/>
              </w:rPr>
            </w:pPr>
          </w:p>
        </w:tc>
        <w:tc>
          <w:tcPr>
            <w:tcW w:w="60" w:type="dxa"/>
            <w:vAlign w:val="bottom"/>
            <w:tcBorders>
              <w:bottom w:val="single" w:sz="8" w:color="F5F5F5"/>
            </w:tcBorders>
            <w:shd w:val="clear" w:color="auto" w:fill="F5F5F5"/>
          </w:tcPr>
          <w:p>
            <w:pPr>
              <w:spacing w:after="0"/>
              <w:rPr>
                <w:sz w:val="21"/>
                <w:szCs w:val="21"/>
                <w:color w:val="auto"/>
              </w:rPr>
            </w:pPr>
          </w:p>
        </w:tc>
        <w:tc>
          <w:tcPr>
            <w:tcW w:w="340" w:type="dxa"/>
            <w:vAlign w:val="bottom"/>
            <w:tcBorders>
              <w:bottom w:val="single" w:sz="8" w:color="F5F5F5"/>
            </w:tcBorders>
            <w:shd w:val="clear" w:color="auto" w:fill="F5F5F5"/>
          </w:tcPr>
          <w:p>
            <w:pPr>
              <w:spacing w:after="0"/>
              <w:rPr>
                <w:sz w:val="21"/>
                <w:szCs w:val="21"/>
                <w:color w:val="auto"/>
              </w:rPr>
            </w:pPr>
          </w:p>
        </w:tc>
        <w:tc>
          <w:tcPr>
            <w:tcW w:w="880" w:type="dxa"/>
            <w:vAlign w:val="bottom"/>
            <w:tcBorders>
              <w:bottom w:val="single" w:sz="8" w:color="F5F5F5"/>
            </w:tcBorders>
            <w:shd w:val="clear" w:color="auto" w:fill="F5F5F5"/>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260"/>
              <w:spacing w:after="0" w:line="215" w:lineRule="exact"/>
              <w:rPr>
                <w:sz w:val="20"/>
                <w:szCs w:val="20"/>
                <w:color w:val="auto"/>
              </w:rPr>
            </w:pPr>
            <w:r>
              <w:rPr>
                <w:rFonts w:ascii="Calibri" w:cs="Calibri" w:eastAsia="Calibri" w:hAnsi="Calibri"/>
                <w:sz w:val="18"/>
                <w:szCs w:val="18"/>
                <w:color w:val="auto"/>
              </w:rPr>
              <w:t>Noncontrolling interests in the OP</w:t>
            </w:r>
          </w:p>
        </w:tc>
        <w:tc>
          <w:tcPr>
            <w:tcW w:w="140" w:type="dxa"/>
            <w:vAlign w:val="bottom"/>
          </w:tcPr>
          <w:p>
            <w:pPr>
              <w:spacing w:after="0"/>
              <w:rPr>
                <w:sz w:val="18"/>
                <w:szCs w:val="18"/>
                <w:color w:val="auto"/>
              </w:rPr>
            </w:pP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color w:val="auto"/>
              </w:rPr>
              <w:t>(1,602)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(2,156)</w:t>
            </w:r>
          </w:p>
        </w:tc>
        <w:tc>
          <w:tcPr>
            <w:tcW w:w="0" w:type="dxa"/>
            <w:vAlign w:val="bottom"/>
          </w:tcPr>
          <w:p>
            <w:pPr>
              <w:spacing w:after="0"/>
              <w:rPr>
                <w:sz w:val="1"/>
                <w:szCs w:val="1"/>
                <w:color w:val="auto"/>
              </w:rPr>
            </w:pPr>
          </w:p>
        </w:tc>
      </w:tr>
      <w:tr>
        <w:trPr>
          <w:trHeight w:val="42"/>
        </w:trPr>
        <w:tc>
          <w:tcPr>
            <w:tcW w:w="7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220" w:type="dxa"/>
            <w:vAlign w:val="bottom"/>
            <w:tcBorders>
              <w:bottom w:val="single" w:sz="8" w:color="F5F5F5"/>
            </w:tcBorders>
            <w:shd w:val="clear" w:color="auto" w:fill="F5F5F5"/>
          </w:tcPr>
          <w:p>
            <w:pPr>
              <w:ind w:left="260"/>
              <w:spacing w:after="0" w:line="215" w:lineRule="exact"/>
              <w:rPr>
                <w:sz w:val="20"/>
                <w:szCs w:val="20"/>
                <w:color w:val="auto"/>
              </w:rPr>
            </w:pPr>
            <w:r>
              <w:rPr>
                <w:rFonts w:ascii="Calibri" w:cs="Calibri" w:eastAsia="Calibri" w:hAnsi="Calibri"/>
                <w:sz w:val="18"/>
                <w:szCs w:val="18"/>
                <w:color w:val="auto"/>
              </w:rPr>
              <w:t>(Gain) loss on sale or write down of consolidated assets, net</w:t>
            </w:r>
          </w:p>
        </w:tc>
        <w:tc>
          <w:tcPr>
            <w:tcW w:w="140" w:type="dxa"/>
            <w:vAlign w:val="bottom"/>
            <w:tcBorders>
              <w:bottom w:val="single" w:sz="8" w:color="F5F5F5"/>
            </w:tcBorders>
            <w:shd w:val="clear" w:color="auto" w:fill="F5F5F5"/>
          </w:tcPr>
          <w:p>
            <w:pPr>
              <w:spacing w:after="0"/>
              <w:rPr>
                <w:sz w:val="20"/>
                <w:szCs w:val="20"/>
                <w:color w:val="auto"/>
              </w:rPr>
            </w:pPr>
          </w:p>
        </w:tc>
        <w:tc>
          <w:tcPr>
            <w:tcW w:w="120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(6,840)</w:t>
            </w:r>
          </w:p>
        </w:tc>
        <w:tc>
          <w:tcPr>
            <w:tcW w:w="60" w:type="dxa"/>
            <w:vAlign w:val="bottom"/>
            <w:tcBorders>
              <w:bottom w:val="single" w:sz="8" w:color="F5F5F5"/>
            </w:tcBorders>
            <w:shd w:val="clear" w:color="auto" w:fill="F5F5F5"/>
          </w:tcPr>
          <w:p>
            <w:pPr>
              <w:spacing w:after="0"/>
              <w:rPr>
                <w:sz w:val="20"/>
                <w:szCs w:val="20"/>
                <w:color w:val="auto"/>
              </w:rPr>
            </w:pPr>
          </w:p>
        </w:tc>
        <w:tc>
          <w:tcPr>
            <w:tcW w:w="34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13,987</w:t>
            </w:r>
          </w:p>
        </w:tc>
        <w:tc>
          <w:tcPr>
            <w:tcW w:w="0" w:type="dxa"/>
            <w:vAlign w:val="bottom"/>
          </w:tcPr>
          <w:p>
            <w:pPr>
              <w:spacing w:after="0"/>
              <w:rPr>
                <w:sz w:val="1"/>
                <w:szCs w:val="1"/>
                <w:color w:val="auto"/>
              </w:rPr>
            </w:pPr>
          </w:p>
        </w:tc>
      </w:tr>
      <w:tr>
        <w:trPr>
          <w:trHeight w:val="233"/>
        </w:trPr>
        <w:tc>
          <w:tcPr>
            <w:tcW w:w="7220" w:type="dxa"/>
            <w:vAlign w:val="bottom"/>
          </w:tcPr>
          <w:p>
            <w:pPr>
              <w:ind w:left="260"/>
              <w:spacing w:after="0" w:line="215" w:lineRule="exact"/>
              <w:rPr>
                <w:sz w:val="20"/>
                <w:szCs w:val="20"/>
                <w:color w:val="auto"/>
              </w:rPr>
            </w:pPr>
            <w:r>
              <w:rPr>
                <w:rFonts w:ascii="Calibri" w:cs="Calibri" w:eastAsia="Calibri" w:hAnsi="Calibri"/>
                <w:sz w:val="18"/>
                <w:szCs w:val="18"/>
                <w:color w:val="auto"/>
              </w:rPr>
              <w:t>Add: Gain on undepreciated asset sales from consolidated assets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10,094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923</w:t>
            </w:r>
          </w:p>
        </w:tc>
        <w:tc>
          <w:tcPr>
            <w:tcW w:w="0" w:type="dxa"/>
            <w:vAlign w:val="bottom"/>
          </w:tcPr>
          <w:p>
            <w:pPr>
              <w:spacing w:after="0"/>
              <w:rPr>
                <w:sz w:val="1"/>
                <w:szCs w:val="1"/>
                <w:color w:val="auto"/>
              </w:rPr>
            </w:pPr>
          </w:p>
        </w:tc>
      </w:tr>
      <w:tr>
        <w:trPr>
          <w:trHeight w:val="23"/>
        </w:trPr>
        <w:tc>
          <w:tcPr>
            <w:tcW w:w="7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220" w:type="dxa"/>
            <w:vAlign w:val="bottom"/>
            <w:tcBorders>
              <w:bottom w:val="single" w:sz="8" w:color="F5F5F5"/>
            </w:tcBorders>
            <w:shd w:val="clear" w:color="auto" w:fill="F5F5F5"/>
          </w:tcPr>
          <w:p>
            <w:pPr>
              <w:ind w:left="260"/>
              <w:spacing w:after="0" w:line="215" w:lineRule="exact"/>
              <w:rPr>
                <w:sz w:val="20"/>
                <w:szCs w:val="20"/>
                <w:color w:val="auto"/>
              </w:rPr>
            </w:pPr>
            <w:r>
              <w:rPr>
                <w:rFonts w:ascii="Calibri" w:cs="Calibri" w:eastAsia="Calibri" w:hAnsi="Calibri"/>
                <w:sz w:val="18"/>
                <w:szCs w:val="18"/>
                <w:color w:val="auto"/>
              </w:rPr>
              <w:t>Noncontrolling interests share of loss on sale or write-down of consolidated joint ventures, net</w:t>
            </w:r>
          </w:p>
        </w:tc>
        <w:tc>
          <w:tcPr>
            <w:tcW w:w="140" w:type="dxa"/>
            <w:vAlign w:val="bottom"/>
            <w:tcBorders>
              <w:bottom w:val="single" w:sz="8" w:color="F5F5F5"/>
            </w:tcBorders>
            <w:shd w:val="clear" w:color="auto" w:fill="F5F5F5"/>
          </w:tcPr>
          <w:p>
            <w:pPr>
              <w:spacing w:after="0"/>
              <w:rPr>
                <w:sz w:val="20"/>
                <w:szCs w:val="20"/>
                <w:color w:val="auto"/>
              </w:rPr>
            </w:pPr>
          </w:p>
        </w:tc>
        <w:tc>
          <w:tcPr>
            <w:tcW w:w="120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(9)</w:t>
            </w:r>
          </w:p>
        </w:tc>
        <w:tc>
          <w:tcPr>
            <w:tcW w:w="60" w:type="dxa"/>
            <w:vAlign w:val="bottom"/>
            <w:tcBorders>
              <w:bottom w:val="single" w:sz="8" w:color="F5F5F5"/>
            </w:tcBorders>
            <w:shd w:val="clear" w:color="auto" w:fill="F5F5F5"/>
          </w:tcPr>
          <w:p>
            <w:pPr>
              <w:spacing w:after="0"/>
              <w:rPr>
                <w:sz w:val="20"/>
                <w:szCs w:val="20"/>
                <w:color w:val="auto"/>
              </w:rPr>
            </w:pPr>
          </w:p>
        </w:tc>
        <w:tc>
          <w:tcPr>
            <w:tcW w:w="34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3"/>
        </w:trPr>
        <w:tc>
          <w:tcPr>
            <w:tcW w:w="7220" w:type="dxa"/>
            <w:vAlign w:val="bottom"/>
          </w:tcPr>
          <w:p>
            <w:pPr>
              <w:ind w:left="260"/>
              <w:spacing w:after="0" w:line="215" w:lineRule="exact"/>
              <w:rPr>
                <w:sz w:val="20"/>
                <w:szCs w:val="20"/>
                <w:color w:val="auto"/>
              </w:rPr>
            </w:pPr>
            <w:r>
              <w:rPr>
                <w:rFonts w:ascii="Calibri" w:cs="Calibri" w:eastAsia="Calibri" w:hAnsi="Calibri"/>
                <w:sz w:val="18"/>
                <w:szCs w:val="18"/>
                <w:color w:val="auto"/>
              </w:rPr>
              <w:t>Loss on sale or write down of assets from unconsolidated joint ventures (pro rata), net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721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1,111</w:t>
            </w:r>
          </w:p>
        </w:tc>
        <w:tc>
          <w:tcPr>
            <w:tcW w:w="0" w:type="dxa"/>
            <w:vAlign w:val="bottom"/>
          </w:tcPr>
          <w:p>
            <w:pPr>
              <w:spacing w:after="0"/>
              <w:rPr>
                <w:sz w:val="1"/>
                <w:szCs w:val="1"/>
                <w:color w:val="auto"/>
              </w:rPr>
            </w:pPr>
          </w:p>
        </w:tc>
      </w:tr>
      <w:tr>
        <w:trPr>
          <w:trHeight w:val="24"/>
        </w:trPr>
        <w:tc>
          <w:tcPr>
            <w:tcW w:w="7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220" w:type="dxa"/>
            <w:vAlign w:val="bottom"/>
            <w:tcBorders>
              <w:bottom w:val="single" w:sz="8" w:color="F5F5F5"/>
            </w:tcBorders>
            <w:shd w:val="clear" w:color="auto" w:fill="F5F5F5"/>
          </w:tcPr>
          <w:p>
            <w:pPr>
              <w:ind w:left="260"/>
              <w:spacing w:after="0" w:line="215" w:lineRule="exact"/>
              <w:rPr>
                <w:sz w:val="20"/>
                <w:szCs w:val="20"/>
                <w:color w:val="auto"/>
              </w:rPr>
            </w:pPr>
            <w:r>
              <w:rPr>
                <w:rFonts w:ascii="Calibri" w:cs="Calibri" w:eastAsia="Calibri" w:hAnsi="Calibri"/>
                <w:sz w:val="18"/>
                <w:szCs w:val="18"/>
                <w:color w:val="auto"/>
              </w:rPr>
              <w:t>Add: Loss on undepreciated asset sales from unconsolidated joint ventures (pro rata)</w:t>
            </w:r>
          </w:p>
        </w:tc>
        <w:tc>
          <w:tcPr>
            <w:tcW w:w="140" w:type="dxa"/>
            <w:vAlign w:val="bottom"/>
            <w:tcBorders>
              <w:bottom w:val="single" w:sz="8" w:color="F5F5F5"/>
            </w:tcBorders>
            <w:shd w:val="clear" w:color="auto" w:fill="F5F5F5"/>
          </w:tcPr>
          <w:p>
            <w:pPr>
              <w:spacing w:after="0"/>
              <w:rPr>
                <w:sz w:val="20"/>
                <w:szCs w:val="20"/>
                <w:color w:val="auto"/>
              </w:rPr>
            </w:pPr>
          </w:p>
        </w:tc>
        <w:tc>
          <w:tcPr>
            <w:tcW w:w="1260" w:type="dxa"/>
            <w:vAlign w:val="bottom"/>
            <w:tcBorders>
              <w:bottom w:val="single" w:sz="8" w:color="F5F5F5"/>
            </w:tcBorders>
            <w:gridSpan w:val="2"/>
            <w:shd w:val="clear" w:color="auto" w:fill="F5F5F5"/>
          </w:tcPr>
          <w:p>
            <w:pPr>
              <w:jc w:val="right"/>
              <w:ind w:right="120"/>
              <w:spacing w:after="0"/>
              <w:rPr>
                <w:sz w:val="20"/>
                <w:szCs w:val="20"/>
                <w:color w:val="auto"/>
              </w:rPr>
            </w:pPr>
            <w:r>
              <w:rPr>
                <w:rFonts w:ascii="Calibri" w:cs="Calibri" w:eastAsia="Calibri" w:hAnsi="Calibri"/>
                <w:sz w:val="18"/>
                <w:szCs w:val="18"/>
                <w:color w:val="auto"/>
              </w:rPr>
              <w:t>—</w:t>
            </w:r>
          </w:p>
        </w:tc>
        <w:tc>
          <w:tcPr>
            <w:tcW w:w="34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(210)</w:t>
            </w:r>
          </w:p>
        </w:tc>
        <w:tc>
          <w:tcPr>
            <w:tcW w:w="0" w:type="dxa"/>
            <w:vAlign w:val="bottom"/>
          </w:tcPr>
          <w:p>
            <w:pPr>
              <w:spacing w:after="0"/>
              <w:rPr>
                <w:sz w:val="1"/>
                <w:szCs w:val="1"/>
                <w:color w:val="auto"/>
              </w:rPr>
            </w:pPr>
          </w:p>
        </w:tc>
      </w:tr>
      <w:tr>
        <w:trPr>
          <w:trHeight w:val="233"/>
        </w:trPr>
        <w:tc>
          <w:tcPr>
            <w:tcW w:w="7220" w:type="dxa"/>
            <w:vAlign w:val="bottom"/>
          </w:tcPr>
          <w:p>
            <w:pPr>
              <w:ind w:left="260"/>
              <w:spacing w:after="0" w:line="215" w:lineRule="exact"/>
              <w:rPr>
                <w:sz w:val="20"/>
                <w:szCs w:val="20"/>
                <w:color w:val="auto"/>
              </w:rPr>
            </w:pPr>
            <w:r>
              <w:rPr>
                <w:rFonts w:ascii="Calibri" w:cs="Calibri" w:eastAsia="Calibri" w:hAnsi="Calibri"/>
                <w:sz w:val="18"/>
                <w:szCs w:val="18"/>
                <w:color w:val="auto"/>
              </w:rPr>
              <w:t>Depreciaton and amortzaton on consolidated assets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83,076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92,562</w:t>
            </w:r>
          </w:p>
        </w:tc>
        <w:tc>
          <w:tcPr>
            <w:tcW w:w="0" w:type="dxa"/>
            <w:vAlign w:val="bottom"/>
          </w:tcPr>
          <w:p>
            <w:pPr>
              <w:spacing w:after="0"/>
              <w:rPr>
                <w:sz w:val="1"/>
                <w:szCs w:val="1"/>
                <w:color w:val="auto"/>
              </w:rPr>
            </w:pPr>
          </w:p>
        </w:tc>
      </w:tr>
      <w:tr>
        <w:trPr>
          <w:trHeight w:val="24"/>
        </w:trPr>
        <w:tc>
          <w:tcPr>
            <w:tcW w:w="7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220" w:type="dxa"/>
            <w:vAlign w:val="bottom"/>
            <w:shd w:val="clear" w:color="auto" w:fill="F5F5F5"/>
          </w:tcPr>
          <w:p>
            <w:pPr>
              <w:ind w:left="260"/>
              <w:spacing w:after="0" w:line="180" w:lineRule="exact"/>
              <w:rPr>
                <w:sz w:val="20"/>
                <w:szCs w:val="20"/>
                <w:color w:val="auto"/>
              </w:rPr>
            </w:pPr>
            <w:r>
              <w:rPr>
                <w:rFonts w:ascii="Calibri" w:cs="Calibri" w:eastAsia="Calibri" w:hAnsi="Calibri"/>
                <w:sz w:val="18"/>
                <w:szCs w:val="18"/>
                <w:color w:val="auto"/>
              </w:rPr>
              <w:t>Less depreciaton and amortzaton allocable to noncontrolling interests in consolidated joint</w:t>
            </w:r>
          </w:p>
        </w:tc>
        <w:tc>
          <w:tcPr>
            <w:tcW w:w="140" w:type="dxa"/>
            <w:vAlign w:val="bottom"/>
            <w:shd w:val="clear" w:color="auto" w:fill="F5F5F5"/>
          </w:tcPr>
          <w:p>
            <w:pPr>
              <w:spacing w:after="0"/>
              <w:rPr>
                <w:sz w:val="15"/>
                <w:szCs w:val="15"/>
                <w:color w:val="auto"/>
              </w:rPr>
            </w:pPr>
          </w:p>
        </w:tc>
        <w:tc>
          <w:tcPr>
            <w:tcW w:w="1200" w:type="dxa"/>
            <w:vAlign w:val="bottom"/>
            <w:shd w:val="clear" w:color="auto" w:fill="F5F5F5"/>
          </w:tcPr>
          <w:p>
            <w:pPr>
              <w:spacing w:after="0"/>
              <w:rPr>
                <w:sz w:val="15"/>
                <w:szCs w:val="15"/>
                <w:color w:val="auto"/>
              </w:rPr>
            </w:pPr>
          </w:p>
        </w:tc>
        <w:tc>
          <w:tcPr>
            <w:tcW w:w="60" w:type="dxa"/>
            <w:vAlign w:val="bottom"/>
            <w:shd w:val="clear" w:color="auto" w:fill="F5F5F5"/>
          </w:tcPr>
          <w:p>
            <w:pPr>
              <w:spacing w:after="0"/>
              <w:rPr>
                <w:sz w:val="15"/>
                <w:szCs w:val="15"/>
                <w:color w:val="auto"/>
              </w:rPr>
            </w:pPr>
          </w:p>
        </w:tc>
        <w:tc>
          <w:tcPr>
            <w:tcW w:w="340" w:type="dxa"/>
            <w:vAlign w:val="bottom"/>
            <w:shd w:val="clear" w:color="auto" w:fill="F5F5F5"/>
          </w:tcPr>
          <w:p>
            <w:pPr>
              <w:spacing w:after="0"/>
              <w:rPr>
                <w:sz w:val="15"/>
                <w:szCs w:val="15"/>
                <w:color w:val="auto"/>
              </w:rPr>
            </w:pPr>
          </w:p>
        </w:tc>
        <w:tc>
          <w:tcPr>
            <w:tcW w:w="880" w:type="dxa"/>
            <w:vAlign w:val="bottom"/>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220" w:type="dxa"/>
            <w:vAlign w:val="bottom"/>
            <w:tcBorders>
              <w:bottom w:val="single" w:sz="8" w:color="F5F5F5"/>
            </w:tcBorders>
            <w:shd w:val="clear" w:color="auto" w:fill="F5F5F5"/>
          </w:tcPr>
          <w:p>
            <w:pPr>
              <w:ind w:left="300"/>
              <w:spacing w:after="0" w:line="215" w:lineRule="exact"/>
              <w:rPr>
                <w:sz w:val="20"/>
                <w:szCs w:val="20"/>
                <w:color w:val="auto"/>
              </w:rPr>
            </w:pPr>
            <w:r>
              <w:rPr>
                <w:rFonts w:ascii="Calibri" w:cs="Calibri" w:eastAsia="Calibri" w:hAnsi="Calibri"/>
                <w:sz w:val="18"/>
                <w:szCs w:val="18"/>
                <w:color w:val="auto"/>
              </w:rPr>
              <w:t>ventures</w:t>
            </w:r>
          </w:p>
        </w:tc>
        <w:tc>
          <w:tcPr>
            <w:tcW w:w="140" w:type="dxa"/>
            <w:vAlign w:val="bottom"/>
            <w:tcBorders>
              <w:bottom w:val="single" w:sz="8" w:color="F5F5F5"/>
            </w:tcBorders>
            <w:shd w:val="clear" w:color="auto" w:fill="F5F5F5"/>
          </w:tcPr>
          <w:p>
            <w:pPr>
              <w:spacing w:after="0"/>
              <w:rPr>
                <w:sz w:val="21"/>
                <w:szCs w:val="21"/>
                <w:color w:val="auto"/>
              </w:rPr>
            </w:pPr>
          </w:p>
        </w:tc>
        <w:tc>
          <w:tcPr>
            <w:tcW w:w="120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(567)</w:t>
            </w:r>
          </w:p>
        </w:tc>
        <w:tc>
          <w:tcPr>
            <w:tcW w:w="60" w:type="dxa"/>
            <w:vAlign w:val="bottom"/>
            <w:tcBorders>
              <w:bottom w:val="single" w:sz="8" w:color="F5F5F5"/>
            </w:tcBorders>
            <w:shd w:val="clear" w:color="auto" w:fill="F5F5F5"/>
          </w:tcPr>
          <w:p>
            <w:pPr>
              <w:spacing w:after="0"/>
              <w:rPr>
                <w:sz w:val="21"/>
                <w:szCs w:val="21"/>
                <w:color w:val="auto"/>
              </w:rPr>
            </w:pPr>
          </w:p>
        </w:tc>
        <w:tc>
          <w:tcPr>
            <w:tcW w:w="340" w:type="dxa"/>
            <w:vAlign w:val="bottom"/>
            <w:tcBorders>
              <w:bottom w:val="single" w:sz="8" w:color="F5F5F5"/>
            </w:tcBorders>
            <w:shd w:val="clear" w:color="auto" w:fill="F5F5F5"/>
          </w:tcPr>
          <w:p>
            <w:pPr>
              <w:spacing w:after="0"/>
              <w:rPr>
                <w:sz w:val="21"/>
                <w:szCs w:val="21"/>
                <w:color w:val="auto"/>
              </w:rPr>
            </w:pPr>
          </w:p>
        </w:tc>
        <w:tc>
          <w:tcPr>
            <w:tcW w:w="8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(564)</w:t>
            </w:r>
          </w:p>
        </w:tc>
        <w:tc>
          <w:tcPr>
            <w:tcW w:w="0" w:type="dxa"/>
            <w:vAlign w:val="bottom"/>
          </w:tcPr>
          <w:p>
            <w:pPr>
              <w:spacing w:after="0"/>
              <w:rPr>
                <w:sz w:val="1"/>
                <w:szCs w:val="1"/>
                <w:color w:val="auto"/>
              </w:rPr>
            </w:pPr>
          </w:p>
        </w:tc>
      </w:tr>
      <w:tr>
        <w:trPr>
          <w:trHeight w:val="233"/>
        </w:trPr>
        <w:tc>
          <w:tcPr>
            <w:tcW w:w="7220" w:type="dxa"/>
            <w:vAlign w:val="bottom"/>
          </w:tcPr>
          <w:p>
            <w:pPr>
              <w:ind w:left="260"/>
              <w:spacing w:after="0" w:line="215" w:lineRule="exact"/>
              <w:rPr>
                <w:sz w:val="20"/>
                <w:szCs w:val="20"/>
                <w:color w:val="auto"/>
              </w:rPr>
            </w:pPr>
            <w:r>
              <w:rPr>
                <w:rFonts w:ascii="Calibri" w:cs="Calibri" w:eastAsia="Calibri" w:hAnsi="Calibri"/>
                <w:sz w:val="18"/>
                <w:szCs w:val="18"/>
                <w:color w:val="auto"/>
              </w:rPr>
              <w:t>Depreciaton and amortzaton on unconsolidated joint ventures (pro rata)</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28,797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27,783</w:t>
            </w:r>
          </w:p>
        </w:tc>
        <w:tc>
          <w:tcPr>
            <w:tcW w:w="0" w:type="dxa"/>
            <w:vAlign w:val="bottom"/>
          </w:tcPr>
          <w:p>
            <w:pPr>
              <w:spacing w:after="0"/>
              <w:rPr>
                <w:sz w:val="1"/>
                <w:szCs w:val="1"/>
                <w:color w:val="auto"/>
              </w:rPr>
            </w:pPr>
          </w:p>
        </w:tc>
      </w:tr>
      <w:tr>
        <w:trPr>
          <w:trHeight w:val="24"/>
        </w:trPr>
        <w:tc>
          <w:tcPr>
            <w:tcW w:w="7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220" w:type="dxa"/>
            <w:vAlign w:val="bottom"/>
            <w:tcBorders>
              <w:bottom w:val="single" w:sz="8" w:color="F5F5F5"/>
            </w:tcBorders>
            <w:shd w:val="clear" w:color="auto" w:fill="F5F5F5"/>
          </w:tcPr>
          <w:p>
            <w:pPr>
              <w:ind w:left="260"/>
              <w:spacing w:after="0" w:line="215" w:lineRule="exact"/>
              <w:rPr>
                <w:sz w:val="20"/>
                <w:szCs w:val="20"/>
                <w:color w:val="auto"/>
              </w:rPr>
            </w:pPr>
            <w:r>
              <w:rPr>
                <w:rFonts w:ascii="Calibri" w:cs="Calibri" w:eastAsia="Calibri" w:hAnsi="Calibri"/>
                <w:sz w:val="18"/>
                <w:szCs w:val="18"/>
                <w:color w:val="auto"/>
              </w:rPr>
              <w:t>Less: depreciaton on personal property</w:t>
            </w:r>
          </w:p>
        </w:tc>
        <w:tc>
          <w:tcPr>
            <w:tcW w:w="140" w:type="dxa"/>
            <w:vAlign w:val="bottom"/>
            <w:tcBorders>
              <w:bottom w:val="single" w:sz="8" w:color="F5F5F5"/>
            </w:tcBorders>
            <w:shd w:val="clear" w:color="auto" w:fill="F5F5F5"/>
          </w:tcPr>
          <w:p>
            <w:pPr>
              <w:spacing w:after="0"/>
              <w:rPr>
                <w:sz w:val="22"/>
                <w:szCs w:val="22"/>
                <w:color w:val="auto"/>
              </w:rPr>
            </w:pPr>
          </w:p>
        </w:tc>
        <w:tc>
          <w:tcPr>
            <w:tcW w:w="120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(1,437)</w:t>
            </w:r>
          </w:p>
        </w:tc>
        <w:tc>
          <w:tcPr>
            <w:tcW w:w="60" w:type="dxa"/>
            <w:vAlign w:val="bottom"/>
            <w:tcBorders>
              <w:bottom w:val="single" w:sz="8" w:color="F5F5F5"/>
            </w:tcBorders>
            <w:shd w:val="clear" w:color="auto" w:fill="F5F5F5"/>
          </w:tcPr>
          <w:p>
            <w:pPr>
              <w:spacing w:after="0"/>
              <w:rPr>
                <w:sz w:val="22"/>
                <w:szCs w:val="22"/>
                <w:color w:val="auto"/>
              </w:rPr>
            </w:pPr>
          </w:p>
        </w:tc>
        <w:tc>
          <w:tcPr>
            <w:tcW w:w="340" w:type="dxa"/>
            <w:vAlign w:val="bottom"/>
            <w:tcBorders>
              <w:bottom w:val="single" w:sz="8" w:color="F5F5F5"/>
            </w:tcBorders>
            <w:shd w:val="clear" w:color="auto" w:fill="F5F5F5"/>
          </w:tcPr>
          <w:p>
            <w:pPr>
              <w:spacing w:after="0"/>
              <w:rPr>
                <w:sz w:val="22"/>
                <w:szCs w:val="22"/>
                <w:color w:val="auto"/>
              </w:rPr>
            </w:pPr>
          </w:p>
        </w:tc>
        <w:tc>
          <w:tcPr>
            <w:tcW w:w="8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(2,340)</w:t>
            </w:r>
          </w:p>
        </w:tc>
        <w:tc>
          <w:tcPr>
            <w:tcW w:w="0" w:type="dxa"/>
            <w:vAlign w:val="bottom"/>
          </w:tcPr>
          <w:p>
            <w:pPr>
              <w:spacing w:after="0"/>
              <w:rPr>
                <w:sz w:val="1"/>
                <w:szCs w:val="1"/>
                <w:color w:val="auto"/>
              </w:rPr>
            </w:pPr>
          </w:p>
        </w:tc>
      </w:tr>
      <w:tr>
        <w:trPr>
          <w:trHeight w:val="213"/>
        </w:trPr>
        <w:tc>
          <w:tcPr>
            <w:tcW w:w="7220" w:type="dxa"/>
            <w:vAlign w:val="bottom"/>
          </w:tcPr>
          <w:p>
            <w:pPr>
              <w:ind w:left="60"/>
              <w:spacing w:after="0" w:line="195" w:lineRule="exact"/>
              <w:rPr>
                <w:sz w:val="20"/>
                <w:szCs w:val="20"/>
                <w:color w:val="auto"/>
              </w:rPr>
            </w:pPr>
            <w:r>
              <w:rPr>
                <w:rFonts w:ascii="Calibri" w:cs="Calibri" w:eastAsia="Calibri" w:hAnsi="Calibri"/>
                <w:sz w:val="18"/>
                <w:szCs w:val="18"/>
                <w:color w:val="auto"/>
              </w:rPr>
              <w:t>FFO atributable to common stockholders and unit holders - basic and diluted</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75,883</w:t>
            </w: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80,973</w:t>
            </w:r>
          </w:p>
        </w:tc>
        <w:tc>
          <w:tcPr>
            <w:tcW w:w="0" w:type="dxa"/>
            <w:vAlign w:val="bottom"/>
          </w:tcPr>
          <w:p>
            <w:pPr>
              <w:spacing w:after="0"/>
              <w:rPr>
                <w:sz w:val="1"/>
                <w:szCs w:val="1"/>
                <w:color w:val="auto"/>
              </w:rPr>
            </w:pPr>
          </w:p>
        </w:tc>
      </w:tr>
      <w:tr>
        <w:trPr>
          <w:trHeight w:val="24"/>
        </w:trPr>
        <w:tc>
          <w:tcPr>
            <w:tcW w:w="7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22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Adjustments:</w:t>
            </w:r>
          </w:p>
        </w:tc>
        <w:tc>
          <w:tcPr>
            <w:tcW w:w="140" w:type="dxa"/>
            <w:vAlign w:val="bottom"/>
            <w:tcBorders>
              <w:bottom w:val="single" w:sz="8" w:color="F5F5F5"/>
            </w:tcBorders>
            <w:shd w:val="clear" w:color="auto" w:fill="F5F5F5"/>
          </w:tcPr>
          <w:p>
            <w:pPr>
              <w:spacing w:after="0"/>
              <w:rPr>
                <w:sz w:val="20"/>
                <w:szCs w:val="20"/>
                <w:color w:val="auto"/>
              </w:rPr>
            </w:pPr>
          </w:p>
        </w:tc>
        <w:tc>
          <w:tcPr>
            <w:tcW w:w="1200" w:type="dxa"/>
            <w:vAlign w:val="bottom"/>
            <w:tcBorders>
              <w:bottom w:val="single" w:sz="8" w:color="F5F5F5"/>
            </w:tcBorders>
            <w:shd w:val="clear" w:color="auto" w:fill="F5F5F5"/>
          </w:tcPr>
          <w:p>
            <w:pPr>
              <w:spacing w:after="0"/>
              <w:rPr>
                <w:sz w:val="20"/>
                <w:szCs w:val="20"/>
                <w:color w:val="auto"/>
              </w:rPr>
            </w:pPr>
          </w:p>
        </w:tc>
        <w:tc>
          <w:tcPr>
            <w:tcW w:w="60" w:type="dxa"/>
            <w:vAlign w:val="bottom"/>
            <w:tcBorders>
              <w:bottom w:val="single" w:sz="8" w:color="F5F5F5"/>
            </w:tcBorders>
            <w:shd w:val="clear" w:color="auto" w:fill="F5F5F5"/>
          </w:tcPr>
          <w:p>
            <w:pPr>
              <w:spacing w:after="0"/>
              <w:rPr>
                <w:sz w:val="20"/>
                <w:szCs w:val="20"/>
                <w:color w:val="auto"/>
              </w:rPr>
            </w:pPr>
          </w:p>
        </w:tc>
        <w:tc>
          <w:tcPr>
            <w:tcW w:w="34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20" w:type="dxa"/>
            <w:vAlign w:val="bottom"/>
          </w:tcPr>
          <w:p>
            <w:pPr>
              <w:ind w:left="260"/>
              <w:spacing w:after="0" w:line="215" w:lineRule="exact"/>
              <w:rPr>
                <w:sz w:val="20"/>
                <w:szCs w:val="20"/>
                <w:color w:val="auto"/>
              </w:rPr>
            </w:pPr>
            <w:r>
              <w:rPr>
                <w:rFonts w:ascii="Calibri" w:cs="Calibri" w:eastAsia="Calibri" w:hAnsi="Calibri"/>
                <w:sz w:val="18"/>
                <w:szCs w:val="18"/>
                <w:color w:val="auto"/>
              </w:rPr>
              <w:t>Default interest expense</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4,128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3,000</w:t>
            </w:r>
          </w:p>
        </w:tc>
        <w:tc>
          <w:tcPr>
            <w:tcW w:w="0" w:type="dxa"/>
            <w:vAlign w:val="bottom"/>
          </w:tcPr>
          <w:p>
            <w:pPr>
              <w:spacing w:after="0"/>
              <w:rPr>
                <w:sz w:val="1"/>
                <w:szCs w:val="1"/>
                <w:color w:val="auto"/>
              </w:rPr>
            </w:pPr>
          </w:p>
        </w:tc>
      </w:tr>
      <w:tr>
        <w:trPr>
          <w:trHeight w:val="24"/>
        </w:trPr>
        <w:tc>
          <w:tcPr>
            <w:tcW w:w="7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20" w:type="dxa"/>
            <w:vAlign w:val="bottom"/>
            <w:tcBorders>
              <w:bottom w:val="single" w:sz="8" w:color="F5F5F5"/>
            </w:tcBorders>
            <w:shd w:val="clear" w:color="auto" w:fill="F5F5F5"/>
          </w:tcPr>
          <w:p>
            <w:pPr>
              <w:ind w:left="260"/>
              <w:spacing w:after="0" w:line="215" w:lineRule="exact"/>
              <w:rPr>
                <w:sz w:val="20"/>
                <w:szCs w:val="20"/>
                <w:color w:val="auto"/>
              </w:rPr>
            </w:pPr>
            <w:r>
              <w:rPr>
                <w:rFonts w:ascii="Calibri" w:cs="Calibri" w:eastAsia="Calibri" w:hAnsi="Calibri"/>
                <w:sz w:val="18"/>
                <w:szCs w:val="18"/>
                <w:color w:val="auto"/>
              </w:rPr>
              <w:t>Loss on non-real estate investments</w:t>
            </w:r>
          </w:p>
        </w:tc>
        <w:tc>
          <w:tcPr>
            <w:tcW w:w="140" w:type="dxa"/>
            <w:vAlign w:val="bottom"/>
            <w:tcBorders>
              <w:bottom w:val="single" w:sz="8" w:color="F5F5F5"/>
            </w:tcBorders>
            <w:shd w:val="clear" w:color="auto" w:fill="F5F5F5"/>
          </w:tcPr>
          <w:p>
            <w:pPr>
              <w:spacing w:after="0"/>
              <w:rPr>
                <w:sz w:val="20"/>
                <w:szCs w:val="20"/>
                <w:color w:val="auto"/>
              </w:rPr>
            </w:pPr>
          </w:p>
        </w:tc>
        <w:tc>
          <w:tcPr>
            <w:tcW w:w="120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7,019</w:t>
            </w:r>
          </w:p>
        </w:tc>
        <w:tc>
          <w:tcPr>
            <w:tcW w:w="60" w:type="dxa"/>
            <w:vAlign w:val="bottom"/>
            <w:tcBorders>
              <w:bottom w:val="single" w:sz="8" w:color="F5F5F5"/>
            </w:tcBorders>
            <w:shd w:val="clear" w:color="auto" w:fill="F5F5F5"/>
          </w:tcPr>
          <w:p>
            <w:pPr>
              <w:spacing w:after="0"/>
              <w:rPr>
                <w:sz w:val="20"/>
                <w:szCs w:val="20"/>
                <w:color w:val="auto"/>
              </w:rPr>
            </w:pPr>
          </w:p>
        </w:tc>
        <w:tc>
          <w:tcPr>
            <w:tcW w:w="34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3,399</w:t>
            </w:r>
          </w:p>
        </w:tc>
        <w:tc>
          <w:tcPr>
            <w:tcW w:w="0" w:type="dxa"/>
            <w:vAlign w:val="bottom"/>
          </w:tcPr>
          <w:p>
            <w:pPr>
              <w:spacing w:after="0"/>
              <w:rPr>
                <w:sz w:val="1"/>
                <w:szCs w:val="1"/>
                <w:color w:val="auto"/>
              </w:rPr>
            </w:pPr>
          </w:p>
        </w:tc>
      </w:tr>
      <w:tr>
        <w:trPr>
          <w:trHeight w:val="233"/>
        </w:trPr>
        <w:tc>
          <w:tcPr>
            <w:tcW w:w="7220" w:type="dxa"/>
            <w:vAlign w:val="bottom"/>
          </w:tcPr>
          <w:p>
            <w:pPr>
              <w:ind w:left="260"/>
              <w:spacing w:after="0" w:line="215" w:lineRule="exact"/>
              <w:rPr>
                <w:sz w:val="20"/>
                <w:szCs w:val="20"/>
                <w:color w:val="auto"/>
              </w:rPr>
            </w:pPr>
            <w:r>
              <w:rPr>
                <w:rFonts w:ascii="Calibri" w:cs="Calibri" w:eastAsia="Calibri" w:hAnsi="Calibri"/>
                <w:sz w:val="18"/>
                <w:szCs w:val="18"/>
                <w:color w:val="auto"/>
              </w:rPr>
              <w:t>Property in receivership</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5,353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2,392</w:t>
            </w:r>
          </w:p>
        </w:tc>
        <w:tc>
          <w:tcPr>
            <w:tcW w:w="0" w:type="dxa"/>
            <w:vAlign w:val="bottom"/>
          </w:tcPr>
          <w:p>
            <w:pPr>
              <w:spacing w:after="0"/>
              <w:rPr>
                <w:sz w:val="1"/>
                <w:szCs w:val="1"/>
                <w:color w:val="auto"/>
              </w:rPr>
            </w:pPr>
          </w:p>
        </w:tc>
      </w:tr>
      <w:tr>
        <w:trPr>
          <w:trHeight w:val="24"/>
        </w:trPr>
        <w:tc>
          <w:tcPr>
            <w:tcW w:w="7220" w:type="dxa"/>
            <w:vAlign w:val="bottom"/>
            <w:tcBorders>
              <w:bottom w:val="single" w:sz="8" w:color="F5F5F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F5F5F5"/>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220" w:type="dxa"/>
            <w:vAlign w:val="bottom"/>
            <w:tcBorders>
              <w:bottom w:val="single" w:sz="8" w:color="F5F5F5"/>
            </w:tcBorders>
            <w:shd w:val="clear" w:color="auto" w:fill="F5F5F5"/>
          </w:tcPr>
          <w:p>
            <w:pPr>
              <w:ind w:left="140"/>
              <w:spacing w:after="0" w:line="195" w:lineRule="exact"/>
              <w:rPr>
                <w:sz w:val="20"/>
                <w:szCs w:val="20"/>
                <w:color w:val="auto"/>
              </w:rPr>
            </w:pPr>
            <w:r>
              <w:rPr>
                <w:rFonts w:ascii="Calibri" w:cs="Calibri" w:eastAsia="Calibri" w:hAnsi="Calibri"/>
                <w:sz w:val="18"/>
                <w:szCs w:val="18"/>
                <w:color w:val="auto"/>
              </w:rPr>
              <w:t>FFO atributable to common stockholders and unit holders, as adjusted- basic and diluted</w:t>
            </w:r>
          </w:p>
        </w:tc>
        <w:tc>
          <w:tcPr>
            <w:tcW w:w="14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92,383</w:t>
            </w:r>
          </w:p>
        </w:tc>
        <w:tc>
          <w:tcPr>
            <w:tcW w:w="60" w:type="dxa"/>
            <w:vAlign w:val="bottom"/>
            <w:tcBorders>
              <w:bottom w:val="single" w:sz="8" w:color="F5F5F5"/>
            </w:tcBorders>
            <w:shd w:val="clear" w:color="auto" w:fill="F5F5F5"/>
          </w:tcPr>
          <w:p>
            <w:pPr>
              <w:spacing w:after="0"/>
              <w:rPr>
                <w:sz w:val="19"/>
                <w:szCs w:val="19"/>
                <w:color w:val="auto"/>
              </w:rPr>
            </w:pPr>
          </w:p>
        </w:tc>
        <w:tc>
          <w:tcPr>
            <w:tcW w:w="340" w:type="dxa"/>
            <w:vAlign w:val="bottom"/>
            <w:tcBorders>
              <w:bottom w:val="single" w:sz="8" w:color="auto"/>
            </w:tcBorders>
            <w:shd w:val="clear" w:color="auto" w:fill="F5F5F5"/>
          </w:tcPr>
          <w:p>
            <w:pPr>
              <w:jc w:val="right"/>
              <w:ind w:right="110"/>
              <w:spacing w:after="0" w:line="209"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89,764</w:t>
            </w:r>
          </w:p>
        </w:tc>
        <w:tc>
          <w:tcPr>
            <w:tcW w:w="0" w:type="dxa"/>
            <w:vAlign w:val="bottom"/>
          </w:tcPr>
          <w:p>
            <w:pPr>
              <w:spacing w:after="0"/>
              <w:rPr>
                <w:sz w:val="1"/>
                <w:szCs w:val="1"/>
                <w:color w:val="auto"/>
              </w:rPr>
            </w:pPr>
          </w:p>
        </w:tc>
      </w:tr>
      <w:tr>
        <w:trPr>
          <w:trHeight w:val="20"/>
        </w:trPr>
        <w:tc>
          <w:tcPr>
            <w:tcW w:w="7220" w:type="dxa"/>
            <w:vAlign w:val="bottom"/>
            <w:tcBorders>
              <w:top w:val="single" w:sz="8" w:color="F5F5F5"/>
            </w:tcBorders>
          </w:tcPr>
          <w:p>
            <w:pPr>
              <w:spacing w:after="0" w:line="20" w:lineRule="exact"/>
              <w:rPr>
                <w:sz w:val="1"/>
                <w:szCs w:val="1"/>
                <w:color w:val="auto"/>
              </w:rPr>
            </w:pPr>
          </w:p>
        </w:tc>
        <w:tc>
          <w:tcPr>
            <w:tcW w:w="140" w:type="dxa"/>
            <w:vAlign w:val="bottom"/>
            <w:tcBorders>
              <w:top w:val="single" w:sz="8" w:color="F5F5F5"/>
              <w:bottom w:val="single" w:sz="8" w:color="auto"/>
            </w:tcBorders>
          </w:tcPr>
          <w:p>
            <w:pPr>
              <w:spacing w:after="0" w:line="20" w:lineRule="exact"/>
              <w:rPr>
                <w:sz w:val="1"/>
                <w:szCs w:val="1"/>
                <w:color w:val="auto"/>
              </w:rPr>
            </w:pPr>
          </w:p>
        </w:tc>
        <w:tc>
          <w:tcPr>
            <w:tcW w:w="1200" w:type="dxa"/>
            <w:vAlign w:val="bottom"/>
            <w:tcBorders>
              <w:top w:val="single" w:sz="8" w:color="F5F5F5"/>
              <w:bottom w:val="single" w:sz="8" w:color="auto"/>
            </w:tcBorders>
          </w:tcPr>
          <w:p>
            <w:pPr>
              <w:spacing w:after="0" w:line="20" w:lineRule="exact"/>
              <w:rPr>
                <w:sz w:val="1"/>
                <w:szCs w:val="1"/>
                <w:color w:val="auto"/>
              </w:rPr>
            </w:pPr>
          </w:p>
        </w:tc>
        <w:tc>
          <w:tcPr>
            <w:tcW w:w="60" w:type="dxa"/>
            <w:vAlign w:val="bottom"/>
            <w:tcBorders>
              <w:top w:val="single" w:sz="8" w:color="F5F5F5"/>
            </w:tcBorders>
          </w:tcPr>
          <w:p>
            <w:pPr>
              <w:spacing w:after="0" w:line="20" w:lineRule="exact"/>
              <w:rPr>
                <w:sz w:val="1"/>
                <w:szCs w:val="1"/>
                <w:color w:val="auto"/>
              </w:rPr>
            </w:pPr>
          </w:p>
        </w:tc>
        <w:tc>
          <w:tcPr>
            <w:tcW w:w="340" w:type="dxa"/>
            <w:vAlign w:val="bottom"/>
            <w:tcBorders>
              <w:top w:val="single" w:sz="8" w:color="F5F5F5"/>
              <w:bottom w:val="single" w:sz="8" w:color="auto"/>
            </w:tcBorders>
          </w:tcPr>
          <w:p>
            <w:pPr>
              <w:spacing w:after="0" w:line="20" w:lineRule="exact"/>
              <w:rPr>
                <w:sz w:val="1"/>
                <w:szCs w:val="1"/>
                <w:color w:val="auto"/>
              </w:rPr>
            </w:pPr>
          </w:p>
        </w:tc>
        <w:tc>
          <w:tcPr>
            <w:tcW w:w="880" w:type="dxa"/>
            <w:vAlign w:val="bottom"/>
            <w:tcBorders>
              <w:top w:val="single" w:sz="8" w:color="F5F5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007681"/>
        </w:rPr>
        <w:t>Reconciliaton of EPS to FFO per share—diluted (b):</w:t>
      </w:r>
    </w:p>
    <w:p>
      <w:pPr>
        <w:spacing w:after="0" w:line="305" w:lineRule="exact"/>
        <w:rPr>
          <w:sz w:val="20"/>
          <w:szCs w:val="20"/>
          <w:color w:val="auto"/>
        </w:rPr>
      </w:pPr>
    </w:p>
    <w:p>
      <w:pPr>
        <w:jc w:val="center"/>
        <w:ind w:left="7080"/>
        <w:spacing w:after="0"/>
        <w:rPr>
          <w:sz w:val="20"/>
          <w:szCs w:val="20"/>
          <w:color w:val="auto"/>
        </w:rPr>
      </w:pPr>
      <w:r>
        <w:rPr>
          <w:rFonts w:ascii="Calibri" w:cs="Calibri" w:eastAsia="Calibri" w:hAnsi="Calibri"/>
          <w:sz w:val="14"/>
          <w:szCs w:val="14"/>
          <w:b w:val="1"/>
          <w:bCs w:val="1"/>
          <w:color w:val="auto"/>
        </w:rPr>
        <w:t>Unaudited</w:t>
      </w:r>
    </w:p>
    <w:p>
      <w:pPr>
        <w:spacing w:after="0" w:line="59" w:lineRule="exact"/>
        <w:rPr>
          <w:sz w:val="20"/>
          <w:szCs w:val="20"/>
          <w:color w:val="auto"/>
        </w:rPr>
      </w:pPr>
    </w:p>
    <w:p>
      <w:pPr>
        <w:ind w:left="7720"/>
        <w:spacing w:after="0"/>
        <w:tabs>
          <w:tab w:leader="none" w:pos="9080" w:val="left"/>
        </w:tabs>
        <w:rPr>
          <w:sz w:val="20"/>
          <w:szCs w:val="20"/>
          <w:color w:val="auto"/>
        </w:rPr>
      </w:pPr>
      <w:r>
        <w:rPr>
          <w:rFonts w:ascii="Calibri" w:cs="Calibri" w:eastAsia="Calibri" w:hAnsi="Calibri"/>
          <w:sz w:val="14"/>
          <w:szCs w:val="14"/>
          <w:b w:val="1"/>
          <w:bCs w:val="1"/>
          <w:color w:val="auto"/>
        </w:rPr>
        <w:t>2026</w:t>
      </w:r>
      <w:r>
        <w:rPr>
          <w:sz w:val="20"/>
          <w:szCs w:val="20"/>
          <w:color w:val="auto"/>
        </w:rPr>
        <w:tab/>
      </w:r>
      <w:r>
        <w:rPr>
          <w:rFonts w:ascii="Calibri" w:cs="Calibri" w:eastAsia="Calibri" w:hAnsi="Calibri"/>
          <w:sz w:val="14"/>
          <w:szCs w:val="14"/>
          <w:b w:val="1"/>
          <w:bCs w:val="1"/>
          <w:color w:val="auto"/>
        </w:rPr>
        <w:t>2025</w:t>
      </w:r>
    </w:p>
    <w:p>
      <w:pPr>
        <w:sectPr>
          <w:pgSz w:w="11900" w:h="16838" w:orient="portrait"/>
          <w:cols w:equalWidth="0" w:num="1">
            <w:col w:w="9840"/>
          </w:cols>
          <w:pgMar w:left="920" w:top="1440" w:right="1139" w:bottom="0" w:gutter="0" w:footer="0" w:header="0"/>
        </w:sectPr>
      </w:pPr>
    </w:p>
    <w:bookmarkStart w:id="11" w:name="page12"/>
    <w:bookmarkEnd w:id="1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40" w:type="dxa"/>
            <w:vAlign w:val="bottom"/>
          </w:tcPr>
          <w:p>
            <w:pPr>
              <w:ind w:left="60"/>
              <w:spacing w:after="0"/>
              <w:rPr>
                <w:sz w:val="20"/>
                <w:szCs w:val="20"/>
                <w:color w:val="auto"/>
              </w:rPr>
            </w:pPr>
            <w:r>
              <w:rPr>
                <w:rFonts w:ascii="Calibri" w:cs="Calibri" w:eastAsia="Calibri" w:hAnsi="Calibri"/>
                <w:sz w:val="18"/>
                <w:szCs w:val="18"/>
                <w:color w:val="auto"/>
              </w:rPr>
              <w:t>EPS - diluted</w:t>
            </w:r>
          </w:p>
        </w:tc>
        <w:tc>
          <w:tcPr>
            <w:tcW w:w="16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rPr>
                <w:sz w:val="20"/>
                <w:szCs w:val="20"/>
                <w:color w:val="auto"/>
              </w:rPr>
            </w:pPr>
            <w:r>
              <w:rPr>
                <w:rFonts w:ascii="Calibri" w:cs="Calibri" w:eastAsia="Calibri" w:hAnsi="Calibri"/>
                <w:sz w:val="18"/>
                <w:szCs w:val="18"/>
                <w:color w:val="auto"/>
              </w:rPr>
              <w:t>(0.14)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(0.20)</w:t>
            </w:r>
          </w:p>
        </w:tc>
        <w:tc>
          <w:tcPr>
            <w:tcW w:w="0" w:type="dxa"/>
            <w:vAlign w:val="bottom"/>
          </w:tcPr>
          <w:p>
            <w:pPr>
              <w:spacing w:after="0"/>
              <w:rPr>
                <w:sz w:val="1"/>
                <w:szCs w:val="1"/>
                <w:color w:val="auto"/>
              </w:rPr>
            </w:pPr>
          </w:p>
        </w:tc>
      </w:tr>
      <w:tr>
        <w:trPr>
          <w:trHeight w:val="122"/>
        </w:trPr>
        <w:tc>
          <w:tcPr>
            <w:tcW w:w="7140" w:type="dxa"/>
            <w:vAlign w:val="bottom"/>
            <w:vMerge w:val="restart"/>
          </w:tcPr>
          <w:p>
            <w:pPr>
              <w:ind w:left="180"/>
              <w:spacing w:after="0"/>
              <w:rPr>
                <w:sz w:val="20"/>
                <w:szCs w:val="20"/>
                <w:color w:val="auto"/>
              </w:rPr>
            </w:pPr>
            <w:r>
              <w:rPr>
                <w:rFonts w:ascii="Calibri" w:cs="Calibri" w:eastAsia="Calibri" w:hAnsi="Calibri"/>
                <w:sz w:val="18"/>
                <w:szCs w:val="18"/>
                <w:color w:val="auto"/>
              </w:rPr>
              <w:t>Per share impact of depreciaton and amortzaton of real estate</w:t>
            </w:r>
          </w:p>
        </w:tc>
        <w:tc>
          <w:tcPr>
            <w:tcW w:w="160" w:type="dxa"/>
            <w:vAlign w:val="bottom"/>
            <w:tcBorders>
              <w:bottom w:val="single" w:sz="8" w:color="auto"/>
            </w:tcBorders>
            <w:vMerge w:val="continue"/>
          </w:tcPr>
          <w:p>
            <w:pPr>
              <w:spacing w:after="0"/>
              <w:rPr>
                <w:sz w:val="10"/>
                <w:szCs w:val="10"/>
                <w:color w:val="auto"/>
              </w:rPr>
            </w:pPr>
          </w:p>
        </w:tc>
        <w:tc>
          <w:tcPr>
            <w:tcW w:w="1340" w:type="dxa"/>
            <w:vAlign w:val="bottom"/>
            <w:tcBorders>
              <w:bottom w:val="single" w:sz="8" w:color="auto"/>
            </w:tcBorders>
            <w:gridSpan w:val="3"/>
          </w:tcPr>
          <w:p>
            <w:pPr>
              <w:jc w:val="right"/>
              <w:spacing w:after="0" w:line="122" w:lineRule="exact"/>
              <w:rPr>
                <w:sz w:val="20"/>
                <w:szCs w:val="20"/>
                <w:color w:val="auto"/>
              </w:rPr>
            </w:pPr>
            <w:r>
              <w:rPr>
                <w:rFonts w:ascii="Calibri" w:cs="Calibri" w:eastAsia="Calibri" w:hAnsi="Calibri"/>
                <w:sz w:val="9"/>
                <w:szCs w:val="9"/>
                <w:b w:val="1"/>
                <w:bCs w:val="1"/>
                <w:color w:val="auto"/>
              </w:rPr>
              <w:t>For the Three Months</w:t>
            </w:r>
            <w:r>
              <w:rPr>
                <w:rFonts w:ascii="Calibri" w:cs="Calibri" w:eastAsia="Calibri" w:hAnsi="Calibri"/>
                <w:sz w:val="13"/>
                <w:szCs w:val="13"/>
                <w:color w:val="auto"/>
                <w:vertAlign w:val="superscript"/>
              </w:rPr>
              <w:t>$</w:t>
            </w:r>
          </w:p>
        </w:tc>
        <w:tc>
          <w:tcPr>
            <w:tcW w:w="1200" w:type="dxa"/>
            <w:vAlign w:val="bottom"/>
            <w:tcBorders>
              <w:bottom w:val="single" w:sz="8" w:color="auto"/>
            </w:tcBorders>
          </w:tcPr>
          <w:p>
            <w:pPr>
              <w:jc w:val="right"/>
              <w:ind w:right="93"/>
              <w:spacing w:after="0" w:line="122" w:lineRule="exact"/>
              <w:rPr>
                <w:sz w:val="20"/>
                <w:szCs w:val="20"/>
                <w:color w:val="auto"/>
              </w:rPr>
            </w:pPr>
            <w:r>
              <w:rPr>
                <w:rFonts w:ascii="Calibri" w:cs="Calibri" w:eastAsia="Calibri" w:hAnsi="Calibri"/>
                <w:sz w:val="13"/>
                <w:szCs w:val="13"/>
                <w:b w:val="1"/>
                <w:bCs w:val="1"/>
                <w:color w:val="auto"/>
              </w:rPr>
              <w:t>Ended March 31,</w:t>
            </w:r>
          </w:p>
        </w:tc>
        <w:tc>
          <w:tcPr>
            <w:tcW w:w="0" w:type="dxa"/>
            <w:vAlign w:val="bottom"/>
          </w:tcPr>
          <w:p>
            <w:pPr>
              <w:spacing w:after="0"/>
              <w:rPr>
                <w:sz w:val="1"/>
                <w:szCs w:val="1"/>
                <w:color w:val="auto"/>
              </w:rPr>
            </w:pPr>
          </w:p>
        </w:tc>
      </w:tr>
      <w:tr>
        <w:trPr>
          <w:trHeight w:val="208"/>
        </w:trPr>
        <w:tc>
          <w:tcPr>
            <w:tcW w:w="71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0.41</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0.45</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F5F5F5"/>
            </w:tcBorders>
          </w:tcPr>
          <w:p>
            <w:pPr>
              <w:ind w:left="180"/>
              <w:spacing w:after="0" w:line="195" w:lineRule="exact"/>
              <w:rPr>
                <w:sz w:val="20"/>
                <w:szCs w:val="20"/>
                <w:color w:val="auto"/>
              </w:rPr>
            </w:pPr>
            <w:r>
              <w:rPr>
                <w:rFonts w:ascii="Calibri" w:cs="Calibri" w:eastAsia="Calibri" w:hAnsi="Calibri"/>
                <w:sz w:val="18"/>
                <w:szCs w:val="18"/>
                <w:color w:val="auto"/>
              </w:rPr>
              <w:t>Per share impact of loss on sale or write down of assets, net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0.01</w:t>
            </w:r>
          </w:p>
        </w:tc>
        <w:tc>
          <w:tcPr>
            <w:tcW w:w="60" w:type="dxa"/>
            <w:vAlign w:val="bottom"/>
            <w:tcBorders>
              <w:bottom w:val="single" w:sz="8" w:color="F5F5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0.06</w:t>
            </w:r>
          </w:p>
        </w:tc>
        <w:tc>
          <w:tcPr>
            <w:tcW w:w="0" w:type="dxa"/>
            <w:vAlign w:val="bottom"/>
          </w:tcPr>
          <w:p>
            <w:pPr>
              <w:spacing w:after="0"/>
              <w:rPr>
                <w:sz w:val="1"/>
                <w:szCs w:val="1"/>
                <w:color w:val="auto"/>
              </w:rPr>
            </w:pPr>
          </w:p>
        </w:tc>
      </w:tr>
      <w:tr>
        <w:trPr>
          <w:trHeight w:val="237"/>
        </w:trPr>
        <w:tc>
          <w:tcPr>
            <w:tcW w:w="7140" w:type="dxa"/>
            <w:vAlign w:val="bottom"/>
            <w:shd w:val="clear" w:color="auto" w:fill="F5F5F5"/>
          </w:tcPr>
          <w:p>
            <w:pPr>
              <w:ind w:left="60"/>
              <w:spacing w:after="0"/>
              <w:rPr>
                <w:sz w:val="20"/>
                <w:szCs w:val="20"/>
                <w:color w:val="auto"/>
              </w:rPr>
            </w:pPr>
            <w:r>
              <w:rPr>
                <w:rFonts w:ascii="Calibri" w:cs="Calibri" w:eastAsia="Calibri" w:hAnsi="Calibri"/>
                <w:sz w:val="18"/>
                <w:szCs w:val="18"/>
                <w:color w:val="auto"/>
              </w:rPr>
              <w:t>FFO per share - basic and diluted</w:t>
            </w:r>
          </w:p>
        </w:tc>
        <w:tc>
          <w:tcPr>
            <w:tcW w:w="160" w:type="dxa"/>
            <w:vAlign w:val="bottom"/>
            <w:shd w:val="clear" w:color="auto" w:fill="F5F5F5"/>
          </w:tcPr>
          <w:p>
            <w:pPr>
              <w:spacing w:after="0"/>
              <w:rPr>
                <w:sz w:val="20"/>
                <w:szCs w:val="20"/>
                <w:color w:val="auto"/>
              </w:rPr>
            </w:pPr>
          </w:p>
        </w:tc>
        <w:tc>
          <w:tcPr>
            <w:tcW w:w="1140" w:type="dxa"/>
            <w:vAlign w:val="bottom"/>
            <w:shd w:val="clear" w:color="auto" w:fill="F5F5F5"/>
          </w:tcPr>
          <w:p>
            <w:pPr>
              <w:jc w:val="right"/>
              <w:spacing w:after="0"/>
              <w:rPr>
                <w:sz w:val="20"/>
                <w:szCs w:val="20"/>
                <w:color w:val="auto"/>
              </w:rPr>
            </w:pPr>
            <w:r>
              <w:rPr>
                <w:rFonts w:ascii="Calibri" w:cs="Calibri" w:eastAsia="Calibri" w:hAnsi="Calibri"/>
                <w:sz w:val="18"/>
                <w:szCs w:val="18"/>
                <w:color w:val="auto"/>
              </w:rPr>
              <w:t>0.28</w:t>
            </w:r>
          </w:p>
        </w:tc>
        <w:tc>
          <w:tcPr>
            <w:tcW w:w="60" w:type="dxa"/>
            <w:vAlign w:val="bottom"/>
            <w:shd w:val="clear" w:color="auto" w:fill="F5F5F5"/>
          </w:tcPr>
          <w:p>
            <w:pPr>
              <w:spacing w:after="0"/>
              <w:rPr>
                <w:sz w:val="20"/>
                <w:szCs w:val="20"/>
                <w:color w:val="auto"/>
              </w:rPr>
            </w:pPr>
          </w:p>
        </w:tc>
        <w:tc>
          <w:tcPr>
            <w:tcW w:w="140" w:type="dxa"/>
            <w:vAlign w:val="bottom"/>
            <w:shd w:val="clear" w:color="auto" w:fill="F5F5F5"/>
          </w:tcPr>
          <w:p>
            <w:pPr>
              <w:spacing w:after="0"/>
              <w:rPr>
                <w:sz w:val="20"/>
                <w:szCs w:val="20"/>
                <w:color w:val="auto"/>
              </w:rPr>
            </w:pPr>
          </w:p>
        </w:tc>
        <w:tc>
          <w:tcPr>
            <w:tcW w:w="1200" w:type="dxa"/>
            <w:vAlign w:val="bottom"/>
            <w:shd w:val="clear" w:color="auto" w:fill="F5F5F5"/>
          </w:tcPr>
          <w:p>
            <w:pPr>
              <w:jc w:val="right"/>
              <w:spacing w:after="0"/>
              <w:rPr>
                <w:sz w:val="20"/>
                <w:szCs w:val="20"/>
                <w:color w:val="auto"/>
              </w:rPr>
            </w:pPr>
            <w:r>
              <w:rPr>
                <w:rFonts w:ascii="Calibri" w:cs="Calibri" w:eastAsia="Calibri" w:hAnsi="Calibri"/>
                <w:sz w:val="18"/>
                <w:szCs w:val="18"/>
                <w:color w:val="auto"/>
              </w:rPr>
              <w:t>0.31</w:t>
            </w:r>
          </w:p>
        </w:tc>
        <w:tc>
          <w:tcPr>
            <w:tcW w:w="0" w:type="dxa"/>
            <w:vAlign w:val="bottom"/>
          </w:tcPr>
          <w:p>
            <w:pPr>
              <w:spacing w:after="0"/>
              <w:rPr>
                <w:sz w:val="1"/>
                <w:szCs w:val="1"/>
                <w:color w:val="auto"/>
              </w:rPr>
            </w:pPr>
          </w:p>
        </w:tc>
      </w:tr>
      <w:tr>
        <w:trPr>
          <w:trHeight w:val="256"/>
        </w:trPr>
        <w:tc>
          <w:tcPr>
            <w:tcW w:w="7140" w:type="dxa"/>
            <w:vAlign w:val="bottom"/>
          </w:tcPr>
          <w:p>
            <w:pPr>
              <w:ind w:left="60"/>
              <w:spacing w:after="0"/>
              <w:rPr>
                <w:sz w:val="20"/>
                <w:szCs w:val="20"/>
                <w:color w:val="auto"/>
              </w:rPr>
            </w:pPr>
            <w:r>
              <w:rPr>
                <w:rFonts w:ascii="Calibri" w:cs="Calibri" w:eastAsia="Calibri" w:hAnsi="Calibri"/>
                <w:sz w:val="18"/>
                <w:szCs w:val="18"/>
                <w:color w:val="auto"/>
              </w:rPr>
              <w:t>Adjustments: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40" w:type="dxa"/>
            <w:vAlign w:val="bottom"/>
            <w:shd w:val="clear" w:color="auto" w:fill="F5F5F5"/>
          </w:tcPr>
          <w:p>
            <w:pPr>
              <w:ind w:left="180"/>
              <w:spacing w:after="0"/>
              <w:rPr>
                <w:sz w:val="20"/>
                <w:szCs w:val="20"/>
                <w:color w:val="auto"/>
              </w:rPr>
            </w:pPr>
            <w:r>
              <w:rPr>
                <w:rFonts w:ascii="Calibri" w:cs="Calibri" w:eastAsia="Calibri" w:hAnsi="Calibri"/>
                <w:sz w:val="18"/>
                <w:szCs w:val="18"/>
                <w:color w:val="auto"/>
              </w:rPr>
              <w:t>Per share impact of default interest expense</w:t>
            </w:r>
          </w:p>
        </w:tc>
        <w:tc>
          <w:tcPr>
            <w:tcW w:w="160" w:type="dxa"/>
            <w:vAlign w:val="bottom"/>
            <w:tcBorders>
              <w:bottom w:val="single" w:sz="8" w:color="auto"/>
            </w:tcBorders>
            <w:shd w:val="clear" w:color="auto" w:fill="F5F5F5"/>
          </w:tcPr>
          <w:p>
            <w:pPr>
              <w:spacing w:after="0"/>
              <w:rPr>
                <w:sz w:val="22"/>
                <w:szCs w:val="22"/>
                <w:color w:val="auto"/>
              </w:rPr>
            </w:pPr>
          </w:p>
        </w:tc>
        <w:tc>
          <w:tcPr>
            <w:tcW w:w="1140" w:type="dxa"/>
            <w:vAlign w:val="bottom"/>
            <w:tcBorders>
              <w:bottom w:val="single" w:sz="8" w:color="auto"/>
            </w:tcBorders>
            <w:shd w:val="clear" w:color="auto" w:fill="F5F5F5"/>
          </w:tcPr>
          <w:p>
            <w:pPr>
              <w:jc w:val="right"/>
              <w:spacing w:after="0"/>
              <w:rPr>
                <w:sz w:val="20"/>
                <w:szCs w:val="20"/>
                <w:color w:val="auto"/>
              </w:rPr>
            </w:pPr>
            <w:r>
              <w:rPr>
                <w:rFonts w:ascii="Calibri" w:cs="Calibri" w:eastAsia="Calibri" w:hAnsi="Calibri"/>
                <w:sz w:val="18"/>
                <w:szCs w:val="18"/>
                <w:color w:val="auto"/>
              </w:rPr>
              <w:t>0.01</w:t>
            </w:r>
          </w:p>
        </w:tc>
        <w:tc>
          <w:tcPr>
            <w:tcW w:w="60" w:type="dxa"/>
            <w:vAlign w:val="bottom"/>
            <w:shd w:val="clear" w:color="auto" w:fill="F5F5F5"/>
          </w:tcPr>
          <w:p>
            <w:pPr>
              <w:spacing w:after="0"/>
              <w:rPr>
                <w:sz w:val="22"/>
                <w:szCs w:val="22"/>
                <w:color w:val="auto"/>
              </w:rPr>
            </w:pPr>
          </w:p>
        </w:tc>
        <w:tc>
          <w:tcPr>
            <w:tcW w:w="140" w:type="dxa"/>
            <w:vAlign w:val="bottom"/>
            <w:tcBorders>
              <w:bottom w:val="single" w:sz="8" w:color="auto"/>
            </w:tcBorders>
            <w:shd w:val="clear" w:color="auto" w:fill="F5F5F5"/>
          </w:tcPr>
          <w:p>
            <w:pPr>
              <w:spacing w:after="0"/>
              <w:rPr>
                <w:sz w:val="22"/>
                <w:szCs w:val="22"/>
                <w:color w:val="auto"/>
              </w:rPr>
            </w:pPr>
          </w:p>
        </w:tc>
        <w:tc>
          <w:tcPr>
            <w:tcW w:w="1200" w:type="dxa"/>
            <w:vAlign w:val="bottom"/>
            <w:tcBorders>
              <w:bottom w:val="single" w:sz="8" w:color="auto"/>
            </w:tcBorders>
            <w:shd w:val="clear" w:color="auto" w:fill="F5F5F5"/>
          </w:tcPr>
          <w:p>
            <w:pPr>
              <w:jc w:val="right"/>
              <w:spacing w:after="0"/>
              <w:rPr>
                <w:sz w:val="20"/>
                <w:szCs w:val="20"/>
                <w:color w:val="auto"/>
              </w:rPr>
            </w:pPr>
            <w:r>
              <w:rPr>
                <w:rFonts w:ascii="Calibri" w:cs="Calibri" w:eastAsia="Calibri" w:hAnsi="Calibri"/>
                <w:sz w:val="18"/>
                <w:szCs w:val="18"/>
                <w:color w:val="auto"/>
              </w:rPr>
              <w:t>0.01</w:t>
            </w:r>
          </w:p>
        </w:tc>
        <w:tc>
          <w:tcPr>
            <w:tcW w:w="0" w:type="dxa"/>
            <w:vAlign w:val="bottom"/>
          </w:tcPr>
          <w:p>
            <w:pPr>
              <w:spacing w:after="0"/>
              <w:rPr>
                <w:sz w:val="1"/>
                <w:szCs w:val="1"/>
                <w:color w:val="auto"/>
              </w:rPr>
            </w:pPr>
          </w:p>
        </w:tc>
      </w:tr>
      <w:tr>
        <w:trPr>
          <w:trHeight w:val="267"/>
        </w:trPr>
        <w:tc>
          <w:tcPr>
            <w:tcW w:w="7140" w:type="dxa"/>
            <w:vAlign w:val="bottom"/>
          </w:tcPr>
          <w:p>
            <w:pPr>
              <w:ind w:left="180"/>
              <w:spacing w:after="0"/>
              <w:rPr>
                <w:sz w:val="20"/>
                <w:szCs w:val="20"/>
                <w:color w:val="auto"/>
              </w:rPr>
            </w:pPr>
            <w:r>
              <w:rPr>
                <w:rFonts w:ascii="Calibri" w:cs="Calibri" w:eastAsia="Calibri" w:hAnsi="Calibri"/>
                <w:sz w:val="18"/>
                <w:szCs w:val="18"/>
                <w:color w:val="auto"/>
              </w:rPr>
              <w:t>Per share impact of loss on non-real estate investments</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0.03</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auto"/>
              </w:rPr>
              <w:t>0.01</w:t>
            </w: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tcBorders>
              <w:bottom w:val="single" w:sz="8" w:color="F5F5F5"/>
            </w:tcBorders>
            <w:shd w:val="clear" w:color="auto" w:fill="F5F5F5"/>
          </w:tcPr>
          <w:p>
            <w:pPr>
              <w:ind w:left="180"/>
              <w:spacing w:after="0" w:line="215" w:lineRule="exact"/>
              <w:rPr>
                <w:sz w:val="20"/>
                <w:szCs w:val="20"/>
                <w:color w:val="auto"/>
              </w:rPr>
            </w:pPr>
            <w:r>
              <w:rPr>
                <w:rFonts w:ascii="Calibri" w:cs="Calibri" w:eastAsia="Calibri" w:hAnsi="Calibri"/>
                <w:sz w:val="18"/>
                <w:szCs w:val="18"/>
                <w:color w:val="auto"/>
              </w:rPr>
              <w:t>Per share impact of property in receivership</w:t>
            </w:r>
          </w:p>
        </w:tc>
        <w:tc>
          <w:tcPr>
            <w:tcW w:w="160" w:type="dxa"/>
            <w:vAlign w:val="bottom"/>
            <w:tcBorders>
              <w:bottom w:val="single" w:sz="8" w:color="F5F5F5"/>
            </w:tcBorders>
            <w:shd w:val="clear" w:color="auto" w:fill="F5F5F5"/>
          </w:tcPr>
          <w:p>
            <w:pPr>
              <w:spacing w:after="0"/>
              <w:rPr>
                <w:sz w:val="20"/>
                <w:szCs w:val="20"/>
                <w:color w:val="auto"/>
              </w:rPr>
            </w:pPr>
          </w:p>
        </w:tc>
        <w:tc>
          <w:tcPr>
            <w:tcW w:w="11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0.02</w:t>
            </w:r>
          </w:p>
        </w:tc>
        <w:tc>
          <w:tcPr>
            <w:tcW w:w="60" w:type="dxa"/>
            <w:vAlign w:val="bottom"/>
            <w:tcBorders>
              <w:bottom w:val="single" w:sz="8" w:color="F5F5F5"/>
            </w:tcBorders>
            <w:shd w:val="clear" w:color="auto" w:fill="F5F5F5"/>
          </w:tcPr>
          <w:p>
            <w:pPr>
              <w:spacing w:after="0"/>
              <w:rPr>
                <w:sz w:val="20"/>
                <w:szCs w:val="20"/>
                <w:color w:val="auto"/>
              </w:rPr>
            </w:pPr>
          </w:p>
        </w:tc>
        <w:tc>
          <w:tcPr>
            <w:tcW w:w="140" w:type="dxa"/>
            <w:vAlign w:val="bottom"/>
            <w:tcBorders>
              <w:bottom w:val="single" w:sz="8" w:color="F5F5F5"/>
            </w:tcBorders>
            <w:shd w:val="clear" w:color="auto" w:fill="F5F5F5"/>
          </w:tcPr>
          <w:p>
            <w:pPr>
              <w:spacing w:after="0"/>
              <w:rPr>
                <w:sz w:val="20"/>
                <w:szCs w:val="20"/>
                <w:color w:val="auto"/>
              </w:rPr>
            </w:pPr>
          </w:p>
        </w:tc>
        <w:tc>
          <w:tcPr>
            <w:tcW w:w="120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0.01</w:t>
            </w:r>
          </w:p>
        </w:tc>
        <w:tc>
          <w:tcPr>
            <w:tcW w:w="0" w:type="dxa"/>
            <w:vAlign w:val="bottom"/>
          </w:tcPr>
          <w:p>
            <w:pPr>
              <w:spacing w:after="0"/>
              <w:rPr>
                <w:sz w:val="1"/>
                <w:szCs w:val="1"/>
                <w:color w:val="auto"/>
              </w:rPr>
            </w:pPr>
          </w:p>
        </w:tc>
      </w:tr>
      <w:tr>
        <w:trPr>
          <w:trHeight w:val="233"/>
        </w:trPr>
        <w:tc>
          <w:tcPr>
            <w:tcW w:w="7140" w:type="dxa"/>
            <w:vAlign w:val="bottom"/>
          </w:tcPr>
          <w:p>
            <w:pPr>
              <w:ind w:left="60"/>
              <w:spacing w:after="0" w:line="215" w:lineRule="exact"/>
              <w:rPr>
                <w:sz w:val="20"/>
                <w:szCs w:val="20"/>
                <w:color w:val="auto"/>
              </w:rPr>
            </w:pPr>
            <w:r>
              <w:rPr>
                <w:rFonts w:ascii="Calibri" w:cs="Calibri" w:eastAsia="Calibri" w:hAnsi="Calibri"/>
                <w:sz w:val="18"/>
                <w:szCs w:val="18"/>
                <w:color w:val="auto"/>
              </w:rPr>
              <w:t>FFO per share, as adjusted - basic and diluted</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rPr>
                <w:sz w:val="20"/>
                <w:szCs w:val="20"/>
                <w:color w:val="auto"/>
              </w:rPr>
            </w:pPr>
            <w:r>
              <w:rPr>
                <w:rFonts w:ascii="Calibri" w:cs="Calibri" w:eastAsia="Calibri" w:hAnsi="Calibri"/>
                <w:sz w:val="18"/>
                <w:szCs w:val="18"/>
                <w:color w:val="auto"/>
              </w:rPr>
              <w:t>0.34</w:t>
            </w: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rPr>
                <w:sz w:val="20"/>
                <w:szCs w:val="20"/>
                <w:color w:val="auto"/>
              </w:rPr>
            </w:pPr>
            <w:r>
              <w:rPr>
                <w:rFonts w:ascii="Calibri" w:cs="Calibri" w:eastAsia="Calibri" w:hAnsi="Calibri"/>
                <w:sz w:val="18"/>
                <w:szCs w:val="18"/>
                <w:color w:val="auto"/>
              </w:rPr>
              <w:t>0.34</w:t>
            </w: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140" w:type="dxa"/>
            <w:vAlign w:val="bottom"/>
          </w:tcPr>
          <w:p>
            <w:pPr>
              <w:spacing w:after="0"/>
              <w:rPr>
                <w:sz w:val="22"/>
                <w:szCs w:val="22"/>
                <w:color w:val="auto"/>
              </w:rPr>
            </w:pPr>
          </w:p>
        </w:tc>
        <w:tc>
          <w:tcPr>
            <w:tcW w:w="160" w:type="dxa"/>
            <w:vAlign w:val="bottom"/>
            <w:shd w:val="clear" w:color="auto" w:fill="F5F5F5"/>
          </w:tcPr>
          <w:p>
            <w:pPr>
              <w:spacing w:after="0"/>
              <w:rPr>
                <w:sz w:val="22"/>
                <w:szCs w:val="22"/>
                <w:color w:val="auto"/>
              </w:rPr>
            </w:pPr>
          </w:p>
        </w:tc>
        <w:tc>
          <w:tcPr>
            <w:tcW w:w="1140" w:type="dxa"/>
            <w:vAlign w:val="bottom"/>
            <w:shd w:val="clear" w:color="auto" w:fill="F5F5F5"/>
          </w:tcPr>
          <w:p>
            <w:pPr>
              <w:spacing w:after="0"/>
              <w:rPr>
                <w:sz w:val="22"/>
                <w:szCs w:val="22"/>
                <w:color w:val="auto"/>
              </w:rPr>
            </w:pPr>
          </w:p>
        </w:tc>
        <w:tc>
          <w:tcPr>
            <w:tcW w:w="60" w:type="dxa"/>
            <w:vAlign w:val="bottom"/>
            <w:shd w:val="clear" w:color="auto" w:fill="F5F5F5"/>
          </w:tcPr>
          <w:p>
            <w:pPr>
              <w:spacing w:after="0"/>
              <w:rPr>
                <w:sz w:val="22"/>
                <w:szCs w:val="22"/>
                <w:color w:val="auto"/>
              </w:rPr>
            </w:pPr>
          </w:p>
        </w:tc>
        <w:tc>
          <w:tcPr>
            <w:tcW w:w="140" w:type="dxa"/>
            <w:vAlign w:val="bottom"/>
            <w:shd w:val="clear" w:color="auto" w:fill="F5F5F5"/>
          </w:tcPr>
          <w:p>
            <w:pPr>
              <w:spacing w:after="0"/>
              <w:rPr>
                <w:sz w:val="22"/>
                <w:szCs w:val="22"/>
                <w:color w:val="auto"/>
              </w:rPr>
            </w:pPr>
          </w:p>
        </w:tc>
        <w:tc>
          <w:tcPr>
            <w:tcW w:w="1200" w:type="dxa"/>
            <w:vAlign w:val="bottom"/>
            <w:shd w:val="clear" w:color="auto" w:fill="F5F5F5"/>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40" w:type="dxa"/>
            <w:vAlign w:val="bottom"/>
            <w:tcBorders>
              <w:bottom w:val="single" w:sz="8" w:color="F5F5F5"/>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0" w:type="dxa"/>
            <w:vAlign w:val="bottom"/>
            <w:tcBorders>
              <w:bottom w:val="single" w:sz="8" w:color="F5F5F5"/>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7140" w:type="dxa"/>
            <w:vAlign w:val="bottom"/>
            <w:tcBorders>
              <w:bottom w:val="single" w:sz="8" w:color="F5F5F5"/>
            </w:tcBorders>
            <w:shd w:val="clear" w:color="auto" w:fill="F5F5F5"/>
          </w:tcPr>
          <w:p>
            <w:pPr>
              <w:spacing w:after="0"/>
              <w:rPr>
                <w:sz w:val="19"/>
                <w:szCs w:val="19"/>
                <w:color w:val="auto"/>
              </w:rPr>
            </w:pPr>
          </w:p>
        </w:tc>
        <w:tc>
          <w:tcPr>
            <w:tcW w:w="160" w:type="dxa"/>
            <w:vAlign w:val="bottom"/>
            <w:tcBorders>
              <w:bottom w:val="single" w:sz="8" w:color="auto"/>
            </w:tcBorders>
            <w:shd w:val="clear" w:color="auto" w:fill="F5F5F5"/>
          </w:tcPr>
          <w:p>
            <w:pPr>
              <w:spacing w:after="0"/>
              <w:rPr>
                <w:sz w:val="19"/>
                <w:szCs w:val="19"/>
                <w:color w:val="auto"/>
              </w:rPr>
            </w:pPr>
          </w:p>
        </w:tc>
        <w:tc>
          <w:tcPr>
            <w:tcW w:w="1140" w:type="dxa"/>
            <w:vAlign w:val="bottom"/>
            <w:tcBorders>
              <w:bottom w:val="single" w:sz="8" w:color="auto"/>
            </w:tcBorders>
            <w:shd w:val="clear" w:color="auto" w:fill="F5F5F5"/>
          </w:tcPr>
          <w:p>
            <w:pPr>
              <w:spacing w:after="0"/>
              <w:rPr>
                <w:sz w:val="19"/>
                <w:szCs w:val="19"/>
                <w:color w:val="auto"/>
              </w:rPr>
            </w:pPr>
          </w:p>
        </w:tc>
        <w:tc>
          <w:tcPr>
            <w:tcW w:w="60" w:type="dxa"/>
            <w:vAlign w:val="bottom"/>
            <w:tcBorders>
              <w:bottom w:val="single" w:sz="8" w:color="F5F5F5"/>
            </w:tcBorders>
            <w:shd w:val="clear" w:color="auto" w:fill="F5F5F5"/>
          </w:tcPr>
          <w:p>
            <w:pPr>
              <w:spacing w:after="0"/>
              <w:rPr>
                <w:sz w:val="19"/>
                <w:szCs w:val="19"/>
                <w:color w:val="auto"/>
              </w:rPr>
            </w:pPr>
          </w:p>
        </w:tc>
        <w:tc>
          <w:tcPr>
            <w:tcW w:w="140" w:type="dxa"/>
            <w:vAlign w:val="bottom"/>
            <w:tcBorders>
              <w:bottom w:val="single" w:sz="8" w:color="auto"/>
            </w:tcBorders>
            <w:shd w:val="clear" w:color="auto" w:fill="F5F5F5"/>
          </w:tcPr>
          <w:p>
            <w:pPr>
              <w:spacing w:after="0"/>
              <w:rPr>
                <w:sz w:val="19"/>
                <w:szCs w:val="19"/>
                <w:color w:val="auto"/>
              </w:rPr>
            </w:pPr>
          </w:p>
        </w:tc>
        <w:tc>
          <w:tcPr>
            <w:tcW w:w="1200" w:type="dxa"/>
            <w:vAlign w:val="bottom"/>
            <w:tcBorders>
              <w:bottom w:val="single" w:sz="8" w:color="auto"/>
            </w:tcBorders>
            <w:shd w:val="clear" w:color="auto" w:fill="F5F5F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F5F5F5"/>
            </w:tcBorders>
          </w:tcPr>
          <w:p>
            <w:pPr>
              <w:spacing w:after="0" w:line="20" w:lineRule="exact"/>
              <w:rPr>
                <w:sz w:val="1"/>
                <w:szCs w:val="1"/>
                <w:color w:val="auto"/>
              </w:rPr>
            </w:pPr>
          </w:p>
        </w:tc>
        <w:tc>
          <w:tcPr>
            <w:tcW w:w="160" w:type="dxa"/>
            <w:vAlign w:val="bottom"/>
            <w:tcBorders>
              <w:top w:val="single" w:sz="8" w:color="F5F5F5"/>
              <w:bottom w:val="single" w:sz="8" w:color="auto"/>
            </w:tcBorders>
          </w:tcPr>
          <w:p>
            <w:pPr>
              <w:spacing w:after="0" w:line="20" w:lineRule="exact"/>
              <w:rPr>
                <w:sz w:val="1"/>
                <w:szCs w:val="1"/>
                <w:color w:val="auto"/>
              </w:rPr>
            </w:pPr>
          </w:p>
        </w:tc>
        <w:tc>
          <w:tcPr>
            <w:tcW w:w="1140" w:type="dxa"/>
            <w:vAlign w:val="bottom"/>
            <w:tcBorders>
              <w:top w:val="single" w:sz="8" w:color="F5F5F5"/>
              <w:bottom w:val="single" w:sz="8" w:color="auto"/>
            </w:tcBorders>
          </w:tcPr>
          <w:p>
            <w:pPr>
              <w:spacing w:after="0" w:line="20" w:lineRule="exact"/>
              <w:rPr>
                <w:sz w:val="1"/>
                <w:szCs w:val="1"/>
                <w:color w:val="auto"/>
              </w:rPr>
            </w:pPr>
          </w:p>
        </w:tc>
        <w:tc>
          <w:tcPr>
            <w:tcW w:w="60" w:type="dxa"/>
            <w:vAlign w:val="bottom"/>
            <w:tcBorders>
              <w:top w:val="single" w:sz="8" w:color="F5F5F5"/>
            </w:tcBorders>
          </w:tcPr>
          <w:p>
            <w:pPr>
              <w:spacing w:after="0" w:line="20" w:lineRule="exact"/>
              <w:rPr>
                <w:sz w:val="1"/>
                <w:szCs w:val="1"/>
                <w:color w:val="auto"/>
              </w:rPr>
            </w:pPr>
          </w:p>
        </w:tc>
        <w:tc>
          <w:tcPr>
            <w:tcW w:w="140" w:type="dxa"/>
            <w:vAlign w:val="bottom"/>
            <w:tcBorders>
              <w:top w:val="single" w:sz="8" w:color="F5F5F5"/>
              <w:bottom w:val="single" w:sz="8" w:color="auto"/>
            </w:tcBorders>
          </w:tcPr>
          <w:p>
            <w:pPr>
              <w:spacing w:after="0" w:line="20" w:lineRule="exact"/>
              <w:rPr>
                <w:sz w:val="1"/>
                <w:szCs w:val="1"/>
                <w:color w:val="auto"/>
              </w:rPr>
            </w:pPr>
          </w:p>
        </w:tc>
        <w:tc>
          <w:tcPr>
            <w:tcW w:w="1200" w:type="dxa"/>
            <w:vAlign w:val="bottom"/>
            <w:tcBorders>
              <w:top w:val="single" w:sz="8" w:color="F5F5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-1953895</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20"/>
        <w:spacing w:after="0"/>
        <w:rPr>
          <w:sz w:val="20"/>
          <w:szCs w:val="20"/>
          <w:color w:val="auto"/>
        </w:rPr>
      </w:pPr>
      <w:r>
        <w:rPr>
          <w:rFonts w:ascii="Calibri" w:cs="Calibri" w:eastAsia="Calibri" w:hAnsi="Calibri"/>
          <w:sz w:val="18"/>
          <w:szCs w:val="18"/>
          <w:b w:val="1"/>
          <w:bCs w:val="1"/>
          <w:color w:val="auto"/>
        </w:rPr>
        <w:t>THE MACERICH COMPANY</w:t>
      </w:r>
    </w:p>
    <w:p>
      <w:pPr>
        <w:ind w:left="4120"/>
        <w:spacing w:after="0" w:line="206" w:lineRule="auto"/>
        <w:rPr>
          <w:sz w:val="20"/>
          <w:szCs w:val="20"/>
          <w:color w:val="auto"/>
        </w:rPr>
      </w:pPr>
      <w:r>
        <w:rPr>
          <w:rFonts w:ascii="Calibri" w:cs="Calibri" w:eastAsia="Calibri" w:hAnsi="Calibri"/>
          <w:sz w:val="18"/>
          <w:szCs w:val="18"/>
          <w:b w:val="1"/>
          <w:bCs w:val="1"/>
          <w:color w:val="auto"/>
        </w:rPr>
        <w:t>FINANCIAL HIGHLIGHTS</w:t>
      </w:r>
    </w:p>
    <w:p>
      <w:pPr>
        <w:jc w:val="center"/>
        <w:ind w:right="-59"/>
        <w:spacing w:after="0" w:line="221" w:lineRule="auto"/>
        <w:rPr>
          <w:sz w:val="20"/>
          <w:szCs w:val="20"/>
          <w:color w:val="auto"/>
        </w:rPr>
      </w:pPr>
      <w:r>
        <w:rPr>
          <w:rFonts w:ascii="Calibri" w:cs="Calibri" w:eastAsia="Calibri" w:hAnsi="Calibri"/>
          <w:sz w:val="18"/>
          <w:szCs w:val="18"/>
          <w:b w:val="1"/>
          <w:bCs w:val="1"/>
          <w:color w:val="auto"/>
        </w:rPr>
        <w:t>(IN THOUSANDS, EXCEPT PER SHARE AMOUNTS)</w:t>
      </w:r>
    </w:p>
    <w:p>
      <w:pPr>
        <w:spacing w:after="0" w:line="213"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color w:val="007681"/>
        </w:rPr>
        <w:t>Reconciliaton of Net loss atributable to the Company to Adjusted EBITDA, to Net Operatng Income ("NOI") and to NOI - Go-</w:t>
      </w:r>
    </w:p>
    <w:p>
      <w:pPr>
        <w:ind w:left="80"/>
        <w:spacing w:after="0" w:line="235" w:lineRule="auto"/>
        <w:rPr>
          <w:sz w:val="20"/>
          <w:szCs w:val="20"/>
          <w:color w:val="auto"/>
        </w:rPr>
      </w:pPr>
      <w:r>
        <w:rPr>
          <w:rFonts w:ascii="Calibri" w:cs="Calibri" w:eastAsia="Calibri" w:hAnsi="Calibri"/>
          <w:sz w:val="18"/>
          <w:szCs w:val="18"/>
          <w:b w:val="1"/>
          <w:bCs w:val="1"/>
          <w:color w:val="007681"/>
        </w:rPr>
        <w:t>Forward Portolio Centers:</w:t>
      </w:r>
    </w:p>
    <w:p>
      <w:pPr>
        <w:spacing w:after="0" w:line="76"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2560" w:type="dxa"/>
            <w:vAlign w:val="bottom"/>
            <w:gridSpan w:val="5"/>
          </w:tcPr>
          <w:p>
            <w:pPr>
              <w:jc w:val="right"/>
              <w:ind w:right="31"/>
              <w:spacing w:after="0"/>
              <w:rPr>
                <w:sz w:val="20"/>
                <w:szCs w:val="20"/>
                <w:color w:val="auto"/>
              </w:rPr>
            </w:pPr>
            <w:r>
              <w:rPr>
                <w:rFonts w:ascii="Calibri" w:cs="Calibri" w:eastAsia="Calibri" w:hAnsi="Calibri"/>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47"/>
        </w:trPr>
        <w:tc>
          <w:tcPr>
            <w:tcW w:w="7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right"/>
              <w:spacing w:after="0" w:line="164" w:lineRule="exact"/>
              <w:rPr>
                <w:sz w:val="20"/>
                <w:szCs w:val="20"/>
                <w:color w:val="auto"/>
              </w:rPr>
            </w:pPr>
            <w:r>
              <w:rPr>
                <w:rFonts w:ascii="Calibri" w:cs="Calibri" w:eastAsia="Calibri" w:hAnsi="Calibri"/>
                <w:sz w:val="14"/>
                <w:szCs w:val="14"/>
                <w:b w:val="1"/>
                <w:bCs w:val="1"/>
                <w:color w:val="auto"/>
              </w:rPr>
              <w:t>Unaudited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11"/>
              <w:spacing w:after="0" w:line="164" w:lineRule="exact"/>
              <w:rPr>
                <w:sz w:val="20"/>
                <w:szCs w:val="20"/>
                <w:color w:val="auto"/>
              </w:rPr>
            </w:pPr>
            <w:r>
              <w:rPr>
                <w:rFonts w:ascii="Calibri" w:cs="Calibri" w:eastAsia="Calibri" w:hAnsi="Calibri"/>
                <w:sz w:val="14"/>
                <w:szCs w:val="14"/>
                <w:b w:val="1"/>
                <w:bCs w:val="1"/>
                <w:color w:val="auto"/>
              </w:rPr>
              <w:t>2026</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391"/>
              <w:spacing w:after="0" w:line="164" w:lineRule="exact"/>
              <w:rPr>
                <w:sz w:val="20"/>
                <w:szCs w:val="20"/>
                <w:color w:val="auto"/>
              </w:rPr>
            </w:pPr>
            <w:r>
              <w:rPr>
                <w:rFonts w:ascii="Calibri" w:cs="Calibri" w:eastAsia="Calibri" w:hAnsi="Calibri"/>
                <w:sz w:val="14"/>
                <w:szCs w:val="14"/>
                <w:b w:val="1"/>
                <w:bCs w:val="1"/>
                <w:color w:val="auto"/>
              </w:rPr>
              <w:t>2025</w:t>
            </w:r>
          </w:p>
        </w:tc>
        <w:tc>
          <w:tcPr>
            <w:tcW w:w="0" w:type="dxa"/>
            <w:vAlign w:val="bottom"/>
          </w:tcPr>
          <w:p>
            <w:pPr>
              <w:spacing w:after="0"/>
              <w:rPr>
                <w:sz w:val="1"/>
                <w:szCs w:val="1"/>
                <w:color w:val="auto"/>
              </w:rPr>
            </w:pPr>
          </w:p>
        </w:tc>
      </w:tr>
      <w:tr>
        <w:trPr>
          <w:trHeight w:val="46"/>
        </w:trPr>
        <w:tc>
          <w:tcPr>
            <w:tcW w:w="7120" w:type="dxa"/>
            <w:vAlign w:val="bottom"/>
            <w:vMerge w:val="restart"/>
          </w:tcPr>
          <w:p>
            <w:pPr>
              <w:ind w:left="60"/>
              <w:spacing w:after="0"/>
              <w:rPr>
                <w:sz w:val="20"/>
                <w:szCs w:val="20"/>
                <w:color w:val="auto"/>
              </w:rPr>
            </w:pPr>
            <w:r>
              <w:rPr>
                <w:rFonts w:ascii="Calibri" w:cs="Calibri" w:eastAsia="Calibri" w:hAnsi="Calibri"/>
                <w:sz w:val="18"/>
                <w:szCs w:val="18"/>
                <w:color w:val="auto"/>
              </w:rPr>
              <w:t>Net loss atributable to the Company</w:t>
            </w: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120" w:type="dxa"/>
            <w:vAlign w:val="bottom"/>
            <w:vMerge w:val="continue"/>
          </w:tcPr>
          <w:p>
            <w:pPr>
              <w:spacing w:after="0"/>
              <w:rPr>
                <w:sz w:val="18"/>
                <w:szCs w:val="18"/>
                <w:color w:val="auto"/>
              </w:rPr>
            </w:pPr>
          </w:p>
        </w:tc>
        <w:tc>
          <w:tcPr>
            <w:tcW w:w="300" w:type="dxa"/>
            <w:vAlign w:val="bottom"/>
          </w:tcPr>
          <w:p>
            <w:pPr>
              <w:jc w:val="right"/>
              <w:ind w:right="76"/>
              <w:spacing w:after="0" w:line="213"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ind w:right="51"/>
              <w:spacing w:after="0" w:line="213" w:lineRule="exact"/>
              <w:rPr>
                <w:sz w:val="20"/>
                <w:szCs w:val="20"/>
                <w:color w:val="auto"/>
              </w:rPr>
            </w:pPr>
            <w:r>
              <w:rPr>
                <w:rFonts w:ascii="Calibri" w:cs="Calibri" w:eastAsia="Calibri" w:hAnsi="Calibri"/>
                <w:sz w:val="18"/>
                <w:szCs w:val="18"/>
                <w:color w:val="auto"/>
              </w:rPr>
              <w:t>(36,350)</w:t>
            </w:r>
          </w:p>
        </w:tc>
        <w:tc>
          <w:tcPr>
            <w:tcW w:w="40" w:type="dxa"/>
            <w:vAlign w:val="bottom"/>
          </w:tcPr>
          <w:p>
            <w:pPr>
              <w:spacing w:after="0"/>
              <w:rPr>
                <w:sz w:val="18"/>
                <w:szCs w:val="18"/>
                <w:color w:val="auto"/>
              </w:rPr>
            </w:pPr>
          </w:p>
        </w:tc>
        <w:tc>
          <w:tcPr>
            <w:tcW w:w="380" w:type="dxa"/>
            <w:vAlign w:val="bottom"/>
          </w:tcPr>
          <w:p>
            <w:pPr>
              <w:jc w:val="right"/>
              <w:ind w:right="150"/>
              <w:spacing w:after="0" w:line="213"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3" w:lineRule="exact"/>
              <w:rPr>
                <w:sz w:val="20"/>
                <w:szCs w:val="20"/>
                <w:color w:val="auto"/>
              </w:rPr>
            </w:pPr>
            <w:r>
              <w:rPr>
                <w:rFonts w:ascii="Calibri" w:cs="Calibri" w:eastAsia="Calibri" w:hAnsi="Calibri"/>
                <w:sz w:val="18"/>
                <w:szCs w:val="18"/>
                <w:color w:val="auto"/>
              </w:rPr>
              <w:t>(50,123)</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20" w:type="dxa"/>
            <w:vAlign w:val="bottom"/>
            <w:tcBorders>
              <w:bottom w:val="single" w:sz="8" w:color="F5F5F5"/>
            </w:tcBorders>
            <w:shd w:val="clear" w:color="auto" w:fill="F5F5F5"/>
          </w:tcPr>
          <w:p>
            <w:pPr>
              <w:ind w:left="220"/>
              <w:spacing w:after="0" w:line="215" w:lineRule="exact"/>
              <w:rPr>
                <w:sz w:val="20"/>
                <w:szCs w:val="20"/>
                <w:color w:val="auto"/>
              </w:rPr>
            </w:pPr>
            <w:r>
              <w:rPr>
                <w:rFonts w:ascii="Calibri" w:cs="Calibri" w:eastAsia="Calibri" w:hAnsi="Calibri"/>
                <w:sz w:val="18"/>
                <w:szCs w:val="18"/>
                <w:color w:val="auto"/>
              </w:rPr>
              <w:t>Interest expense - consolidated assets</w:t>
            </w:r>
          </w:p>
        </w:tc>
        <w:tc>
          <w:tcPr>
            <w:tcW w:w="300" w:type="dxa"/>
            <w:vAlign w:val="bottom"/>
            <w:tcBorders>
              <w:bottom w:val="single" w:sz="8" w:color="F5F5F5"/>
            </w:tcBorders>
            <w:shd w:val="clear" w:color="auto" w:fill="F5F5F5"/>
          </w:tcPr>
          <w:p>
            <w:pPr>
              <w:spacing w:after="0"/>
              <w:rPr>
                <w:sz w:val="20"/>
                <w:szCs w:val="20"/>
                <w:color w:val="auto"/>
              </w:rPr>
            </w:pPr>
          </w:p>
        </w:tc>
        <w:tc>
          <w:tcPr>
            <w:tcW w:w="960" w:type="dxa"/>
            <w:vAlign w:val="bottom"/>
            <w:tcBorders>
              <w:bottom w:val="single" w:sz="8" w:color="F5F5F5"/>
            </w:tcBorders>
            <w:shd w:val="clear" w:color="auto" w:fill="F5F5F5"/>
          </w:tcPr>
          <w:p>
            <w:pPr>
              <w:jc w:val="right"/>
              <w:ind w:right="51"/>
              <w:spacing w:after="0" w:line="215" w:lineRule="exact"/>
              <w:rPr>
                <w:sz w:val="20"/>
                <w:szCs w:val="20"/>
                <w:color w:val="auto"/>
              </w:rPr>
            </w:pPr>
            <w:r>
              <w:rPr>
                <w:rFonts w:ascii="Calibri" w:cs="Calibri" w:eastAsia="Calibri" w:hAnsi="Calibri"/>
                <w:sz w:val="18"/>
                <w:szCs w:val="18"/>
                <w:color w:val="auto"/>
              </w:rPr>
              <w:t>67,500</w:t>
            </w:r>
          </w:p>
        </w:tc>
        <w:tc>
          <w:tcPr>
            <w:tcW w:w="40" w:type="dxa"/>
            <w:vAlign w:val="bottom"/>
            <w:tcBorders>
              <w:bottom w:val="single" w:sz="8" w:color="F5F5F5"/>
            </w:tcBorders>
            <w:shd w:val="clear" w:color="auto" w:fill="F5F5F5"/>
          </w:tcPr>
          <w:p>
            <w:pPr>
              <w:spacing w:after="0"/>
              <w:rPr>
                <w:sz w:val="20"/>
                <w:szCs w:val="20"/>
                <w:color w:val="auto"/>
              </w:rPr>
            </w:pPr>
          </w:p>
        </w:tc>
        <w:tc>
          <w:tcPr>
            <w:tcW w:w="38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69,074</w:t>
            </w:r>
          </w:p>
        </w:tc>
        <w:tc>
          <w:tcPr>
            <w:tcW w:w="0" w:type="dxa"/>
            <w:vAlign w:val="bottom"/>
          </w:tcPr>
          <w:p>
            <w:pPr>
              <w:spacing w:after="0"/>
              <w:rPr>
                <w:sz w:val="1"/>
                <w:szCs w:val="1"/>
                <w:color w:val="auto"/>
              </w:rPr>
            </w:pPr>
          </w:p>
        </w:tc>
      </w:tr>
      <w:tr>
        <w:trPr>
          <w:trHeight w:val="233"/>
        </w:trPr>
        <w:tc>
          <w:tcPr>
            <w:tcW w:w="7120" w:type="dxa"/>
            <w:vAlign w:val="bottom"/>
          </w:tcPr>
          <w:p>
            <w:pPr>
              <w:ind w:left="220"/>
              <w:spacing w:after="0" w:line="215" w:lineRule="exact"/>
              <w:rPr>
                <w:sz w:val="20"/>
                <w:szCs w:val="20"/>
                <w:color w:val="auto"/>
              </w:rPr>
            </w:pPr>
            <w:r>
              <w:rPr>
                <w:rFonts w:ascii="Calibri" w:cs="Calibri" w:eastAsia="Calibri" w:hAnsi="Calibri"/>
                <w:sz w:val="18"/>
                <w:szCs w:val="18"/>
                <w:color w:val="auto"/>
              </w:rPr>
              <w:t>Interest expense - unconsolidated joint ventures (pro rata)</w:t>
            </w:r>
          </w:p>
        </w:tc>
        <w:tc>
          <w:tcPr>
            <w:tcW w:w="300" w:type="dxa"/>
            <w:vAlign w:val="bottom"/>
          </w:tcPr>
          <w:p>
            <w:pPr>
              <w:spacing w:after="0"/>
              <w:rPr>
                <w:sz w:val="20"/>
                <w:szCs w:val="20"/>
                <w:color w:val="auto"/>
              </w:rPr>
            </w:pPr>
          </w:p>
        </w:tc>
        <w:tc>
          <w:tcPr>
            <w:tcW w:w="9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19,918</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22,158</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20" w:type="dxa"/>
            <w:vAlign w:val="bottom"/>
            <w:tcBorders>
              <w:bottom w:val="single" w:sz="8" w:color="F5F5F5"/>
            </w:tcBorders>
            <w:shd w:val="clear" w:color="auto" w:fill="F5F5F5"/>
          </w:tcPr>
          <w:p>
            <w:pPr>
              <w:ind w:left="220"/>
              <w:spacing w:after="0" w:line="215" w:lineRule="exact"/>
              <w:rPr>
                <w:sz w:val="20"/>
                <w:szCs w:val="20"/>
                <w:color w:val="auto"/>
              </w:rPr>
            </w:pPr>
            <w:r>
              <w:rPr>
                <w:rFonts w:ascii="Calibri" w:cs="Calibri" w:eastAsia="Calibri" w:hAnsi="Calibri"/>
                <w:sz w:val="18"/>
                <w:szCs w:val="18"/>
                <w:color w:val="auto"/>
              </w:rPr>
              <w:t>Depreciaton and amortzaton - consolidated assets</w:t>
            </w:r>
          </w:p>
        </w:tc>
        <w:tc>
          <w:tcPr>
            <w:tcW w:w="300" w:type="dxa"/>
            <w:vAlign w:val="bottom"/>
            <w:tcBorders>
              <w:bottom w:val="single" w:sz="8" w:color="F5F5F5"/>
            </w:tcBorders>
            <w:shd w:val="clear" w:color="auto" w:fill="F5F5F5"/>
          </w:tcPr>
          <w:p>
            <w:pPr>
              <w:spacing w:after="0"/>
              <w:rPr>
                <w:sz w:val="20"/>
                <w:szCs w:val="20"/>
                <w:color w:val="auto"/>
              </w:rPr>
            </w:pPr>
          </w:p>
        </w:tc>
        <w:tc>
          <w:tcPr>
            <w:tcW w:w="960" w:type="dxa"/>
            <w:vAlign w:val="bottom"/>
            <w:tcBorders>
              <w:bottom w:val="single" w:sz="8" w:color="F5F5F5"/>
            </w:tcBorders>
            <w:shd w:val="clear" w:color="auto" w:fill="F5F5F5"/>
          </w:tcPr>
          <w:p>
            <w:pPr>
              <w:jc w:val="right"/>
              <w:ind w:right="51"/>
              <w:spacing w:after="0" w:line="215" w:lineRule="exact"/>
              <w:rPr>
                <w:sz w:val="20"/>
                <w:szCs w:val="20"/>
                <w:color w:val="auto"/>
              </w:rPr>
            </w:pPr>
            <w:r>
              <w:rPr>
                <w:rFonts w:ascii="Calibri" w:cs="Calibri" w:eastAsia="Calibri" w:hAnsi="Calibri"/>
                <w:sz w:val="18"/>
                <w:szCs w:val="18"/>
                <w:color w:val="auto"/>
              </w:rPr>
              <w:t>83,076</w:t>
            </w:r>
          </w:p>
        </w:tc>
        <w:tc>
          <w:tcPr>
            <w:tcW w:w="40" w:type="dxa"/>
            <w:vAlign w:val="bottom"/>
            <w:tcBorders>
              <w:bottom w:val="single" w:sz="8" w:color="F5F5F5"/>
            </w:tcBorders>
            <w:shd w:val="clear" w:color="auto" w:fill="F5F5F5"/>
          </w:tcPr>
          <w:p>
            <w:pPr>
              <w:spacing w:after="0"/>
              <w:rPr>
                <w:sz w:val="20"/>
                <w:szCs w:val="20"/>
                <w:color w:val="auto"/>
              </w:rPr>
            </w:pPr>
          </w:p>
        </w:tc>
        <w:tc>
          <w:tcPr>
            <w:tcW w:w="38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92,562</w:t>
            </w:r>
          </w:p>
        </w:tc>
        <w:tc>
          <w:tcPr>
            <w:tcW w:w="0" w:type="dxa"/>
            <w:vAlign w:val="bottom"/>
          </w:tcPr>
          <w:p>
            <w:pPr>
              <w:spacing w:after="0"/>
              <w:rPr>
                <w:sz w:val="1"/>
                <w:szCs w:val="1"/>
                <w:color w:val="auto"/>
              </w:rPr>
            </w:pPr>
          </w:p>
        </w:tc>
      </w:tr>
      <w:tr>
        <w:trPr>
          <w:trHeight w:val="233"/>
        </w:trPr>
        <w:tc>
          <w:tcPr>
            <w:tcW w:w="7120" w:type="dxa"/>
            <w:vAlign w:val="bottom"/>
          </w:tcPr>
          <w:p>
            <w:pPr>
              <w:ind w:left="260"/>
              <w:spacing w:after="0" w:line="215" w:lineRule="exact"/>
              <w:rPr>
                <w:sz w:val="20"/>
                <w:szCs w:val="20"/>
                <w:color w:val="auto"/>
              </w:rPr>
            </w:pPr>
            <w:r>
              <w:rPr>
                <w:rFonts w:ascii="Calibri" w:cs="Calibri" w:eastAsia="Calibri" w:hAnsi="Calibri"/>
                <w:sz w:val="18"/>
                <w:szCs w:val="18"/>
                <w:color w:val="auto"/>
              </w:rPr>
              <w:t>Depreciaton and amortzaton - unconsolidated joint ventures (pro rata)</w:t>
            </w:r>
          </w:p>
        </w:tc>
        <w:tc>
          <w:tcPr>
            <w:tcW w:w="300" w:type="dxa"/>
            <w:vAlign w:val="bottom"/>
          </w:tcPr>
          <w:p>
            <w:pPr>
              <w:spacing w:after="0"/>
              <w:rPr>
                <w:sz w:val="20"/>
                <w:szCs w:val="20"/>
                <w:color w:val="auto"/>
              </w:rPr>
            </w:pPr>
          </w:p>
        </w:tc>
        <w:tc>
          <w:tcPr>
            <w:tcW w:w="9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28,797</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27,783</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20" w:type="dxa"/>
            <w:vAlign w:val="bottom"/>
            <w:tcBorders>
              <w:bottom w:val="single" w:sz="8" w:color="F5F5F5"/>
            </w:tcBorders>
            <w:shd w:val="clear" w:color="auto" w:fill="F5F5F5"/>
          </w:tcPr>
          <w:p>
            <w:pPr>
              <w:ind w:left="220"/>
              <w:spacing w:after="0" w:line="215" w:lineRule="exact"/>
              <w:rPr>
                <w:sz w:val="20"/>
                <w:szCs w:val="20"/>
                <w:color w:val="auto"/>
              </w:rPr>
            </w:pPr>
            <w:r>
              <w:rPr>
                <w:rFonts w:ascii="Calibri" w:cs="Calibri" w:eastAsia="Calibri" w:hAnsi="Calibri"/>
                <w:sz w:val="18"/>
                <w:szCs w:val="18"/>
                <w:color w:val="auto"/>
              </w:rPr>
              <w:t>Noncontrolling interests in the OP</w:t>
            </w:r>
          </w:p>
        </w:tc>
        <w:tc>
          <w:tcPr>
            <w:tcW w:w="300" w:type="dxa"/>
            <w:vAlign w:val="bottom"/>
            <w:tcBorders>
              <w:bottom w:val="single" w:sz="8" w:color="F5F5F5"/>
            </w:tcBorders>
            <w:shd w:val="clear" w:color="auto" w:fill="F5F5F5"/>
          </w:tcPr>
          <w:p>
            <w:pPr>
              <w:spacing w:after="0"/>
              <w:rPr>
                <w:sz w:val="20"/>
                <w:szCs w:val="20"/>
                <w:color w:val="auto"/>
              </w:rPr>
            </w:pPr>
          </w:p>
        </w:tc>
        <w:tc>
          <w:tcPr>
            <w:tcW w:w="960" w:type="dxa"/>
            <w:vAlign w:val="bottom"/>
            <w:tcBorders>
              <w:bottom w:val="single" w:sz="8" w:color="F5F5F5"/>
            </w:tcBorders>
            <w:shd w:val="clear" w:color="auto" w:fill="F5F5F5"/>
          </w:tcPr>
          <w:p>
            <w:pPr>
              <w:jc w:val="right"/>
              <w:ind w:right="51"/>
              <w:spacing w:after="0" w:line="215" w:lineRule="exact"/>
              <w:rPr>
                <w:sz w:val="20"/>
                <w:szCs w:val="20"/>
                <w:color w:val="auto"/>
              </w:rPr>
            </w:pPr>
            <w:r>
              <w:rPr>
                <w:rFonts w:ascii="Calibri" w:cs="Calibri" w:eastAsia="Calibri" w:hAnsi="Calibri"/>
                <w:sz w:val="18"/>
                <w:szCs w:val="18"/>
                <w:color w:val="auto"/>
              </w:rPr>
              <w:t>(1,602)</w:t>
            </w:r>
          </w:p>
        </w:tc>
        <w:tc>
          <w:tcPr>
            <w:tcW w:w="40" w:type="dxa"/>
            <w:vAlign w:val="bottom"/>
            <w:tcBorders>
              <w:bottom w:val="single" w:sz="8" w:color="F5F5F5"/>
            </w:tcBorders>
            <w:shd w:val="clear" w:color="auto" w:fill="F5F5F5"/>
          </w:tcPr>
          <w:p>
            <w:pPr>
              <w:spacing w:after="0"/>
              <w:rPr>
                <w:sz w:val="20"/>
                <w:szCs w:val="20"/>
                <w:color w:val="auto"/>
              </w:rPr>
            </w:pPr>
          </w:p>
        </w:tc>
        <w:tc>
          <w:tcPr>
            <w:tcW w:w="38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(2,156)</w:t>
            </w:r>
          </w:p>
        </w:tc>
        <w:tc>
          <w:tcPr>
            <w:tcW w:w="0" w:type="dxa"/>
            <w:vAlign w:val="bottom"/>
          </w:tcPr>
          <w:p>
            <w:pPr>
              <w:spacing w:after="0"/>
              <w:rPr>
                <w:sz w:val="1"/>
                <w:szCs w:val="1"/>
                <w:color w:val="auto"/>
              </w:rPr>
            </w:pPr>
          </w:p>
        </w:tc>
      </w:tr>
      <w:tr>
        <w:trPr>
          <w:trHeight w:val="180"/>
        </w:trPr>
        <w:tc>
          <w:tcPr>
            <w:tcW w:w="7120" w:type="dxa"/>
            <w:vAlign w:val="bottom"/>
          </w:tcPr>
          <w:p>
            <w:pPr>
              <w:ind w:left="220"/>
              <w:spacing w:after="0" w:line="180" w:lineRule="exact"/>
              <w:rPr>
                <w:sz w:val="20"/>
                <w:szCs w:val="20"/>
                <w:color w:val="auto"/>
              </w:rPr>
            </w:pPr>
            <w:r>
              <w:rPr>
                <w:rFonts w:ascii="Calibri" w:cs="Calibri" w:eastAsia="Calibri" w:hAnsi="Calibri"/>
                <w:sz w:val="18"/>
                <w:szCs w:val="18"/>
                <w:color w:val="auto"/>
              </w:rPr>
              <w:t>Less: Interest expense and depreciaton and amortzaton allocable to noncontrolling</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120" w:type="dxa"/>
            <w:vAlign w:val="bottom"/>
          </w:tcPr>
          <w:p>
            <w:pPr>
              <w:ind w:left="220"/>
              <w:spacing w:after="0" w:line="215" w:lineRule="exact"/>
              <w:rPr>
                <w:sz w:val="20"/>
                <w:szCs w:val="20"/>
                <w:color w:val="auto"/>
              </w:rPr>
            </w:pPr>
            <w:r>
              <w:rPr>
                <w:rFonts w:ascii="Calibri" w:cs="Calibri" w:eastAsia="Calibri" w:hAnsi="Calibri"/>
                <w:sz w:val="18"/>
                <w:szCs w:val="18"/>
                <w:color w:val="auto"/>
              </w:rPr>
              <w:t>interests in consolidated joint ventures</w:t>
            </w:r>
          </w:p>
        </w:tc>
        <w:tc>
          <w:tcPr>
            <w:tcW w:w="300" w:type="dxa"/>
            <w:vAlign w:val="bottom"/>
          </w:tcPr>
          <w:p>
            <w:pPr>
              <w:spacing w:after="0"/>
              <w:rPr>
                <w:sz w:val="18"/>
                <w:szCs w:val="18"/>
                <w:color w:val="auto"/>
              </w:rPr>
            </w:pPr>
          </w:p>
        </w:tc>
        <w:tc>
          <w:tcPr>
            <w:tcW w:w="9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(939)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(923)</w:t>
            </w:r>
          </w:p>
        </w:tc>
        <w:tc>
          <w:tcPr>
            <w:tcW w:w="0" w:type="dxa"/>
            <w:vAlign w:val="bottom"/>
          </w:tcPr>
          <w:p>
            <w:pPr>
              <w:spacing w:after="0"/>
              <w:rPr>
                <w:sz w:val="1"/>
                <w:szCs w:val="1"/>
                <w:color w:val="auto"/>
              </w:rPr>
            </w:pPr>
          </w:p>
        </w:tc>
      </w:tr>
      <w:tr>
        <w:trPr>
          <w:trHeight w:val="50"/>
        </w:trPr>
        <w:tc>
          <w:tcPr>
            <w:tcW w:w="7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120" w:type="dxa"/>
            <w:vAlign w:val="bottom"/>
            <w:tcBorders>
              <w:bottom w:val="single" w:sz="8" w:color="F5F5F5"/>
            </w:tcBorders>
            <w:shd w:val="clear" w:color="auto" w:fill="F5F5F5"/>
          </w:tcPr>
          <w:p>
            <w:pPr>
              <w:ind w:left="220"/>
              <w:spacing w:after="0" w:line="215" w:lineRule="exact"/>
              <w:rPr>
                <w:sz w:val="20"/>
                <w:szCs w:val="20"/>
                <w:color w:val="auto"/>
              </w:rPr>
            </w:pPr>
            <w:r>
              <w:rPr>
                <w:rFonts w:ascii="Calibri" w:cs="Calibri" w:eastAsia="Calibri" w:hAnsi="Calibri"/>
                <w:sz w:val="18"/>
                <w:szCs w:val="18"/>
                <w:color w:val="auto"/>
              </w:rPr>
              <w:t>(Gain) loss on sale or write down of assets, net - consolidated assets</w:t>
            </w:r>
          </w:p>
        </w:tc>
        <w:tc>
          <w:tcPr>
            <w:tcW w:w="300" w:type="dxa"/>
            <w:vAlign w:val="bottom"/>
            <w:tcBorders>
              <w:bottom w:val="single" w:sz="8" w:color="F5F5F5"/>
            </w:tcBorders>
            <w:shd w:val="clear" w:color="auto" w:fill="F5F5F5"/>
          </w:tcPr>
          <w:p>
            <w:pPr>
              <w:spacing w:after="0"/>
              <w:rPr>
                <w:sz w:val="20"/>
                <w:szCs w:val="20"/>
                <w:color w:val="auto"/>
              </w:rPr>
            </w:pPr>
          </w:p>
        </w:tc>
        <w:tc>
          <w:tcPr>
            <w:tcW w:w="960" w:type="dxa"/>
            <w:vAlign w:val="bottom"/>
            <w:tcBorders>
              <w:bottom w:val="single" w:sz="8" w:color="F5F5F5"/>
            </w:tcBorders>
            <w:shd w:val="clear" w:color="auto" w:fill="F5F5F5"/>
          </w:tcPr>
          <w:p>
            <w:pPr>
              <w:jc w:val="right"/>
              <w:ind w:right="51"/>
              <w:spacing w:after="0" w:line="215" w:lineRule="exact"/>
              <w:rPr>
                <w:sz w:val="20"/>
                <w:szCs w:val="20"/>
                <w:color w:val="auto"/>
              </w:rPr>
            </w:pPr>
            <w:r>
              <w:rPr>
                <w:rFonts w:ascii="Calibri" w:cs="Calibri" w:eastAsia="Calibri" w:hAnsi="Calibri"/>
                <w:sz w:val="18"/>
                <w:szCs w:val="18"/>
                <w:color w:val="auto"/>
              </w:rPr>
              <w:t>(6,840)</w:t>
            </w:r>
          </w:p>
        </w:tc>
        <w:tc>
          <w:tcPr>
            <w:tcW w:w="40" w:type="dxa"/>
            <w:vAlign w:val="bottom"/>
            <w:tcBorders>
              <w:bottom w:val="single" w:sz="8" w:color="F5F5F5"/>
            </w:tcBorders>
            <w:shd w:val="clear" w:color="auto" w:fill="F5F5F5"/>
          </w:tcPr>
          <w:p>
            <w:pPr>
              <w:spacing w:after="0"/>
              <w:rPr>
                <w:sz w:val="20"/>
                <w:szCs w:val="20"/>
                <w:color w:val="auto"/>
              </w:rPr>
            </w:pPr>
          </w:p>
        </w:tc>
        <w:tc>
          <w:tcPr>
            <w:tcW w:w="38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13,987</w:t>
            </w:r>
          </w:p>
        </w:tc>
        <w:tc>
          <w:tcPr>
            <w:tcW w:w="0" w:type="dxa"/>
            <w:vAlign w:val="bottom"/>
          </w:tcPr>
          <w:p>
            <w:pPr>
              <w:spacing w:after="0"/>
              <w:rPr>
                <w:sz w:val="1"/>
                <w:szCs w:val="1"/>
                <w:color w:val="auto"/>
              </w:rPr>
            </w:pPr>
          </w:p>
        </w:tc>
      </w:tr>
      <w:tr>
        <w:trPr>
          <w:trHeight w:val="233"/>
        </w:trPr>
        <w:tc>
          <w:tcPr>
            <w:tcW w:w="7120" w:type="dxa"/>
            <w:vAlign w:val="bottom"/>
          </w:tcPr>
          <w:p>
            <w:pPr>
              <w:ind w:left="220"/>
              <w:spacing w:after="0" w:line="215" w:lineRule="exact"/>
              <w:rPr>
                <w:sz w:val="20"/>
                <w:szCs w:val="20"/>
                <w:color w:val="auto"/>
              </w:rPr>
            </w:pPr>
            <w:r>
              <w:rPr>
                <w:rFonts w:ascii="Calibri" w:cs="Calibri" w:eastAsia="Calibri" w:hAnsi="Calibri"/>
                <w:sz w:val="18"/>
                <w:szCs w:val="18"/>
                <w:color w:val="auto"/>
              </w:rPr>
              <w:t>Loss on sale or write down of assets, net - unconsolidated joint ventures (pro rata)</w:t>
            </w:r>
          </w:p>
        </w:tc>
        <w:tc>
          <w:tcPr>
            <w:tcW w:w="300" w:type="dxa"/>
            <w:vAlign w:val="bottom"/>
          </w:tcPr>
          <w:p>
            <w:pPr>
              <w:spacing w:after="0"/>
              <w:rPr>
                <w:sz w:val="20"/>
                <w:szCs w:val="20"/>
                <w:color w:val="auto"/>
              </w:rPr>
            </w:pPr>
          </w:p>
        </w:tc>
        <w:tc>
          <w:tcPr>
            <w:tcW w:w="9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721</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1,111</w:t>
            </w:r>
          </w:p>
        </w:tc>
        <w:tc>
          <w:tcPr>
            <w:tcW w:w="0" w:type="dxa"/>
            <w:vAlign w:val="bottom"/>
          </w:tcPr>
          <w:p>
            <w:pPr>
              <w:spacing w:after="0"/>
              <w:rPr>
                <w:sz w:val="1"/>
                <w:szCs w:val="1"/>
                <w:color w:val="auto"/>
              </w:rPr>
            </w:pPr>
          </w:p>
        </w:tc>
      </w:tr>
      <w:tr>
        <w:trPr>
          <w:trHeight w:val="23"/>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120" w:type="dxa"/>
            <w:vAlign w:val="bottom"/>
            <w:shd w:val="clear" w:color="auto" w:fill="F5F5F5"/>
          </w:tcPr>
          <w:p>
            <w:pPr>
              <w:ind w:left="220"/>
              <w:spacing w:after="0" w:line="180" w:lineRule="exact"/>
              <w:rPr>
                <w:sz w:val="20"/>
                <w:szCs w:val="20"/>
                <w:color w:val="auto"/>
              </w:rPr>
            </w:pPr>
            <w:r>
              <w:rPr>
                <w:rFonts w:ascii="Calibri" w:cs="Calibri" w:eastAsia="Calibri" w:hAnsi="Calibri"/>
                <w:sz w:val="18"/>
                <w:szCs w:val="18"/>
                <w:color w:val="auto"/>
              </w:rPr>
              <w:t>Noncontrolling interests share of loss on sale or write-down of consolidated joint ventures,</w:t>
            </w:r>
          </w:p>
        </w:tc>
        <w:tc>
          <w:tcPr>
            <w:tcW w:w="300" w:type="dxa"/>
            <w:vAlign w:val="bottom"/>
            <w:shd w:val="clear" w:color="auto" w:fill="F5F5F5"/>
          </w:tcPr>
          <w:p>
            <w:pPr>
              <w:spacing w:after="0"/>
              <w:rPr>
                <w:sz w:val="15"/>
                <w:szCs w:val="15"/>
                <w:color w:val="auto"/>
              </w:rPr>
            </w:pPr>
          </w:p>
        </w:tc>
        <w:tc>
          <w:tcPr>
            <w:tcW w:w="960" w:type="dxa"/>
            <w:vAlign w:val="bottom"/>
            <w:shd w:val="clear" w:color="auto" w:fill="F5F5F5"/>
          </w:tcPr>
          <w:p>
            <w:pPr>
              <w:spacing w:after="0"/>
              <w:rPr>
                <w:sz w:val="15"/>
                <w:szCs w:val="15"/>
                <w:color w:val="auto"/>
              </w:rPr>
            </w:pPr>
          </w:p>
        </w:tc>
        <w:tc>
          <w:tcPr>
            <w:tcW w:w="40" w:type="dxa"/>
            <w:vAlign w:val="bottom"/>
            <w:shd w:val="clear" w:color="auto" w:fill="F5F5F5"/>
          </w:tcPr>
          <w:p>
            <w:pPr>
              <w:spacing w:after="0"/>
              <w:rPr>
                <w:sz w:val="15"/>
                <w:szCs w:val="15"/>
                <w:color w:val="auto"/>
              </w:rPr>
            </w:pPr>
          </w:p>
        </w:tc>
        <w:tc>
          <w:tcPr>
            <w:tcW w:w="380" w:type="dxa"/>
            <w:vAlign w:val="bottom"/>
            <w:shd w:val="clear" w:color="auto" w:fill="F5F5F5"/>
          </w:tcPr>
          <w:p>
            <w:pPr>
              <w:spacing w:after="0"/>
              <w:rPr>
                <w:sz w:val="15"/>
                <w:szCs w:val="15"/>
                <w:color w:val="auto"/>
              </w:rPr>
            </w:pPr>
          </w:p>
        </w:tc>
        <w:tc>
          <w:tcPr>
            <w:tcW w:w="880" w:type="dxa"/>
            <w:vAlign w:val="bottom"/>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120" w:type="dxa"/>
            <w:vAlign w:val="bottom"/>
            <w:tcBorders>
              <w:bottom w:val="single" w:sz="8" w:color="F5F5F5"/>
            </w:tcBorders>
            <w:shd w:val="clear" w:color="auto" w:fill="F5F5F5"/>
          </w:tcPr>
          <w:p>
            <w:pPr>
              <w:ind w:left="220"/>
              <w:spacing w:after="0" w:line="215" w:lineRule="exact"/>
              <w:rPr>
                <w:sz w:val="20"/>
                <w:szCs w:val="20"/>
                <w:color w:val="auto"/>
              </w:rPr>
            </w:pPr>
            <w:r>
              <w:rPr>
                <w:rFonts w:ascii="Calibri" w:cs="Calibri" w:eastAsia="Calibri" w:hAnsi="Calibri"/>
                <w:sz w:val="18"/>
                <w:szCs w:val="18"/>
                <w:color w:val="auto"/>
              </w:rPr>
              <w:t>net</w:t>
            </w:r>
          </w:p>
        </w:tc>
        <w:tc>
          <w:tcPr>
            <w:tcW w:w="300" w:type="dxa"/>
            <w:vAlign w:val="bottom"/>
            <w:tcBorders>
              <w:bottom w:val="single" w:sz="8" w:color="F5F5F5"/>
            </w:tcBorders>
            <w:shd w:val="clear" w:color="auto" w:fill="F5F5F5"/>
          </w:tcPr>
          <w:p>
            <w:pPr>
              <w:spacing w:after="0"/>
              <w:rPr>
                <w:sz w:val="21"/>
                <w:szCs w:val="21"/>
                <w:color w:val="auto"/>
              </w:rPr>
            </w:pPr>
          </w:p>
        </w:tc>
        <w:tc>
          <w:tcPr>
            <w:tcW w:w="960" w:type="dxa"/>
            <w:vAlign w:val="bottom"/>
            <w:tcBorders>
              <w:bottom w:val="single" w:sz="8" w:color="F5F5F5"/>
            </w:tcBorders>
            <w:shd w:val="clear" w:color="auto" w:fill="F5F5F5"/>
          </w:tcPr>
          <w:p>
            <w:pPr>
              <w:jc w:val="right"/>
              <w:ind w:right="51"/>
              <w:spacing w:after="0" w:line="215" w:lineRule="exact"/>
              <w:rPr>
                <w:sz w:val="20"/>
                <w:szCs w:val="20"/>
                <w:color w:val="auto"/>
              </w:rPr>
            </w:pPr>
            <w:r>
              <w:rPr>
                <w:rFonts w:ascii="Calibri" w:cs="Calibri" w:eastAsia="Calibri" w:hAnsi="Calibri"/>
                <w:sz w:val="18"/>
                <w:szCs w:val="18"/>
                <w:color w:val="auto"/>
              </w:rPr>
              <w:t>(9)</w:t>
            </w:r>
          </w:p>
        </w:tc>
        <w:tc>
          <w:tcPr>
            <w:tcW w:w="40" w:type="dxa"/>
            <w:vAlign w:val="bottom"/>
            <w:tcBorders>
              <w:bottom w:val="single" w:sz="8" w:color="F5F5F5"/>
            </w:tcBorders>
            <w:shd w:val="clear" w:color="auto" w:fill="F5F5F5"/>
          </w:tcPr>
          <w:p>
            <w:pPr>
              <w:spacing w:after="0"/>
              <w:rPr>
                <w:sz w:val="21"/>
                <w:szCs w:val="21"/>
                <w:color w:val="auto"/>
              </w:rPr>
            </w:pPr>
          </w:p>
        </w:tc>
        <w:tc>
          <w:tcPr>
            <w:tcW w:w="380" w:type="dxa"/>
            <w:vAlign w:val="bottom"/>
            <w:tcBorders>
              <w:bottom w:val="single" w:sz="8" w:color="F5F5F5"/>
            </w:tcBorders>
            <w:shd w:val="clear" w:color="auto" w:fill="F5F5F5"/>
          </w:tcPr>
          <w:p>
            <w:pPr>
              <w:spacing w:after="0"/>
              <w:rPr>
                <w:sz w:val="21"/>
                <w:szCs w:val="21"/>
                <w:color w:val="auto"/>
              </w:rPr>
            </w:pPr>
          </w:p>
        </w:tc>
        <w:tc>
          <w:tcPr>
            <w:tcW w:w="8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7120" w:type="dxa"/>
            <w:vAlign w:val="bottom"/>
          </w:tcPr>
          <w:p>
            <w:pPr>
              <w:ind w:left="220"/>
              <w:spacing w:after="0" w:line="215" w:lineRule="exact"/>
              <w:rPr>
                <w:sz w:val="20"/>
                <w:szCs w:val="20"/>
                <w:color w:val="auto"/>
              </w:rPr>
            </w:pPr>
            <w:r>
              <w:rPr>
                <w:rFonts w:ascii="Calibri" w:cs="Calibri" w:eastAsia="Calibri" w:hAnsi="Calibri"/>
                <w:sz w:val="18"/>
                <w:szCs w:val="18"/>
                <w:color w:val="auto"/>
              </w:rPr>
              <w:t>Income tax beneft</w:t>
            </w:r>
          </w:p>
        </w:tc>
        <w:tc>
          <w:tcPr>
            <w:tcW w:w="300" w:type="dxa"/>
            <w:vAlign w:val="bottom"/>
          </w:tcPr>
          <w:p>
            <w:pPr>
              <w:spacing w:after="0"/>
              <w:rPr>
                <w:sz w:val="18"/>
                <w:szCs w:val="18"/>
                <w:color w:val="auto"/>
              </w:rPr>
            </w:pPr>
          </w:p>
        </w:tc>
        <w:tc>
          <w:tcPr>
            <w:tcW w:w="9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(2,641)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(822)</w:t>
            </w:r>
          </w:p>
        </w:tc>
        <w:tc>
          <w:tcPr>
            <w:tcW w:w="0" w:type="dxa"/>
            <w:vAlign w:val="bottom"/>
          </w:tcPr>
          <w:p>
            <w:pPr>
              <w:spacing w:after="0"/>
              <w:rPr>
                <w:sz w:val="1"/>
                <w:szCs w:val="1"/>
                <w:color w:val="auto"/>
              </w:rPr>
            </w:pPr>
          </w:p>
        </w:tc>
      </w:tr>
      <w:tr>
        <w:trPr>
          <w:trHeight w:val="42"/>
        </w:trPr>
        <w:tc>
          <w:tcPr>
            <w:tcW w:w="7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7120" w:type="dxa"/>
            <w:vAlign w:val="bottom"/>
            <w:tcBorders>
              <w:bottom w:val="single" w:sz="8" w:color="F5F5F5"/>
            </w:tcBorders>
            <w:shd w:val="clear" w:color="auto" w:fill="F5F5F5"/>
          </w:tcPr>
          <w:p>
            <w:pPr>
              <w:ind w:left="220"/>
              <w:spacing w:after="0" w:line="215" w:lineRule="exact"/>
              <w:rPr>
                <w:sz w:val="20"/>
                <w:szCs w:val="20"/>
                <w:color w:val="auto"/>
              </w:rPr>
            </w:pPr>
            <w:r>
              <w:rPr>
                <w:rFonts w:ascii="Calibri" w:cs="Calibri" w:eastAsia="Calibri" w:hAnsi="Calibri"/>
                <w:sz w:val="18"/>
                <w:szCs w:val="18"/>
                <w:color w:val="auto"/>
              </w:rPr>
              <w:t>Distributons on preferred units</w:t>
            </w:r>
          </w:p>
        </w:tc>
        <w:tc>
          <w:tcPr>
            <w:tcW w:w="300" w:type="dxa"/>
            <w:vAlign w:val="bottom"/>
            <w:tcBorders>
              <w:bottom w:val="single" w:sz="8" w:color="F5F5F5"/>
            </w:tcBorders>
            <w:shd w:val="clear" w:color="auto" w:fill="F5F5F5"/>
          </w:tcPr>
          <w:p>
            <w:pPr>
              <w:spacing w:after="0"/>
              <w:rPr>
                <w:sz w:val="22"/>
                <w:szCs w:val="22"/>
                <w:color w:val="auto"/>
              </w:rPr>
            </w:pPr>
          </w:p>
        </w:tc>
        <w:tc>
          <w:tcPr>
            <w:tcW w:w="960" w:type="dxa"/>
            <w:vAlign w:val="bottom"/>
            <w:tcBorders>
              <w:bottom w:val="single" w:sz="8" w:color="F5F5F5"/>
            </w:tcBorders>
            <w:shd w:val="clear" w:color="auto" w:fill="F5F5F5"/>
          </w:tcPr>
          <w:p>
            <w:pPr>
              <w:jc w:val="right"/>
              <w:ind w:right="51"/>
              <w:spacing w:after="0" w:line="215" w:lineRule="exact"/>
              <w:rPr>
                <w:sz w:val="20"/>
                <w:szCs w:val="20"/>
                <w:color w:val="auto"/>
              </w:rPr>
            </w:pPr>
            <w:r>
              <w:rPr>
                <w:rFonts w:ascii="Calibri" w:cs="Calibri" w:eastAsia="Calibri" w:hAnsi="Calibri"/>
                <w:sz w:val="18"/>
                <w:szCs w:val="18"/>
                <w:color w:val="auto"/>
              </w:rPr>
              <w:t>87</w:t>
            </w:r>
          </w:p>
        </w:tc>
        <w:tc>
          <w:tcPr>
            <w:tcW w:w="40" w:type="dxa"/>
            <w:vAlign w:val="bottom"/>
            <w:tcBorders>
              <w:bottom w:val="single" w:sz="8" w:color="F5F5F5"/>
            </w:tcBorders>
            <w:shd w:val="clear" w:color="auto" w:fill="F5F5F5"/>
          </w:tcPr>
          <w:p>
            <w:pPr>
              <w:spacing w:after="0"/>
              <w:rPr>
                <w:sz w:val="22"/>
                <w:szCs w:val="22"/>
                <w:color w:val="auto"/>
              </w:rPr>
            </w:pPr>
          </w:p>
        </w:tc>
        <w:tc>
          <w:tcPr>
            <w:tcW w:w="380" w:type="dxa"/>
            <w:vAlign w:val="bottom"/>
            <w:tcBorders>
              <w:bottom w:val="single" w:sz="8" w:color="F5F5F5"/>
            </w:tcBorders>
            <w:shd w:val="clear" w:color="auto" w:fill="F5F5F5"/>
          </w:tcPr>
          <w:p>
            <w:pPr>
              <w:spacing w:after="0"/>
              <w:rPr>
                <w:sz w:val="22"/>
                <w:szCs w:val="22"/>
                <w:color w:val="auto"/>
              </w:rPr>
            </w:pPr>
          </w:p>
        </w:tc>
        <w:tc>
          <w:tcPr>
            <w:tcW w:w="8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87</w:t>
            </w:r>
          </w:p>
        </w:tc>
        <w:tc>
          <w:tcPr>
            <w:tcW w:w="0" w:type="dxa"/>
            <w:vAlign w:val="bottom"/>
          </w:tcPr>
          <w:p>
            <w:pPr>
              <w:spacing w:after="0"/>
              <w:rPr>
                <w:sz w:val="1"/>
                <w:szCs w:val="1"/>
                <w:color w:val="auto"/>
              </w:rPr>
            </w:pPr>
          </w:p>
        </w:tc>
      </w:tr>
      <w:tr>
        <w:trPr>
          <w:trHeight w:val="213"/>
        </w:trPr>
        <w:tc>
          <w:tcPr>
            <w:tcW w:w="7120" w:type="dxa"/>
            <w:vAlign w:val="bottom"/>
          </w:tcPr>
          <w:p>
            <w:pPr>
              <w:ind w:left="60"/>
              <w:spacing w:after="0" w:line="195" w:lineRule="exact"/>
              <w:rPr>
                <w:sz w:val="20"/>
                <w:szCs w:val="20"/>
                <w:color w:val="auto"/>
              </w:rPr>
            </w:pPr>
            <w:r>
              <w:rPr>
                <w:rFonts w:ascii="Calibri" w:cs="Calibri" w:eastAsia="Calibri" w:hAnsi="Calibri"/>
                <w:sz w:val="18"/>
                <w:szCs w:val="18"/>
                <w:color w:val="auto"/>
              </w:rPr>
              <w:t>Adjusted EBITDA (a)</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1"/>
              <w:spacing w:after="0" w:line="213" w:lineRule="exact"/>
              <w:rPr>
                <w:sz w:val="20"/>
                <w:szCs w:val="20"/>
                <w:color w:val="auto"/>
              </w:rPr>
            </w:pPr>
            <w:r>
              <w:rPr>
                <w:rFonts w:ascii="Calibri" w:cs="Calibri" w:eastAsia="Calibri" w:hAnsi="Calibri"/>
                <w:sz w:val="18"/>
                <w:szCs w:val="18"/>
                <w:color w:val="auto"/>
              </w:rPr>
              <w:t>151,718</w:t>
            </w:r>
          </w:p>
        </w:tc>
        <w:tc>
          <w:tcPr>
            <w:tcW w:w="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172,738</w:t>
            </w:r>
          </w:p>
        </w:tc>
        <w:tc>
          <w:tcPr>
            <w:tcW w:w="0" w:type="dxa"/>
            <w:vAlign w:val="bottom"/>
          </w:tcPr>
          <w:p>
            <w:pPr>
              <w:spacing w:after="0"/>
              <w:rPr>
                <w:sz w:val="1"/>
                <w:szCs w:val="1"/>
                <w:color w:val="auto"/>
              </w:rPr>
            </w:pPr>
          </w:p>
        </w:tc>
      </w:tr>
      <w:tr>
        <w:trPr>
          <w:trHeight w:val="24"/>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20" w:type="dxa"/>
            <w:vAlign w:val="bottom"/>
            <w:tcBorders>
              <w:bottom w:val="single" w:sz="8" w:color="F5F5F5"/>
            </w:tcBorders>
            <w:shd w:val="clear" w:color="auto" w:fill="F5F5F5"/>
          </w:tcPr>
          <w:p>
            <w:pPr>
              <w:ind w:left="220"/>
              <w:spacing w:after="0" w:line="215" w:lineRule="exact"/>
              <w:rPr>
                <w:sz w:val="20"/>
                <w:szCs w:val="20"/>
                <w:color w:val="auto"/>
              </w:rPr>
            </w:pPr>
            <w:r>
              <w:rPr>
                <w:rFonts w:ascii="Calibri" w:cs="Calibri" w:eastAsia="Calibri" w:hAnsi="Calibri"/>
                <w:sz w:val="18"/>
                <w:szCs w:val="18"/>
                <w:color w:val="auto"/>
              </w:rPr>
              <w:t>REIT general and administratve expenses</w:t>
            </w:r>
          </w:p>
        </w:tc>
        <w:tc>
          <w:tcPr>
            <w:tcW w:w="300" w:type="dxa"/>
            <w:vAlign w:val="bottom"/>
            <w:tcBorders>
              <w:bottom w:val="single" w:sz="8" w:color="F5F5F5"/>
            </w:tcBorders>
            <w:shd w:val="clear" w:color="auto" w:fill="F5F5F5"/>
          </w:tcPr>
          <w:p>
            <w:pPr>
              <w:spacing w:after="0"/>
              <w:rPr>
                <w:sz w:val="20"/>
                <w:szCs w:val="20"/>
                <w:color w:val="auto"/>
              </w:rPr>
            </w:pPr>
          </w:p>
        </w:tc>
        <w:tc>
          <w:tcPr>
            <w:tcW w:w="960" w:type="dxa"/>
            <w:vAlign w:val="bottom"/>
            <w:tcBorders>
              <w:bottom w:val="single" w:sz="8" w:color="F5F5F5"/>
            </w:tcBorders>
            <w:shd w:val="clear" w:color="auto" w:fill="F5F5F5"/>
          </w:tcPr>
          <w:p>
            <w:pPr>
              <w:jc w:val="right"/>
              <w:ind w:right="51"/>
              <w:spacing w:after="0" w:line="215" w:lineRule="exact"/>
              <w:rPr>
                <w:sz w:val="20"/>
                <w:szCs w:val="20"/>
                <w:color w:val="auto"/>
              </w:rPr>
            </w:pPr>
            <w:r>
              <w:rPr>
                <w:rFonts w:ascii="Calibri" w:cs="Calibri" w:eastAsia="Calibri" w:hAnsi="Calibri"/>
                <w:sz w:val="18"/>
                <w:szCs w:val="18"/>
                <w:color w:val="auto"/>
              </w:rPr>
              <w:t>8,026</w:t>
            </w:r>
          </w:p>
        </w:tc>
        <w:tc>
          <w:tcPr>
            <w:tcW w:w="40" w:type="dxa"/>
            <w:vAlign w:val="bottom"/>
            <w:tcBorders>
              <w:bottom w:val="single" w:sz="8" w:color="F5F5F5"/>
            </w:tcBorders>
            <w:shd w:val="clear" w:color="auto" w:fill="F5F5F5"/>
          </w:tcPr>
          <w:p>
            <w:pPr>
              <w:spacing w:after="0"/>
              <w:rPr>
                <w:sz w:val="20"/>
                <w:szCs w:val="20"/>
                <w:color w:val="auto"/>
              </w:rPr>
            </w:pPr>
          </w:p>
        </w:tc>
        <w:tc>
          <w:tcPr>
            <w:tcW w:w="38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7,612</w:t>
            </w:r>
          </w:p>
        </w:tc>
        <w:tc>
          <w:tcPr>
            <w:tcW w:w="0" w:type="dxa"/>
            <w:vAlign w:val="bottom"/>
          </w:tcPr>
          <w:p>
            <w:pPr>
              <w:spacing w:after="0"/>
              <w:rPr>
                <w:sz w:val="1"/>
                <w:szCs w:val="1"/>
                <w:color w:val="auto"/>
              </w:rPr>
            </w:pPr>
          </w:p>
        </w:tc>
      </w:tr>
      <w:tr>
        <w:trPr>
          <w:trHeight w:val="215"/>
        </w:trPr>
        <w:tc>
          <w:tcPr>
            <w:tcW w:w="7120" w:type="dxa"/>
            <w:vAlign w:val="bottom"/>
          </w:tcPr>
          <w:p>
            <w:pPr>
              <w:ind w:left="220"/>
              <w:spacing w:after="0" w:line="215" w:lineRule="exact"/>
              <w:rPr>
                <w:sz w:val="20"/>
                <w:szCs w:val="20"/>
                <w:color w:val="auto"/>
              </w:rPr>
            </w:pPr>
            <w:r>
              <w:rPr>
                <w:rFonts w:ascii="Calibri" w:cs="Calibri" w:eastAsia="Calibri" w:hAnsi="Calibri"/>
                <w:sz w:val="18"/>
                <w:szCs w:val="18"/>
                <w:color w:val="auto"/>
              </w:rPr>
              <w:t>Management Companies' revenues</w:t>
            </w:r>
          </w:p>
        </w:tc>
        <w:tc>
          <w:tcPr>
            <w:tcW w:w="300" w:type="dxa"/>
            <w:vAlign w:val="bottom"/>
          </w:tcPr>
          <w:p>
            <w:pPr>
              <w:spacing w:after="0"/>
              <w:rPr>
                <w:sz w:val="18"/>
                <w:szCs w:val="18"/>
                <w:color w:val="auto"/>
              </w:rPr>
            </w:pPr>
          </w:p>
        </w:tc>
        <w:tc>
          <w:tcPr>
            <w:tcW w:w="9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(6,543)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(4,921)</w:t>
            </w:r>
          </w:p>
        </w:tc>
        <w:tc>
          <w:tcPr>
            <w:tcW w:w="0" w:type="dxa"/>
            <w:vAlign w:val="bottom"/>
          </w:tcPr>
          <w:p>
            <w:pPr>
              <w:spacing w:after="0"/>
              <w:rPr>
                <w:sz w:val="1"/>
                <w:szCs w:val="1"/>
                <w:color w:val="auto"/>
              </w:rPr>
            </w:pPr>
          </w:p>
        </w:tc>
      </w:tr>
      <w:tr>
        <w:trPr>
          <w:trHeight w:val="42"/>
        </w:trPr>
        <w:tc>
          <w:tcPr>
            <w:tcW w:w="7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120" w:type="dxa"/>
            <w:vAlign w:val="bottom"/>
            <w:tcBorders>
              <w:bottom w:val="single" w:sz="8" w:color="F5F5F5"/>
            </w:tcBorders>
            <w:shd w:val="clear" w:color="auto" w:fill="F5F5F5"/>
          </w:tcPr>
          <w:p>
            <w:pPr>
              <w:ind w:left="220"/>
              <w:spacing w:after="0" w:line="215" w:lineRule="exact"/>
              <w:rPr>
                <w:sz w:val="20"/>
                <w:szCs w:val="20"/>
                <w:color w:val="auto"/>
              </w:rPr>
            </w:pPr>
            <w:r>
              <w:rPr>
                <w:rFonts w:ascii="Calibri" w:cs="Calibri" w:eastAsia="Calibri" w:hAnsi="Calibri"/>
                <w:sz w:val="18"/>
                <w:szCs w:val="18"/>
                <w:color w:val="auto"/>
              </w:rPr>
              <w:t>Management Companies' operatng expenses</w:t>
            </w:r>
          </w:p>
        </w:tc>
        <w:tc>
          <w:tcPr>
            <w:tcW w:w="300" w:type="dxa"/>
            <w:vAlign w:val="bottom"/>
            <w:tcBorders>
              <w:bottom w:val="single" w:sz="8" w:color="F5F5F5"/>
            </w:tcBorders>
            <w:shd w:val="clear" w:color="auto" w:fill="F5F5F5"/>
          </w:tcPr>
          <w:p>
            <w:pPr>
              <w:spacing w:after="0"/>
              <w:rPr>
                <w:sz w:val="20"/>
                <w:szCs w:val="20"/>
                <w:color w:val="auto"/>
              </w:rPr>
            </w:pPr>
          </w:p>
        </w:tc>
        <w:tc>
          <w:tcPr>
            <w:tcW w:w="960" w:type="dxa"/>
            <w:vAlign w:val="bottom"/>
            <w:tcBorders>
              <w:bottom w:val="single" w:sz="8" w:color="F5F5F5"/>
            </w:tcBorders>
            <w:shd w:val="clear" w:color="auto" w:fill="F5F5F5"/>
          </w:tcPr>
          <w:p>
            <w:pPr>
              <w:jc w:val="right"/>
              <w:ind w:right="51"/>
              <w:spacing w:after="0" w:line="215" w:lineRule="exact"/>
              <w:rPr>
                <w:sz w:val="20"/>
                <w:szCs w:val="20"/>
                <w:color w:val="auto"/>
              </w:rPr>
            </w:pPr>
            <w:r>
              <w:rPr>
                <w:rFonts w:ascii="Calibri" w:cs="Calibri" w:eastAsia="Calibri" w:hAnsi="Calibri"/>
                <w:sz w:val="18"/>
                <w:szCs w:val="18"/>
                <w:color w:val="auto"/>
              </w:rPr>
              <w:t>22,385</w:t>
            </w:r>
          </w:p>
        </w:tc>
        <w:tc>
          <w:tcPr>
            <w:tcW w:w="40" w:type="dxa"/>
            <w:vAlign w:val="bottom"/>
            <w:tcBorders>
              <w:bottom w:val="single" w:sz="8" w:color="F5F5F5"/>
            </w:tcBorders>
            <w:shd w:val="clear" w:color="auto" w:fill="F5F5F5"/>
          </w:tcPr>
          <w:p>
            <w:pPr>
              <w:spacing w:after="0"/>
              <w:rPr>
                <w:sz w:val="20"/>
                <w:szCs w:val="20"/>
                <w:color w:val="auto"/>
              </w:rPr>
            </w:pPr>
          </w:p>
        </w:tc>
        <w:tc>
          <w:tcPr>
            <w:tcW w:w="38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20,783</w:t>
            </w:r>
          </w:p>
        </w:tc>
        <w:tc>
          <w:tcPr>
            <w:tcW w:w="0" w:type="dxa"/>
            <w:vAlign w:val="bottom"/>
          </w:tcPr>
          <w:p>
            <w:pPr>
              <w:spacing w:after="0"/>
              <w:rPr>
                <w:sz w:val="1"/>
                <w:szCs w:val="1"/>
                <w:color w:val="auto"/>
              </w:rPr>
            </w:pPr>
          </w:p>
        </w:tc>
      </w:tr>
      <w:tr>
        <w:trPr>
          <w:trHeight w:val="233"/>
        </w:trPr>
        <w:tc>
          <w:tcPr>
            <w:tcW w:w="7120" w:type="dxa"/>
            <w:vAlign w:val="bottom"/>
          </w:tcPr>
          <w:p>
            <w:pPr>
              <w:ind w:left="220"/>
              <w:spacing w:after="0" w:line="215" w:lineRule="exact"/>
              <w:rPr>
                <w:sz w:val="20"/>
                <w:szCs w:val="20"/>
                <w:color w:val="auto"/>
              </w:rPr>
            </w:pPr>
            <w:r>
              <w:rPr>
                <w:rFonts w:ascii="Calibri" w:cs="Calibri" w:eastAsia="Calibri" w:hAnsi="Calibri"/>
                <w:sz w:val="18"/>
                <w:szCs w:val="18"/>
                <w:color w:val="auto"/>
              </w:rPr>
              <w:t>Leasing expenses, including joint ventures at pro rata</w:t>
            </w:r>
          </w:p>
        </w:tc>
        <w:tc>
          <w:tcPr>
            <w:tcW w:w="300" w:type="dxa"/>
            <w:vAlign w:val="bottom"/>
          </w:tcPr>
          <w:p>
            <w:pPr>
              <w:spacing w:after="0"/>
              <w:rPr>
                <w:sz w:val="20"/>
                <w:szCs w:val="20"/>
                <w:color w:val="auto"/>
              </w:rPr>
            </w:pPr>
          </w:p>
        </w:tc>
        <w:tc>
          <w:tcPr>
            <w:tcW w:w="9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14,800</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auto"/>
              </w:rPr>
              <w:t>12,043</w:t>
            </w:r>
          </w:p>
        </w:tc>
        <w:tc>
          <w:tcPr>
            <w:tcW w:w="0" w:type="dxa"/>
            <w:vAlign w:val="bottom"/>
          </w:tcPr>
          <w:p>
            <w:pPr>
              <w:spacing w:after="0"/>
              <w:rPr>
                <w:sz w:val="1"/>
                <w:szCs w:val="1"/>
                <w:color w:val="auto"/>
              </w:rPr>
            </w:pPr>
          </w:p>
        </w:tc>
      </w:tr>
      <w:tr>
        <w:trPr>
          <w:trHeight w:val="24"/>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20" w:type="dxa"/>
            <w:vAlign w:val="bottom"/>
            <w:tcBorders>
              <w:bottom w:val="single" w:sz="8" w:color="F5F5F5"/>
            </w:tcBorders>
            <w:shd w:val="clear" w:color="auto" w:fill="F5F5F5"/>
          </w:tcPr>
          <w:p>
            <w:pPr>
              <w:ind w:left="220"/>
              <w:spacing w:after="0" w:line="215" w:lineRule="exact"/>
              <w:rPr>
                <w:sz w:val="20"/>
                <w:szCs w:val="20"/>
                <w:color w:val="auto"/>
              </w:rPr>
            </w:pPr>
            <w:r>
              <w:rPr>
                <w:rFonts w:ascii="Calibri" w:cs="Calibri" w:eastAsia="Calibri" w:hAnsi="Calibri"/>
                <w:sz w:val="18"/>
                <w:szCs w:val="18"/>
                <w:color w:val="auto"/>
              </w:rPr>
              <w:t>Corporate and other expenses (income) (b)</w:t>
            </w:r>
          </w:p>
        </w:tc>
        <w:tc>
          <w:tcPr>
            <w:tcW w:w="300" w:type="dxa"/>
            <w:vAlign w:val="bottom"/>
            <w:tcBorders>
              <w:bottom w:val="single" w:sz="8" w:color="F5F5F5"/>
            </w:tcBorders>
            <w:shd w:val="clear" w:color="auto" w:fill="F5F5F5"/>
          </w:tcPr>
          <w:p>
            <w:pPr>
              <w:spacing w:after="0"/>
              <w:rPr>
                <w:sz w:val="20"/>
                <w:szCs w:val="20"/>
                <w:color w:val="auto"/>
              </w:rPr>
            </w:pPr>
          </w:p>
        </w:tc>
        <w:tc>
          <w:tcPr>
            <w:tcW w:w="960" w:type="dxa"/>
            <w:vAlign w:val="bottom"/>
            <w:tcBorders>
              <w:bottom w:val="single" w:sz="8" w:color="F5F5F5"/>
            </w:tcBorders>
            <w:shd w:val="clear" w:color="auto" w:fill="F5F5F5"/>
          </w:tcPr>
          <w:p>
            <w:pPr>
              <w:jc w:val="right"/>
              <w:ind w:right="51"/>
              <w:spacing w:after="0" w:line="215" w:lineRule="exact"/>
              <w:rPr>
                <w:sz w:val="20"/>
                <w:szCs w:val="20"/>
                <w:color w:val="auto"/>
              </w:rPr>
            </w:pPr>
            <w:r>
              <w:rPr>
                <w:rFonts w:ascii="Calibri" w:cs="Calibri" w:eastAsia="Calibri" w:hAnsi="Calibri"/>
                <w:sz w:val="18"/>
                <w:szCs w:val="18"/>
                <w:color w:val="auto"/>
              </w:rPr>
              <w:t>4,468</w:t>
            </w:r>
          </w:p>
        </w:tc>
        <w:tc>
          <w:tcPr>
            <w:tcW w:w="40" w:type="dxa"/>
            <w:vAlign w:val="bottom"/>
            <w:tcBorders>
              <w:bottom w:val="single" w:sz="8" w:color="F5F5F5"/>
            </w:tcBorders>
            <w:shd w:val="clear" w:color="auto" w:fill="F5F5F5"/>
          </w:tcPr>
          <w:p>
            <w:pPr>
              <w:spacing w:after="0"/>
              <w:rPr>
                <w:sz w:val="20"/>
                <w:szCs w:val="20"/>
                <w:color w:val="auto"/>
              </w:rPr>
            </w:pPr>
          </w:p>
        </w:tc>
        <w:tc>
          <w:tcPr>
            <w:tcW w:w="380" w:type="dxa"/>
            <w:vAlign w:val="bottom"/>
            <w:tcBorders>
              <w:bottom w:val="single" w:sz="8" w:color="F5F5F5"/>
            </w:tcBorders>
            <w:shd w:val="clear" w:color="auto" w:fill="F5F5F5"/>
          </w:tcPr>
          <w:p>
            <w:pPr>
              <w:spacing w:after="0"/>
              <w:rPr>
                <w:sz w:val="20"/>
                <w:szCs w:val="20"/>
                <w:color w:val="auto"/>
              </w:rPr>
            </w:pPr>
          </w:p>
        </w:tc>
        <w:tc>
          <w:tcPr>
            <w:tcW w:w="8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(6,703)</w:t>
            </w:r>
          </w:p>
        </w:tc>
        <w:tc>
          <w:tcPr>
            <w:tcW w:w="0" w:type="dxa"/>
            <w:vAlign w:val="bottom"/>
          </w:tcPr>
          <w:p>
            <w:pPr>
              <w:spacing w:after="0"/>
              <w:rPr>
                <w:sz w:val="1"/>
                <w:szCs w:val="1"/>
                <w:color w:val="auto"/>
              </w:rPr>
            </w:pPr>
          </w:p>
        </w:tc>
      </w:tr>
      <w:tr>
        <w:trPr>
          <w:trHeight w:val="215"/>
        </w:trPr>
        <w:tc>
          <w:tcPr>
            <w:tcW w:w="7120" w:type="dxa"/>
            <w:vAlign w:val="bottom"/>
          </w:tcPr>
          <w:p>
            <w:pPr>
              <w:ind w:left="220"/>
              <w:spacing w:after="0" w:line="215" w:lineRule="exact"/>
              <w:rPr>
                <w:sz w:val="20"/>
                <w:szCs w:val="20"/>
                <w:color w:val="auto"/>
              </w:rPr>
            </w:pPr>
            <w:r>
              <w:rPr>
                <w:rFonts w:ascii="Calibri" w:cs="Calibri" w:eastAsia="Calibri" w:hAnsi="Calibri"/>
                <w:sz w:val="18"/>
                <w:szCs w:val="18"/>
                <w:color w:val="auto"/>
              </w:rPr>
              <w:t>Straight-line and above/below market adjustments</w:t>
            </w:r>
          </w:p>
        </w:tc>
        <w:tc>
          <w:tcPr>
            <w:tcW w:w="300" w:type="dxa"/>
            <w:vAlign w:val="bottom"/>
          </w:tcPr>
          <w:p>
            <w:pPr>
              <w:spacing w:after="0"/>
              <w:rPr>
                <w:sz w:val="18"/>
                <w:szCs w:val="18"/>
                <w:color w:val="auto"/>
              </w:rPr>
            </w:pPr>
          </w:p>
        </w:tc>
        <w:tc>
          <w:tcPr>
            <w:tcW w:w="9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(3,734)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(982)</w:t>
            </w:r>
          </w:p>
        </w:tc>
        <w:tc>
          <w:tcPr>
            <w:tcW w:w="0" w:type="dxa"/>
            <w:vAlign w:val="bottom"/>
          </w:tcPr>
          <w:p>
            <w:pPr>
              <w:spacing w:after="0"/>
              <w:rPr>
                <w:sz w:val="1"/>
                <w:szCs w:val="1"/>
                <w:color w:val="auto"/>
              </w:rPr>
            </w:pPr>
          </w:p>
        </w:tc>
      </w:tr>
      <w:tr>
        <w:trPr>
          <w:trHeight w:val="42"/>
        </w:trPr>
        <w:tc>
          <w:tcPr>
            <w:tcW w:w="7120" w:type="dxa"/>
            <w:vAlign w:val="bottom"/>
            <w:tcBorders>
              <w:bottom w:val="single" w:sz="8" w:color="F5F5F5"/>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F5F5F5"/>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F5F5F5"/>
            </w:tcBorders>
            <w:shd w:val="clear" w:color="auto" w:fill="F5F5F5"/>
          </w:tcPr>
          <w:p>
            <w:pPr>
              <w:ind w:left="60"/>
              <w:spacing w:after="0" w:line="195" w:lineRule="exact"/>
              <w:rPr>
                <w:sz w:val="20"/>
                <w:szCs w:val="20"/>
                <w:color w:val="auto"/>
              </w:rPr>
            </w:pPr>
            <w:r>
              <w:rPr>
                <w:rFonts w:ascii="Calibri" w:cs="Calibri" w:eastAsia="Calibri" w:hAnsi="Calibri"/>
                <w:sz w:val="18"/>
                <w:szCs w:val="18"/>
                <w:color w:val="auto"/>
              </w:rPr>
              <w:t>NOI - All Centers</w:t>
            </w:r>
          </w:p>
        </w:tc>
        <w:tc>
          <w:tcPr>
            <w:tcW w:w="300" w:type="dxa"/>
            <w:vAlign w:val="bottom"/>
            <w:tcBorders>
              <w:bottom w:val="single" w:sz="8" w:color="F5F5F5"/>
            </w:tcBorders>
            <w:shd w:val="clear" w:color="auto" w:fill="F5F5F5"/>
          </w:tcPr>
          <w:p>
            <w:pPr>
              <w:spacing w:after="0"/>
              <w:rPr>
                <w:sz w:val="18"/>
                <w:szCs w:val="18"/>
                <w:color w:val="auto"/>
              </w:rPr>
            </w:pPr>
          </w:p>
        </w:tc>
        <w:tc>
          <w:tcPr>
            <w:tcW w:w="960" w:type="dxa"/>
            <w:vAlign w:val="bottom"/>
            <w:tcBorders>
              <w:bottom w:val="single" w:sz="8" w:color="F5F5F5"/>
            </w:tcBorders>
            <w:shd w:val="clear" w:color="auto" w:fill="F5F5F5"/>
          </w:tcPr>
          <w:p>
            <w:pPr>
              <w:jc w:val="right"/>
              <w:ind w:right="51"/>
              <w:spacing w:after="0" w:line="213" w:lineRule="exact"/>
              <w:rPr>
                <w:sz w:val="20"/>
                <w:szCs w:val="20"/>
                <w:color w:val="auto"/>
              </w:rPr>
            </w:pPr>
            <w:r>
              <w:rPr>
                <w:rFonts w:ascii="Calibri" w:cs="Calibri" w:eastAsia="Calibri" w:hAnsi="Calibri"/>
                <w:sz w:val="18"/>
                <w:szCs w:val="18"/>
                <w:color w:val="auto"/>
              </w:rPr>
              <w:t>191,120</w:t>
            </w:r>
          </w:p>
        </w:tc>
        <w:tc>
          <w:tcPr>
            <w:tcW w:w="40" w:type="dxa"/>
            <w:vAlign w:val="bottom"/>
            <w:tcBorders>
              <w:bottom w:val="single" w:sz="8" w:color="F5F5F5"/>
            </w:tcBorders>
            <w:shd w:val="clear" w:color="auto" w:fill="F5F5F5"/>
          </w:tcPr>
          <w:p>
            <w:pPr>
              <w:spacing w:after="0"/>
              <w:rPr>
                <w:sz w:val="18"/>
                <w:szCs w:val="18"/>
                <w:color w:val="auto"/>
              </w:rPr>
            </w:pPr>
          </w:p>
        </w:tc>
        <w:tc>
          <w:tcPr>
            <w:tcW w:w="380" w:type="dxa"/>
            <w:vAlign w:val="bottom"/>
            <w:tcBorders>
              <w:bottom w:val="single" w:sz="8" w:color="F5F5F5"/>
            </w:tcBorders>
            <w:shd w:val="clear" w:color="auto" w:fill="F5F5F5"/>
          </w:tcPr>
          <w:p>
            <w:pPr>
              <w:spacing w:after="0"/>
              <w:rPr>
                <w:sz w:val="18"/>
                <w:szCs w:val="18"/>
                <w:color w:val="auto"/>
              </w:rPr>
            </w:pPr>
          </w:p>
        </w:tc>
        <w:tc>
          <w:tcPr>
            <w:tcW w:w="880" w:type="dxa"/>
            <w:vAlign w:val="bottom"/>
            <w:tcBorders>
              <w:bottom w:val="single" w:sz="8" w:color="F5F5F5"/>
            </w:tcBorders>
            <w:shd w:val="clear" w:color="auto" w:fill="F5F5F5"/>
          </w:tcPr>
          <w:p>
            <w:pPr>
              <w:jc w:val="right"/>
              <w:spacing w:after="0" w:line="213" w:lineRule="exact"/>
              <w:rPr>
                <w:sz w:val="20"/>
                <w:szCs w:val="20"/>
                <w:color w:val="auto"/>
              </w:rPr>
            </w:pPr>
            <w:r>
              <w:rPr>
                <w:rFonts w:ascii="Calibri" w:cs="Calibri" w:eastAsia="Calibri" w:hAnsi="Calibri"/>
                <w:sz w:val="18"/>
                <w:szCs w:val="18"/>
                <w:color w:val="auto"/>
              </w:rPr>
              <w:t>200,570</w:t>
            </w:r>
          </w:p>
        </w:tc>
        <w:tc>
          <w:tcPr>
            <w:tcW w:w="0" w:type="dxa"/>
            <w:vAlign w:val="bottom"/>
          </w:tcPr>
          <w:p>
            <w:pPr>
              <w:spacing w:after="0"/>
              <w:rPr>
                <w:sz w:val="1"/>
                <w:szCs w:val="1"/>
                <w:color w:val="auto"/>
              </w:rPr>
            </w:pPr>
          </w:p>
        </w:tc>
      </w:tr>
      <w:tr>
        <w:trPr>
          <w:trHeight w:val="215"/>
        </w:trPr>
        <w:tc>
          <w:tcPr>
            <w:tcW w:w="7120" w:type="dxa"/>
            <w:vAlign w:val="bottom"/>
          </w:tcPr>
          <w:p>
            <w:pPr>
              <w:ind w:left="160"/>
              <w:spacing w:after="0" w:line="215" w:lineRule="exact"/>
              <w:rPr>
                <w:sz w:val="20"/>
                <w:szCs w:val="20"/>
                <w:color w:val="auto"/>
              </w:rPr>
            </w:pPr>
            <w:r>
              <w:rPr>
                <w:rFonts w:ascii="Calibri" w:cs="Calibri" w:eastAsia="Calibri" w:hAnsi="Calibri"/>
                <w:sz w:val="18"/>
                <w:szCs w:val="18"/>
                <w:color w:val="auto"/>
              </w:rPr>
              <w:t>NOI of non-Go-Forward Portolio Centers (c)</w:t>
            </w:r>
          </w:p>
        </w:tc>
        <w:tc>
          <w:tcPr>
            <w:tcW w:w="300" w:type="dxa"/>
            <w:vAlign w:val="bottom"/>
          </w:tcPr>
          <w:p>
            <w:pPr>
              <w:spacing w:after="0"/>
              <w:rPr>
                <w:sz w:val="18"/>
                <w:szCs w:val="18"/>
                <w:color w:val="auto"/>
              </w:rPr>
            </w:pPr>
          </w:p>
        </w:tc>
        <w:tc>
          <w:tcPr>
            <w:tcW w:w="9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(18,249)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(25,074)</w:t>
            </w:r>
          </w:p>
        </w:tc>
        <w:tc>
          <w:tcPr>
            <w:tcW w:w="0" w:type="dxa"/>
            <w:vAlign w:val="bottom"/>
          </w:tcPr>
          <w:p>
            <w:pPr>
              <w:spacing w:after="0"/>
              <w:rPr>
                <w:sz w:val="1"/>
                <w:szCs w:val="1"/>
                <w:color w:val="auto"/>
              </w:rPr>
            </w:pPr>
          </w:p>
        </w:tc>
      </w:tr>
      <w:tr>
        <w:trPr>
          <w:trHeight w:val="42"/>
        </w:trPr>
        <w:tc>
          <w:tcPr>
            <w:tcW w:w="7120" w:type="dxa"/>
            <w:vAlign w:val="bottom"/>
            <w:tcBorders>
              <w:bottom w:val="single" w:sz="8" w:color="F5F5F5"/>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F5F5F5"/>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120" w:type="dxa"/>
            <w:vAlign w:val="bottom"/>
            <w:tcBorders>
              <w:bottom w:val="single" w:sz="8" w:color="F5F5F5"/>
            </w:tcBorders>
            <w:shd w:val="clear" w:color="auto" w:fill="F5F5F5"/>
          </w:tcPr>
          <w:p>
            <w:pPr>
              <w:ind w:left="60"/>
              <w:spacing w:after="0" w:line="195" w:lineRule="exact"/>
              <w:rPr>
                <w:sz w:val="20"/>
                <w:szCs w:val="20"/>
                <w:color w:val="auto"/>
              </w:rPr>
            </w:pPr>
            <w:r>
              <w:rPr>
                <w:rFonts w:ascii="Calibri" w:cs="Calibri" w:eastAsia="Calibri" w:hAnsi="Calibri"/>
                <w:sz w:val="18"/>
                <w:szCs w:val="18"/>
                <w:color w:val="auto"/>
              </w:rPr>
              <w:t>NOI - Go-Forward Portolio Centers (c)</w:t>
            </w:r>
          </w:p>
        </w:tc>
        <w:tc>
          <w:tcPr>
            <w:tcW w:w="300" w:type="dxa"/>
            <w:vAlign w:val="bottom"/>
            <w:tcBorders>
              <w:bottom w:val="single" w:sz="8" w:color="F5F5F5"/>
            </w:tcBorders>
            <w:shd w:val="clear" w:color="auto" w:fill="F5F5F5"/>
          </w:tcPr>
          <w:p>
            <w:pPr>
              <w:spacing w:after="0"/>
              <w:rPr>
                <w:sz w:val="18"/>
                <w:szCs w:val="18"/>
                <w:color w:val="auto"/>
              </w:rPr>
            </w:pPr>
          </w:p>
        </w:tc>
        <w:tc>
          <w:tcPr>
            <w:tcW w:w="960" w:type="dxa"/>
            <w:vAlign w:val="bottom"/>
            <w:tcBorders>
              <w:bottom w:val="single" w:sz="8" w:color="F5F5F5"/>
            </w:tcBorders>
            <w:shd w:val="clear" w:color="auto" w:fill="F5F5F5"/>
          </w:tcPr>
          <w:p>
            <w:pPr>
              <w:jc w:val="right"/>
              <w:ind w:right="51"/>
              <w:spacing w:after="0" w:line="213" w:lineRule="exact"/>
              <w:rPr>
                <w:sz w:val="20"/>
                <w:szCs w:val="20"/>
                <w:color w:val="auto"/>
              </w:rPr>
            </w:pPr>
            <w:r>
              <w:rPr>
                <w:rFonts w:ascii="Calibri" w:cs="Calibri" w:eastAsia="Calibri" w:hAnsi="Calibri"/>
                <w:sz w:val="18"/>
                <w:szCs w:val="18"/>
                <w:color w:val="auto"/>
              </w:rPr>
              <w:t>172,871</w:t>
            </w:r>
          </w:p>
        </w:tc>
        <w:tc>
          <w:tcPr>
            <w:tcW w:w="40" w:type="dxa"/>
            <w:vAlign w:val="bottom"/>
            <w:tcBorders>
              <w:bottom w:val="single" w:sz="8" w:color="F5F5F5"/>
            </w:tcBorders>
            <w:shd w:val="clear" w:color="auto" w:fill="F5F5F5"/>
          </w:tcPr>
          <w:p>
            <w:pPr>
              <w:spacing w:after="0"/>
              <w:rPr>
                <w:sz w:val="18"/>
                <w:szCs w:val="18"/>
                <w:color w:val="auto"/>
              </w:rPr>
            </w:pPr>
          </w:p>
        </w:tc>
        <w:tc>
          <w:tcPr>
            <w:tcW w:w="380" w:type="dxa"/>
            <w:vAlign w:val="bottom"/>
            <w:tcBorders>
              <w:bottom w:val="single" w:sz="8" w:color="F5F5F5"/>
            </w:tcBorders>
            <w:shd w:val="clear" w:color="auto" w:fill="F5F5F5"/>
          </w:tcPr>
          <w:p>
            <w:pPr>
              <w:spacing w:after="0"/>
              <w:rPr>
                <w:sz w:val="18"/>
                <w:szCs w:val="18"/>
                <w:color w:val="auto"/>
              </w:rPr>
            </w:pPr>
          </w:p>
        </w:tc>
        <w:tc>
          <w:tcPr>
            <w:tcW w:w="880" w:type="dxa"/>
            <w:vAlign w:val="bottom"/>
            <w:tcBorders>
              <w:bottom w:val="single" w:sz="8" w:color="F5F5F5"/>
            </w:tcBorders>
            <w:shd w:val="clear" w:color="auto" w:fill="F5F5F5"/>
          </w:tcPr>
          <w:p>
            <w:pPr>
              <w:jc w:val="right"/>
              <w:spacing w:after="0" w:line="213" w:lineRule="exact"/>
              <w:rPr>
                <w:sz w:val="20"/>
                <w:szCs w:val="20"/>
                <w:color w:val="auto"/>
              </w:rPr>
            </w:pPr>
            <w:r>
              <w:rPr>
                <w:rFonts w:ascii="Calibri" w:cs="Calibri" w:eastAsia="Calibri" w:hAnsi="Calibri"/>
                <w:sz w:val="18"/>
                <w:szCs w:val="18"/>
                <w:color w:val="auto"/>
              </w:rPr>
              <w:t>175,496</w:t>
            </w:r>
          </w:p>
        </w:tc>
        <w:tc>
          <w:tcPr>
            <w:tcW w:w="0" w:type="dxa"/>
            <w:vAlign w:val="bottom"/>
          </w:tcPr>
          <w:p>
            <w:pPr>
              <w:spacing w:after="0"/>
              <w:rPr>
                <w:sz w:val="1"/>
                <w:szCs w:val="1"/>
                <w:color w:val="auto"/>
              </w:rPr>
            </w:pPr>
          </w:p>
        </w:tc>
      </w:tr>
      <w:tr>
        <w:trPr>
          <w:trHeight w:val="215"/>
        </w:trPr>
        <w:tc>
          <w:tcPr>
            <w:tcW w:w="7120" w:type="dxa"/>
            <w:vAlign w:val="bottom"/>
          </w:tcPr>
          <w:p>
            <w:pPr>
              <w:ind w:left="160"/>
              <w:spacing w:after="0" w:line="215" w:lineRule="exact"/>
              <w:rPr>
                <w:sz w:val="20"/>
                <w:szCs w:val="20"/>
                <w:color w:val="auto"/>
              </w:rPr>
            </w:pPr>
            <w:r>
              <w:rPr>
                <w:rFonts w:ascii="Calibri" w:cs="Calibri" w:eastAsia="Calibri" w:hAnsi="Calibri"/>
                <w:sz w:val="18"/>
                <w:szCs w:val="18"/>
                <w:color w:val="auto"/>
              </w:rPr>
              <w:t>Lease terminaton income of Go-Forward Portolio Centers</w:t>
            </w:r>
          </w:p>
        </w:tc>
        <w:tc>
          <w:tcPr>
            <w:tcW w:w="300" w:type="dxa"/>
            <w:vAlign w:val="bottom"/>
          </w:tcPr>
          <w:p>
            <w:pPr>
              <w:spacing w:after="0"/>
              <w:rPr>
                <w:sz w:val="18"/>
                <w:szCs w:val="18"/>
                <w:color w:val="auto"/>
              </w:rPr>
            </w:pPr>
          </w:p>
        </w:tc>
        <w:tc>
          <w:tcPr>
            <w:tcW w:w="960" w:type="dxa"/>
            <w:vAlign w:val="bottom"/>
          </w:tcPr>
          <w:p>
            <w:pPr>
              <w:jc w:val="right"/>
              <w:ind w:right="51"/>
              <w:spacing w:after="0" w:line="215" w:lineRule="exact"/>
              <w:rPr>
                <w:sz w:val="20"/>
                <w:szCs w:val="20"/>
                <w:color w:val="auto"/>
              </w:rPr>
            </w:pPr>
            <w:r>
              <w:rPr>
                <w:rFonts w:ascii="Calibri" w:cs="Calibri" w:eastAsia="Calibri" w:hAnsi="Calibri"/>
                <w:sz w:val="18"/>
                <w:szCs w:val="18"/>
                <w:color w:val="auto"/>
              </w:rPr>
              <w:t>(170)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(4,799)</w:t>
            </w:r>
          </w:p>
        </w:tc>
        <w:tc>
          <w:tcPr>
            <w:tcW w:w="0" w:type="dxa"/>
            <w:vAlign w:val="bottom"/>
          </w:tcPr>
          <w:p>
            <w:pPr>
              <w:spacing w:after="0"/>
              <w:rPr>
                <w:sz w:val="1"/>
                <w:szCs w:val="1"/>
                <w:color w:val="auto"/>
              </w:rPr>
            </w:pPr>
          </w:p>
        </w:tc>
      </w:tr>
      <w:tr>
        <w:trPr>
          <w:trHeight w:val="42"/>
        </w:trPr>
        <w:tc>
          <w:tcPr>
            <w:tcW w:w="7120" w:type="dxa"/>
            <w:vAlign w:val="bottom"/>
            <w:tcBorders>
              <w:bottom w:val="single" w:sz="8" w:color="F5F5F5"/>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F5F5F5"/>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7120" w:type="dxa"/>
            <w:vAlign w:val="bottom"/>
            <w:tcBorders>
              <w:bottom w:val="single" w:sz="8" w:color="F5F5F5"/>
            </w:tcBorders>
            <w:shd w:val="clear" w:color="auto" w:fill="F5F5F5"/>
          </w:tcPr>
          <w:p>
            <w:pPr>
              <w:ind w:left="60"/>
              <w:spacing w:after="0"/>
              <w:rPr>
                <w:sz w:val="20"/>
                <w:szCs w:val="20"/>
                <w:color w:val="auto"/>
              </w:rPr>
            </w:pPr>
            <w:r>
              <w:rPr>
                <w:rFonts w:ascii="Calibri" w:cs="Calibri" w:eastAsia="Calibri" w:hAnsi="Calibri"/>
                <w:sz w:val="18"/>
                <w:szCs w:val="18"/>
                <w:color w:val="auto"/>
              </w:rPr>
              <w:t>NOI - Go-Forward Portolio Centers, excluding lease terminaton income (c)</w:t>
            </w:r>
          </w:p>
        </w:tc>
        <w:tc>
          <w:tcPr>
            <w:tcW w:w="300" w:type="dxa"/>
            <w:vAlign w:val="bottom"/>
            <w:tcBorders>
              <w:bottom w:val="single" w:sz="8" w:color="auto"/>
            </w:tcBorders>
            <w:shd w:val="clear" w:color="auto" w:fill="F5F5F5"/>
          </w:tcPr>
          <w:p>
            <w:pPr>
              <w:jc w:val="right"/>
              <w:ind w:right="76"/>
              <w:spacing w:after="0"/>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F5F5F5"/>
          </w:tcPr>
          <w:p>
            <w:pPr>
              <w:jc w:val="right"/>
              <w:ind w:right="51"/>
              <w:spacing w:after="0"/>
              <w:rPr>
                <w:sz w:val="20"/>
                <w:szCs w:val="20"/>
                <w:color w:val="auto"/>
              </w:rPr>
            </w:pPr>
            <w:r>
              <w:rPr>
                <w:rFonts w:ascii="Calibri" w:cs="Calibri" w:eastAsia="Calibri" w:hAnsi="Calibri"/>
                <w:sz w:val="18"/>
                <w:szCs w:val="18"/>
                <w:color w:val="auto"/>
              </w:rPr>
              <w:t>172,701</w:t>
            </w:r>
          </w:p>
        </w:tc>
        <w:tc>
          <w:tcPr>
            <w:tcW w:w="40" w:type="dxa"/>
            <w:vAlign w:val="bottom"/>
            <w:tcBorders>
              <w:bottom w:val="single" w:sz="8" w:color="F5F5F5"/>
            </w:tcBorders>
            <w:shd w:val="clear" w:color="auto" w:fill="F5F5F5"/>
          </w:tcPr>
          <w:p>
            <w:pPr>
              <w:spacing w:after="0"/>
              <w:rPr>
                <w:sz w:val="24"/>
                <w:szCs w:val="24"/>
                <w:color w:val="auto"/>
              </w:rPr>
            </w:pPr>
          </w:p>
        </w:tc>
        <w:tc>
          <w:tcPr>
            <w:tcW w:w="380" w:type="dxa"/>
            <w:vAlign w:val="bottom"/>
            <w:tcBorders>
              <w:bottom w:val="single" w:sz="8" w:color="auto"/>
            </w:tcBorders>
            <w:shd w:val="clear" w:color="auto" w:fill="F5F5F5"/>
          </w:tcPr>
          <w:p>
            <w:pPr>
              <w:jc w:val="right"/>
              <w:ind w:right="150"/>
              <w:spacing w:after="0"/>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F5F5F5"/>
          </w:tcPr>
          <w:p>
            <w:pPr>
              <w:jc w:val="right"/>
              <w:spacing w:after="0"/>
              <w:rPr>
                <w:sz w:val="20"/>
                <w:szCs w:val="20"/>
                <w:color w:val="auto"/>
              </w:rPr>
            </w:pPr>
            <w:r>
              <w:rPr>
                <w:rFonts w:ascii="Calibri" w:cs="Calibri" w:eastAsia="Calibri" w:hAnsi="Calibri"/>
                <w:sz w:val="18"/>
                <w:szCs w:val="18"/>
                <w:color w:val="auto"/>
              </w:rPr>
              <w:t>170,697</w:t>
            </w:r>
          </w:p>
        </w:tc>
        <w:tc>
          <w:tcPr>
            <w:tcW w:w="0" w:type="dxa"/>
            <w:vAlign w:val="bottom"/>
          </w:tcPr>
          <w:p>
            <w:pPr>
              <w:spacing w:after="0"/>
              <w:rPr>
                <w:sz w:val="1"/>
                <w:szCs w:val="1"/>
                <w:color w:val="auto"/>
              </w:rPr>
            </w:pPr>
          </w:p>
        </w:tc>
      </w:tr>
      <w:tr>
        <w:trPr>
          <w:trHeight w:val="20"/>
        </w:trPr>
        <w:tc>
          <w:tcPr>
            <w:tcW w:w="7120" w:type="dxa"/>
            <w:vAlign w:val="bottom"/>
            <w:tcBorders>
              <w:top w:val="single" w:sz="8" w:color="F5F5F5"/>
            </w:tcBorders>
          </w:tcPr>
          <w:p>
            <w:pPr>
              <w:spacing w:after="0" w:line="20" w:lineRule="exact"/>
              <w:rPr>
                <w:sz w:val="1"/>
                <w:szCs w:val="1"/>
                <w:color w:val="auto"/>
              </w:rPr>
            </w:pPr>
          </w:p>
        </w:tc>
        <w:tc>
          <w:tcPr>
            <w:tcW w:w="300" w:type="dxa"/>
            <w:vAlign w:val="bottom"/>
            <w:tcBorders>
              <w:top w:val="single" w:sz="8" w:color="F5F5F5"/>
              <w:bottom w:val="single" w:sz="8" w:color="auto"/>
            </w:tcBorders>
          </w:tcPr>
          <w:p>
            <w:pPr>
              <w:spacing w:after="0" w:line="20" w:lineRule="exact"/>
              <w:rPr>
                <w:sz w:val="1"/>
                <w:szCs w:val="1"/>
                <w:color w:val="auto"/>
              </w:rPr>
            </w:pPr>
          </w:p>
        </w:tc>
        <w:tc>
          <w:tcPr>
            <w:tcW w:w="960" w:type="dxa"/>
            <w:vAlign w:val="bottom"/>
            <w:tcBorders>
              <w:top w:val="single" w:sz="8" w:color="F5F5F5"/>
              <w:bottom w:val="single" w:sz="8" w:color="auto"/>
            </w:tcBorders>
          </w:tcPr>
          <w:p>
            <w:pPr>
              <w:spacing w:after="0" w:line="20" w:lineRule="exact"/>
              <w:rPr>
                <w:sz w:val="1"/>
                <w:szCs w:val="1"/>
                <w:color w:val="auto"/>
              </w:rPr>
            </w:pPr>
          </w:p>
        </w:tc>
        <w:tc>
          <w:tcPr>
            <w:tcW w:w="40" w:type="dxa"/>
            <w:vAlign w:val="bottom"/>
            <w:tcBorders>
              <w:top w:val="single" w:sz="8" w:color="F5F5F5"/>
            </w:tcBorders>
          </w:tcPr>
          <w:p>
            <w:pPr>
              <w:spacing w:after="0" w:line="20" w:lineRule="exact"/>
              <w:rPr>
                <w:sz w:val="1"/>
                <w:szCs w:val="1"/>
                <w:color w:val="auto"/>
              </w:rPr>
            </w:pPr>
          </w:p>
        </w:tc>
        <w:tc>
          <w:tcPr>
            <w:tcW w:w="380" w:type="dxa"/>
            <w:vAlign w:val="bottom"/>
            <w:tcBorders>
              <w:top w:val="single" w:sz="8" w:color="F5F5F5"/>
              <w:bottom w:val="single" w:sz="8" w:color="auto"/>
            </w:tcBorders>
          </w:tcPr>
          <w:p>
            <w:pPr>
              <w:spacing w:after="0" w:line="20" w:lineRule="exact"/>
              <w:rPr>
                <w:sz w:val="1"/>
                <w:szCs w:val="1"/>
                <w:color w:val="auto"/>
              </w:rPr>
            </w:pPr>
          </w:p>
        </w:tc>
        <w:tc>
          <w:tcPr>
            <w:tcW w:w="880" w:type="dxa"/>
            <w:vAlign w:val="bottom"/>
            <w:tcBorders>
              <w:top w:val="single" w:sz="8" w:color="F5F5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20" w:type="dxa"/>
            <w:vAlign w:val="bottom"/>
          </w:tcPr>
          <w:p>
            <w:pPr>
              <w:ind w:left="60"/>
              <w:spacing w:after="0" w:line="207" w:lineRule="exact"/>
              <w:rPr>
                <w:sz w:val="20"/>
                <w:szCs w:val="20"/>
                <w:color w:val="auto"/>
              </w:rPr>
            </w:pPr>
            <w:r>
              <w:rPr>
                <w:rFonts w:ascii="Calibri" w:cs="Calibri" w:eastAsia="Calibri" w:hAnsi="Calibri"/>
                <w:sz w:val="18"/>
                <w:szCs w:val="18"/>
                <w:color w:val="auto"/>
              </w:rPr>
              <w:t>NOI - Go-Forward Portolio Centers percentage change, including lease terminaton income (c)</w:t>
            </w:r>
          </w:p>
        </w:tc>
        <w:tc>
          <w:tcPr>
            <w:tcW w:w="300" w:type="dxa"/>
            <w:vAlign w:val="bottom"/>
          </w:tcPr>
          <w:p>
            <w:pPr>
              <w:spacing w:after="0"/>
              <w:rPr>
                <w:sz w:val="18"/>
                <w:szCs w:val="18"/>
                <w:color w:val="auto"/>
              </w:rPr>
            </w:pPr>
          </w:p>
        </w:tc>
        <w:tc>
          <w:tcPr>
            <w:tcW w:w="960" w:type="dxa"/>
            <w:vAlign w:val="bottom"/>
          </w:tcPr>
          <w:p>
            <w:pPr>
              <w:jc w:val="right"/>
              <w:spacing w:after="0" w:line="207" w:lineRule="exact"/>
              <w:rPr>
                <w:sz w:val="20"/>
                <w:szCs w:val="20"/>
                <w:color w:val="auto"/>
              </w:rPr>
            </w:pPr>
            <w:r>
              <w:rPr>
                <w:rFonts w:ascii="Calibri" w:cs="Calibri" w:eastAsia="Calibri" w:hAnsi="Calibri"/>
                <w:sz w:val="18"/>
                <w:szCs w:val="18"/>
                <w:color w:val="auto"/>
              </w:rPr>
              <w:t>(1.5)%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7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7120" w:type="dxa"/>
            <w:vAlign w:val="bottom"/>
            <w:shd w:val="clear" w:color="auto" w:fill="F5F5F5"/>
          </w:tcPr>
          <w:p>
            <w:pPr>
              <w:ind w:left="60"/>
              <w:spacing w:after="0"/>
              <w:rPr>
                <w:sz w:val="20"/>
                <w:szCs w:val="20"/>
                <w:color w:val="auto"/>
              </w:rPr>
            </w:pPr>
            <w:r>
              <w:rPr>
                <w:rFonts w:ascii="Calibri" w:cs="Calibri" w:eastAsia="Calibri" w:hAnsi="Calibri"/>
                <w:sz w:val="18"/>
                <w:szCs w:val="18"/>
                <w:color w:val="auto"/>
              </w:rPr>
              <w:t>NOI - Go-Forward Portolio Centers percentage change, excluding lease terminaton income (c)</w:t>
            </w:r>
          </w:p>
        </w:tc>
        <w:tc>
          <w:tcPr>
            <w:tcW w:w="300" w:type="dxa"/>
            <w:vAlign w:val="bottom"/>
            <w:shd w:val="clear" w:color="auto" w:fill="F5F5F5"/>
          </w:tcPr>
          <w:p>
            <w:pPr>
              <w:spacing w:after="0"/>
              <w:rPr>
                <w:sz w:val="24"/>
                <w:szCs w:val="24"/>
                <w:color w:val="auto"/>
              </w:rPr>
            </w:pPr>
          </w:p>
        </w:tc>
        <w:tc>
          <w:tcPr>
            <w:tcW w:w="960" w:type="dxa"/>
            <w:vAlign w:val="bottom"/>
            <w:shd w:val="clear" w:color="auto" w:fill="F5F5F5"/>
          </w:tcPr>
          <w:p>
            <w:pPr>
              <w:jc w:val="right"/>
              <w:spacing w:after="0" w:line="337" w:lineRule="exact"/>
              <w:rPr>
                <w:sz w:val="20"/>
                <w:szCs w:val="20"/>
                <w:color w:val="auto"/>
              </w:rPr>
            </w:pPr>
            <w:r>
              <w:rPr>
                <w:rFonts w:ascii="Calibri" w:cs="Calibri" w:eastAsia="Calibri" w:hAnsi="Calibri"/>
                <w:sz w:val="18"/>
                <w:szCs w:val="18"/>
                <w:color w:val="auto"/>
              </w:rPr>
              <w:t xml:space="preserve">1.2 </w:t>
            </w:r>
            <w:r>
              <w:rPr>
                <w:rFonts w:ascii="Calibri" w:cs="Calibri" w:eastAsia="Calibri" w:hAnsi="Calibri"/>
                <w:sz w:val="35"/>
                <w:szCs w:val="35"/>
                <w:color w:val="auto"/>
                <w:vertAlign w:val="superscript"/>
              </w:rPr>
              <w:t>%</w:t>
            </w:r>
          </w:p>
        </w:tc>
        <w:tc>
          <w:tcPr>
            <w:tcW w:w="40" w:type="dxa"/>
            <w:vAlign w:val="bottom"/>
            <w:shd w:val="clear" w:color="auto" w:fill="F5F5F5"/>
          </w:tcPr>
          <w:p>
            <w:pPr>
              <w:spacing w:after="0"/>
              <w:rPr>
                <w:sz w:val="24"/>
                <w:szCs w:val="24"/>
                <w:color w:val="auto"/>
              </w:rPr>
            </w:pPr>
          </w:p>
        </w:tc>
        <w:tc>
          <w:tcPr>
            <w:tcW w:w="380" w:type="dxa"/>
            <w:vAlign w:val="bottom"/>
            <w:shd w:val="clear" w:color="auto" w:fill="F5F5F5"/>
          </w:tcPr>
          <w:p>
            <w:pPr>
              <w:spacing w:after="0"/>
              <w:rPr>
                <w:sz w:val="24"/>
                <w:szCs w:val="24"/>
                <w:color w:val="auto"/>
              </w:rPr>
            </w:pPr>
          </w:p>
        </w:tc>
        <w:tc>
          <w:tcPr>
            <w:tcW w:w="88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57" w:orient="portrait"/>
          <w:cols w:equalWidth="0" w:num="1">
            <w:col w:w="9840"/>
          </w:cols>
          <w:pgMar w:left="1000" w:top="28" w:right="1059" w:bottom="0" w:gutter="0" w:footer="0" w:header="0"/>
        </w:sectPr>
      </w:pPr>
    </w:p>
    <w:p>
      <w:pPr>
        <w:spacing w:after="0" w:line="29" w:lineRule="exact"/>
        <w:rPr>
          <w:sz w:val="20"/>
          <w:szCs w:val="20"/>
          <w:color w:val="auto"/>
        </w:rPr>
      </w:pPr>
    </w:p>
    <w:p>
      <w:pPr>
        <w:ind w:left="480" w:right="180" w:hanging="315"/>
        <w:spacing w:after="0" w:line="186" w:lineRule="auto"/>
        <w:tabs>
          <w:tab w:leader="none" w:pos="480" w:val="left"/>
        </w:tabs>
        <w:numPr>
          <w:ilvl w:val="0"/>
          <w:numId w:val="3"/>
        </w:numPr>
        <w:rPr>
          <w:rFonts w:ascii="Calibri" w:cs="Calibri" w:eastAsia="Calibri" w:hAnsi="Calibri"/>
          <w:sz w:val="23"/>
          <w:szCs w:val="23"/>
          <w:color w:val="auto"/>
          <w:vertAlign w:val="subscript"/>
        </w:rPr>
      </w:pPr>
      <w:r>
        <w:rPr>
          <w:rFonts w:ascii="Calibri" w:cs="Calibri" w:eastAsia="Calibri" w:hAnsi="Calibri"/>
          <w:sz w:val="12"/>
          <w:szCs w:val="12"/>
          <w:color w:val="auto"/>
        </w:rPr>
        <w:t>Adjusted EBITDA represents earnings before interest, income taxes, depreciaton, amortzaton, noncontrolling interests in the OP, extraordinary items, loss (gain) on remeasurement, sale or write down of assets, loss (gain) on extnguishment of debt, and preferred dividends and includes joint ventures at their pro</w:t>
      </w:r>
    </w:p>
    <w:p>
      <w:pPr>
        <w:sectPr>
          <w:pgSz w:w="11900" w:h="16857" w:orient="portrait"/>
          <w:cols w:equalWidth="0" w:num="1">
            <w:col w:w="9840"/>
          </w:cols>
          <w:pgMar w:left="1000" w:top="28" w:right="1059" w:bottom="0" w:gutter="0" w:footer="0" w:header="0"/>
          <w:type w:val="continuous"/>
        </w:sectPr>
      </w:pPr>
    </w:p>
    <w:bookmarkStart w:id="12" w:name="page13"/>
    <w:bookmarkEnd w:id="12"/>
    <w:p>
      <w:pPr>
        <w:ind w:left="320" w:right="20"/>
        <w:spacing w:after="0" w:line="214" w:lineRule="auto"/>
        <w:rPr>
          <w:sz w:val="20"/>
          <w:szCs w:val="20"/>
          <w:color w:val="auto"/>
        </w:rPr>
      </w:pPr>
      <w:r>
        <w:rPr>
          <w:rFonts w:ascii="Calibri" w:cs="Calibri" w:eastAsia="Calibri" w:hAnsi="Calibri"/>
          <w:sz w:val="14"/>
          <w:szCs w:val="14"/>
          <w:color w:val="auto"/>
        </w:rPr>
        <w:t>rata share. Management considers Adjusted EBITDA to be an appropriate supplemental measure to net income because it helps investors understand the ability of the Company to incur and service debt and make capital expenditures. The Company believes that Adjusted EBITDA should not be construed as an alternatve to operatng income as an indicator of the Company's operatng performance, or to cash fows from operatng actvites (as determined in accordance with GAAP), or as a measure of liquidity. The Company also cautons that Adjusted EBITDA, as presented, may not be comparable to similarly ttled measurements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-447675</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64" w:lineRule="exact"/>
        <w:rPr>
          <w:sz w:val="20"/>
          <w:szCs w:val="20"/>
          <w:color w:val="auto"/>
        </w:rPr>
      </w:pPr>
    </w:p>
    <w:p>
      <w:pPr>
        <w:ind w:left="320" w:right="840" w:hanging="315"/>
        <w:spacing w:after="0" w:line="223" w:lineRule="auto"/>
        <w:tabs>
          <w:tab w:leader="none" w:pos="289"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Includes (income) expense components excluded from NOI - All Centers, including legal claims setlement income, interest income, non-real estate investments, and other assets.</w:t>
      </w:r>
    </w:p>
    <w:p>
      <w:pPr>
        <w:spacing w:after="0" w:line="208" w:lineRule="exact"/>
        <w:rPr>
          <w:rFonts w:ascii="Calibri" w:cs="Calibri" w:eastAsia="Calibri" w:hAnsi="Calibri"/>
          <w:sz w:val="14"/>
          <w:szCs w:val="14"/>
          <w:color w:val="auto"/>
        </w:rPr>
      </w:pPr>
    </w:p>
    <w:p>
      <w:pPr>
        <w:ind w:left="320" w:hanging="315"/>
        <w:spacing w:after="0" w:line="233" w:lineRule="auto"/>
        <w:tabs>
          <w:tab w:leader="none" w:pos="307"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NOI – Go-Forward Portolio Centers represents the NOI from the Go-Forward Portolio Centers as defned on page 22 (See note (c) of the Company’s Property Listng Table), excluding Crabtree Mall for purposes of this calculaton, as it was acquired on June 23, 2025 and was not held for the same period in 2024. The Company believes that only showing the results of the Go-Forward Portolio Centers beter refects the ongoing operatng performance of the Company. Go-Forward Portolio NOI is calculated using total Adjusted EBITDA and eliminatng the impact of the Management Companies’ revenues and operatng expenses, leasing expenses (including joint ventures at pro rata), the Company’s REIT general and administratve expenses, corporate and other income and expenses and the straight-line and above/below market adjustments and subtractng out NOI from non-Go-Forward Portolio Centers. The Company also presents NOI – Go-Forward Portolio Centers, excluding lease terminaton income, as the Company believes that it is useful for investors to evaluate operatng performance without the impact of lease terminaton income. For purposes of this calculaton, the non-Go-Forward Portolio Centers includes Crabtree Mall.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20"/>
        <w:spacing w:after="0"/>
        <w:rPr>
          <w:sz w:val="20"/>
          <w:szCs w:val="20"/>
          <w:color w:val="auto"/>
        </w:rPr>
      </w:pPr>
      <w:r>
        <w:rPr>
          <w:rFonts w:ascii="Calibri" w:cs="Calibri" w:eastAsia="Calibri" w:hAnsi="Calibri"/>
          <w:sz w:val="18"/>
          <w:szCs w:val="18"/>
          <w:b w:val="1"/>
          <w:bCs w:val="1"/>
          <w:color w:val="auto"/>
        </w:rPr>
        <w:t>The Macerich Company</w:t>
      </w:r>
    </w:p>
    <w:p>
      <w:pPr>
        <w:jc w:val="center"/>
        <w:ind w:right="300"/>
        <w:spacing w:after="0" w:line="206" w:lineRule="auto"/>
        <w:rPr>
          <w:sz w:val="20"/>
          <w:szCs w:val="20"/>
          <w:color w:val="auto"/>
        </w:rPr>
      </w:pPr>
      <w:r>
        <w:rPr>
          <w:rFonts w:ascii="Calibri" w:cs="Calibri" w:eastAsia="Calibri" w:hAnsi="Calibri"/>
          <w:sz w:val="18"/>
          <w:szCs w:val="18"/>
          <w:b w:val="1"/>
          <w:bCs w:val="1"/>
          <w:color w:val="auto"/>
        </w:rPr>
        <w:t>Supplemental Financial and Operatng Informaton (unaudited)</w:t>
      </w:r>
    </w:p>
    <w:p>
      <w:pPr>
        <w:jc w:val="center"/>
        <w:ind w:right="260"/>
        <w:spacing w:after="0" w:line="221" w:lineRule="auto"/>
        <w:rPr>
          <w:sz w:val="20"/>
          <w:szCs w:val="20"/>
          <w:color w:val="auto"/>
        </w:rPr>
      </w:pPr>
      <w:r>
        <w:rPr>
          <w:rFonts w:ascii="Calibri" w:cs="Calibri" w:eastAsia="Calibri" w:hAnsi="Calibri"/>
          <w:sz w:val="18"/>
          <w:szCs w:val="18"/>
          <w:b w:val="1"/>
          <w:bCs w:val="1"/>
          <w:color w:val="auto"/>
        </w:rPr>
        <w:t>Capital Informaton and Market Capitalizaton</w:t>
      </w:r>
    </w:p>
    <w:p>
      <w:pPr>
        <w:spacing w:after="0" w:line="200" w:lineRule="exact"/>
        <w:rPr>
          <w:sz w:val="20"/>
          <w:szCs w:val="20"/>
          <w:color w:val="auto"/>
        </w:rPr>
      </w:pPr>
    </w:p>
    <w:p>
      <w:pPr>
        <w:spacing w:after="0" w:line="281"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rPr>
              <w:t>Period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
        </w:trPr>
        <w:tc>
          <w:tcPr>
            <w:tcW w:w="5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3"/>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94"/>
              <w:spacing w:after="0" w:line="164" w:lineRule="exact"/>
              <w:rPr>
                <w:sz w:val="20"/>
                <w:szCs w:val="20"/>
                <w:color w:val="auto"/>
              </w:rPr>
            </w:pPr>
            <w:r>
              <w:rPr>
                <w:rFonts w:ascii="Calibri" w:cs="Calibri" w:eastAsia="Calibri" w:hAnsi="Calibri"/>
                <w:sz w:val="14"/>
                <w:szCs w:val="14"/>
                <w:b w:val="1"/>
                <w:bCs w:val="1"/>
                <w:color w:val="auto"/>
              </w:rPr>
              <w:t>3/31/2026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4"/>
              <w:spacing w:after="0" w:line="164" w:lineRule="exact"/>
              <w:rPr>
                <w:sz w:val="20"/>
                <w:szCs w:val="20"/>
                <w:color w:val="auto"/>
              </w:rPr>
            </w:pPr>
            <w:r>
              <w:rPr>
                <w:rFonts w:ascii="Calibri" w:cs="Calibri" w:eastAsia="Calibri" w:hAnsi="Calibri"/>
                <w:sz w:val="14"/>
                <w:szCs w:val="14"/>
                <w:b w:val="1"/>
                <w:bCs w:val="1"/>
                <w:color w:val="auto"/>
              </w:rPr>
              <w:t>12/31/2025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72"/>
              <w:spacing w:after="0" w:line="164" w:lineRule="exact"/>
              <w:rPr>
                <w:sz w:val="20"/>
                <w:szCs w:val="20"/>
                <w:color w:val="auto"/>
              </w:rPr>
            </w:pPr>
            <w:r>
              <w:rPr>
                <w:rFonts w:ascii="Calibri" w:cs="Calibri" w:eastAsia="Calibri" w:hAnsi="Calibri"/>
                <w:sz w:val="14"/>
                <w:szCs w:val="14"/>
                <w:b w:val="1"/>
                <w:bCs w:val="1"/>
                <w:color w:val="auto"/>
              </w:rPr>
              <w:t>12/31/2024</w:t>
            </w:r>
          </w:p>
        </w:tc>
      </w:tr>
      <w:tr>
        <w:trPr>
          <w:trHeight w:val="46"/>
        </w:trPr>
        <w:tc>
          <w:tcPr>
            <w:tcW w:w="54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gridSpan w:val="7"/>
          </w:tcPr>
          <w:p>
            <w:pPr>
              <w:spacing w:after="0"/>
              <w:rPr>
                <w:sz w:val="4"/>
                <w:szCs w:val="4"/>
                <w:color w:val="auto"/>
              </w:rPr>
            </w:pPr>
          </w:p>
        </w:tc>
      </w:tr>
      <w:tr>
        <w:trPr>
          <w:trHeight w:val="163"/>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gridSpan w:val="7"/>
          </w:tcPr>
          <w:p>
            <w:pPr>
              <w:jc w:val="center"/>
              <w:ind w:right="112"/>
              <w:spacing w:after="0" w:line="164" w:lineRule="exact"/>
              <w:rPr>
                <w:sz w:val="20"/>
                <w:szCs w:val="20"/>
                <w:color w:val="auto"/>
              </w:rPr>
            </w:pPr>
            <w:r>
              <w:rPr>
                <w:rFonts w:ascii="Calibri" w:cs="Calibri" w:eastAsia="Calibri" w:hAnsi="Calibri"/>
                <w:sz w:val="14"/>
                <w:szCs w:val="14"/>
                <w:b w:val="1"/>
                <w:bCs w:val="1"/>
                <w:color w:val="auto"/>
              </w:rPr>
              <w:t>(dollars in thousands, except per share data)</w:t>
            </w:r>
          </w:p>
        </w:tc>
      </w:tr>
      <w:tr>
        <w:trPr>
          <w:trHeight w:val="279"/>
        </w:trPr>
        <w:tc>
          <w:tcPr>
            <w:tcW w:w="5440" w:type="dxa"/>
            <w:vAlign w:val="bottom"/>
          </w:tcPr>
          <w:p>
            <w:pPr>
              <w:ind w:left="60"/>
              <w:spacing w:after="0"/>
              <w:rPr>
                <w:sz w:val="20"/>
                <w:szCs w:val="20"/>
                <w:color w:val="auto"/>
              </w:rPr>
            </w:pPr>
            <w:r>
              <w:rPr>
                <w:rFonts w:ascii="Calibri" w:cs="Calibri" w:eastAsia="Calibri" w:hAnsi="Calibri"/>
                <w:sz w:val="18"/>
                <w:szCs w:val="18"/>
                <w:color w:val="auto"/>
              </w:rPr>
              <w:t>Closing common stock price per share</w:t>
            </w: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40" w:type="dxa"/>
            <w:vAlign w:val="bottom"/>
          </w:tcPr>
          <w:p>
            <w:pPr>
              <w:jc w:val="right"/>
              <w:ind w:right="114"/>
              <w:spacing w:after="0"/>
              <w:rPr>
                <w:sz w:val="20"/>
                <w:szCs w:val="20"/>
                <w:color w:val="auto"/>
              </w:rPr>
            </w:pPr>
            <w:r>
              <w:rPr>
                <w:rFonts w:ascii="Calibri" w:cs="Calibri" w:eastAsia="Calibri" w:hAnsi="Calibri"/>
                <w:sz w:val="18"/>
                <w:szCs w:val="18"/>
                <w:color w:val="auto"/>
              </w:rPr>
              <w:t>18.90</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ind w:right="134"/>
              <w:spacing w:after="0"/>
              <w:rPr>
                <w:sz w:val="20"/>
                <w:szCs w:val="20"/>
                <w:color w:val="auto"/>
              </w:rPr>
            </w:pPr>
            <w:r>
              <w:rPr>
                <w:rFonts w:ascii="Calibri" w:cs="Calibri" w:eastAsia="Calibri" w:hAnsi="Calibri"/>
                <w:sz w:val="18"/>
                <w:szCs w:val="18"/>
                <w:color w:val="auto"/>
              </w:rPr>
              <w:t>18.46</w:t>
            </w:r>
          </w:p>
        </w:tc>
        <w:tc>
          <w:tcPr>
            <w:tcW w:w="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ind w:right="112"/>
              <w:spacing w:after="0"/>
              <w:rPr>
                <w:sz w:val="20"/>
                <w:szCs w:val="20"/>
                <w:color w:val="auto"/>
              </w:rPr>
            </w:pPr>
            <w:r>
              <w:rPr>
                <w:rFonts w:ascii="Calibri" w:cs="Calibri" w:eastAsia="Calibri" w:hAnsi="Calibri"/>
                <w:sz w:val="18"/>
                <w:szCs w:val="18"/>
                <w:color w:val="auto"/>
              </w:rPr>
              <w:t>19.92</w:t>
            </w:r>
          </w:p>
        </w:tc>
      </w:tr>
      <w:tr>
        <w:trPr>
          <w:trHeight w:val="23"/>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44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52 week high</w:t>
            </w:r>
          </w:p>
        </w:tc>
        <w:tc>
          <w:tcPr>
            <w:tcW w:w="1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w:t>
            </w:r>
          </w:p>
        </w:tc>
        <w:tc>
          <w:tcPr>
            <w:tcW w:w="1040" w:type="dxa"/>
            <w:vAlign w:val="bottom"/>
            <w:tcBorders>
              <w:bottom w:val="single" w:sz="8" w:color="F5F5F5"/>
            </w:tcBorders>
            <w:shd w:val="clear" w:color="auto" w:fill="F5F5F5"/>
          </w:tcPr>
          <w:p>
            <w:pPr>
              <w:jc w:val="right"/>
              <w:ind w:right="114"/>
              <w:spacing w:after="0"/>
              <w:rPr>
                <w:sz w:val="20"/>
                <w:szCs w:val="20"/>
                <w:color w:val="auto"/>
              </w:rPr>
            </w:pPr>
            <w:r>
              <w:rPr>
                <w:rFonts w:ascii="Calibri" w:cs="Calibri" w:eastAsia="Calibri" w:hAnsi="Calibri"/>
                <w:sz w:val="18"/>
                <w:szCs w:val="18"/>
                <w:color w:val="auto"/>
              </w:rPr>
              <w:t>20.93</w:t>
            </w:r>
          </w:p>
        </w:tc>
        <w:tc>
          <w:tcPr>
            <w:tcW w:w="60" w:type="dxa"/>
            <w:vAlign w:val="bottom"/>
            <w:tcBorders>
              <w:bottom w:val="single" w:sz="8" w:color="F5F5F5"/>
            </w:tcBorders>
            <w:shd w:val="clear" w:color="auto" w:fill="F5F5F5"/>
          </w:tcPr>
          <w:p>
            <w:pPr>
              <w:spacing w:after="0"/>
              <w:rPr>
                <w:sz w:val="20"/>
                <w:szCs w:val="20"/>
                <w:color w:val="auto"/>
              </w:rPr>
            </w:pPr>
          </w:p>
        </w:tc>
        <w:tc>
          <w:tcPr>
            <w:tcW w:w="1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tcBorders>
              <w:bottom w:val="single" w:sz="8" w:color="F5F5F5"/>
            </w:tcBorders>
            <w:shd w:val="clear" w:color="auto" w:fill="F5F5F5"/>
          </w:tcPr>
          <w:p>
            <w:pPr>
              <w:jc w:val="right"/>
              <w:ind w:right="134"/>
              <w:spacing w:after="0"/>
              <w:rPr>
                <w:sz w:val="20"/>
                <w:szCs w:val="20"/>
                <w:color w:val="auto"/>
              </w:rPr>
            </w:pPr>
            <w:r>
              <w:rPr>
                <w:rFonts w:ascii="Calibri" w:cs="Calibri" w:eastAsia="Calibri" w:hAnsi="Calibri"/>
                <w:sz w:val="18"/>
                <w:szCs w:val="18"/>
                <w:color w:val="auto"/>
              </w:rPr>
              <w:t>21.12</w:t>
            </w:r>
          </w:p>
        </w:tc>
        <w:tc>
          <w:tcPr>
            <w:tcW w:w="40" w:type="dxa"/>
            <w:vAlign w:val="bottom"/>
            <w:tcBorders>
              <w:bottom w:val="single" w:sz="8" w:color="F5F5F5"/>
            </w:tcBorders>
            <w:shd w:val="clear" w:color="auto" w:fill="F5F5F5"/>
          </w:tcPr>
          <w:p>
            <w:pPr>
              <w:spacing w:after="0"/>
              <w:rPr>
                <w:sz w:val="20"/>
                <w:szCs w:val="20"/>
                <w:color w:val="auto"/>
              </w:rPr>
            </w:pPr>
          </w:p>
        </w:tc>
        <w:tc>
          <w:tcPr>
            <w:tcW w:w="1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tcBorders>
              <w:bottom w:val="single" w:sz="8" w:color="F5F5F5"/>
            </w:tcBorders>
            <w:shd w:val="clear" w:color="auto" w:fill="F5F5F5"/>
          </w:tcPr>
          <w:p>
            <w:pPr>
              <w:jc w:val="right"/>
              <w:ind w:right="112"/>
              <w:spacing w:after="0"/>
              <w:rPr>
                <w:sz w:val="20"/>
                <w:szCs w:val="20"/>
                <w:color w:val="auto"/>
              </w:rPr>
            </w:pPr>
            <w:r>
              <w:rPr>
                <w:rFonts w:ascii="Calibri" w:cs="Calibri" w:eastAsia="Calibri" w:hAnsi="Calibri"/>
                <w:sz w:val="18"/>
                <w:szCs w:val="18"/>
                <w:color w:val="auto"/>
              </w:rPr>
              <w:t>22.27</w:t>
            </w:r>
          </w:p>
        </w:tc>
      </w:tr>
      <w:tr>
        <w:trPr>
          <w:trHeight w:val="233"/>
        </w:trPr>
        <w:tc>
          <w:tcPr>
            <w:tcW w:w="5440" w:type="dxa"/>
            <w:vAlign w:val="bottom"/>
          </w:tcPr>
          <w:p>
            <w:pPr>
              <w:ind w:left="60"/>
              <w:spacing w:after="0" w:line="215" w:lineRule="exact"/>
              <w:rPr>
                <w:sz w:val="20"/>
                <w:szCs w:val="20"/>
                <w:color w:val="auto"/>
              </w:rPr>
            </w:pPr>
            <w:r>
              <w:rPr>
                <w:rFonts w:ascii="Calibri" w:cs="Calibri" w:eastAsia="Calibri" w:hAnsi="Calibri"/>
                <w:sz w:val="18"/>
                <w:szCs w:val="18"/>
                <w:color w:val="auto"/>
              </w:rPr>
              <w:t>52 week low</w:t>
            </w: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40" w:type="dxa"/>
            <w:vAlign w:val="bottom"/>
          </w:tcPr>
          <w:p>
            <w:pPr>
              <w:jc w:val="right"/>
              <w:ind w:right="114"/>
              <w:spacing w:after="0"/>
              <w:rPr>
                <w:sz w:val="20"/>
                <w:szCs w:val="20"/>
                <w:color w:val="auto"/>
              </w:rPr>
            </w:pPr>
            <w:r>
              <w:rPr>
                <w:rFonts w:ascii="Calibri" w:cs="Calibri" w:eastAsia="Calibri" w:hAnsi="Calibri"/>
                <w:sz w:val="18"/>
                <w:szCs w:val="18"/>
                <w:color w:val="auto"/>
              </w:rPr>
              <w:t>12.48</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ind w:right="134"/>
              <w:spacing w:after="0"/>
              <w:rPr>
                <w:sz w:val="20"/>
                <w:szCs w:val="20"/>
                <w:color w:val="auto"/>
              </w:rPr>
            </w:pPr>
            <w:r>
              <w:rPr>
                <w:rFonts w:ascii="Calibri" w:cs="Calibri" w:eastAsia="Calibri" w:hAnsi="Calibri"/>
                <w:sz w:val="18"/>
                <w:szCs w:val="18"/>
                <w:color w:val="auto"/>
              </w:rPr>
              <w:t>12.48</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ind w:right="112"/>
              <w:spacing w:after="0"/>
              <w:rPr>
                <w:sz w:val="20"/>
                <w:szCs w:val="20"/>
                <w:color w:val="auto"/>
              </w:rPr>
            </w:pPr>
            <w:r>
              <w:rPr>
                <w:rFonts w:ascii="Calibri" w:cs="Calibri" w:eastAsia="Calibri" w:hAnsi="Calibri"/>
                <w:sz w:val="18"/>
                <w:szCs w:val="18"/>
                <w:color w:val="auto"/>
              </w:rPr>
              <w:t>12.99</w:t>
            </w:r>
          </w:p>
        </w:tc>
      </w:tr>
      <w:tr>
        <w:trPr>
          <w:trHeight w:val="23"/>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44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b w:val="1"/>
                <w:bCs w:val="1"/>
                <w:color w:val="007681"/>
              </w:rPr>
              <w:t>Shares outstanding at end of period</w:t>
            </w:r>
          </w:p>
        </w:tc>
        <w:tc>
          <w:tcPr>
            <w:tcW w:w="180" w:type="dxa"/>
            <w:vAlign w:val="bottom"/>
            <w:tcBorders>
              <w:bottom w:val="single" w:sz="8" w:color="F5F5F5"/>
            </w:tcBorders>
            <w:shd w:val="clear" w:color="auto" w:fill="F5F5F5"/>
          </w:tcPr>
          <w:p>
            <w:pPr>
              <w:spacing w:after="0"/>
              <w:rPr>
                <w:sz w:val="20"/>
                <w:szCs w:val="20"/>
                <w:color w:val="auto"/>
              </w:rPr>
            </w:pPr>
          </w:p>
        </w:tc>
        <w:tc>
          <w:tcPr>
            <w:tcW w:w="1040" w:type="dxa"/>
            <w:vAlign w:val="bottom"/>
            <w:tcBorders>
              <w:bottom w:val="single" w:sz="8" w:color="F5F5F5"/>
            </w:tcBorders>
            <w:shd w:val="clear" w:color="auto" w:fill="F5F5F5"/>
          </w:tcPr>
          <w:p>
            <w:pPr>
              <w:spacing w:after="0"/>
              <w:rPr>
                <w:sz w:val="20"/>
                <w:szCs w:val="20"/>
                <w:color w:val="auto"/>
              </w:rPr>
            </w:pPr>
          </w:p>
        </w:tc>
        <w:tc>
          <w:tcPr>
            <w:tcW w:w="60" w:type="dxa"/>
            <w:vAlign w:val="bottom"/>
            <w:tcBorders>
              <w:bottom w:val="single" w:sz="8" w:color="F5F5F5"/>
            </w:tcBorders>
            <w:shd w:val="clear" w:color="auto" w:fill="F5F5F5"/>
          </w:tcPr>
          <w:p>
            <w:pPr>
              <w:spacing w:after="0"/>
              <w:rPr>
                <w:sz w:val="20"/>
                <w:szCs w:val="20"/>
                <w:color w:val="auto"/>
              </w:rPr>
            </w:pPr>
          </w:p>
        </w:tc>
        <w:tc>
          <w:tcPr>
            <w:tcW w:w="180" w:type="dxa"/>
            <w:vAlign w:val="bottom"/>
            <w:tcBorders>
              <w:bottom w:val="single" w:sz="8" w:color="F5F5F5"/>
            </w:tcBorders>
            <w:shd w:val="clear" w:color="auto" w:fill="F5F5F5"/>
          </w:tcPr>
          <w:p>
            <w:pPr>
              <w:spacing w:after="0"/>
              <w:rPr>
                <w:sz w:val="20"/>
                <w:szCs w:val="20"/>
                <w:color w:val="auto"/>
              </w:rPr>
            </w:pPr>
          </w:p>
        </w:tc>
        <w:tc>
          <w:tcPr>
            <w:tcW w:w="1060" w:type="dxa"/>
            <w:vAlign w:val="bottom"/>
            <w:tcBorders>
              <w:bottom w:val="single" w:sz="8" w:color="F5F5F5"/>
            </w:tcBorders>
            <w:shd w:val="clear" w:color="auto" w:fill="F5F5F5"/>
          </w:tcPr>
          <w:p>
            <w:pPr>
              <w:spacing w:after="0"/>
              <w:rPr>
                <w:sz w:val="20"/>
                <w:szCs w:val="20"/>
                <w:color w:val="auto"/>
              </w:rPr>
            </w:pPr>
          </w:p>
        </w:tc>
        <w:tc>
          <w:tcPr>
            <w:tcW w:w="40" w:type="dxa"/>
            <w:vAlign w:val="bottom"/>
            <w:tcBorders>
              <w:bottom w:val="single" w:sz="8" w:color="F5F5F5"/>
            </w:tcBorders>
            <w:shd w:val="clear" w:color="auto" w:fill="F5F5F5"/>
          </w:tcPr>
          <w:p>
            <w:pPr>
              <w:spacing w:after="0"/>
              <w:rPr>
                <w:sz w:val="20"/>
                <w:szCs w:val="20"/>
                <w:color w:val="auto"/>
              </w:rPr>
            </w:pPr>
          </w:p>
        </w:tc>
        <w:tc>
          <w:tcPr>
            <w:tcW w:w="180" w:type="dxa"/>
            <w:vAlign w:val="bottom"/>
            <w:tcBorders>
              <w:bottom w:val="single" w:sz="8" w:color="F5F5F5"/>
            </w:tcBorders>
            <w:shd w:val="clear" w:color="auto" w:fill="F5F5F5"/>
          </w:tcPr>
          <w:p>
            <w:pPr>
              <w:spacing w:after="0"/>
              <w:rPr>
                <w:sz w:val="20"/>
                <w:szCs w:val="20"/>
                <w:color w:val="auto"/>
              </w:rPr>
            </w:pPr>
          </w:p>
        </w:tc>
        <w:tc>
          <w:tcPr>
            <w:tcW w:w="1060" w:type="dxa"/>
            <w:vAlign w:val="bottom"/>
            <w:tcBorders>
              <w:bottom w:val="single" w:sz="8" w:color="F5F5F5"/>
            </w:tcBorders>
            <w:shd w:val="clear" w:color="auto" w:fill="F5F5F5"/>
          </w:tcPr>
          <w:p>
            <w:pPr>
              <w:spacing w:after="0"/>
              <w:rPr>
                <w:sz w:val="20"/>
                <w:szCs w:val="20"/>
                <w:color w:val="auto"/>
              </w:rPr>
            </w:pPr>
          </w:p>
        </w:tc>
      </w:tr>
      <w:tr>
        <w:trPr>
          <w:trHeight w:val="233"/>
        </w:trPr>
        <w:tc>
          <w:tcPr>
            <w:tcW w:w="5440" w:type="dxa"/>
            <w:vAlign w:val="bottom"/>
          </w:tcPr>
          <w:p>
            <w:pPr>
              <w:ind w:left="60"/>
              <w:spacing w:after="0" w:line="215" w:lineRule="exact"/>
              <w:rPr>
                <w:sz w:val="20"/>
                <w:szCs w:val="20"/>
                <w:color w:val="auto"/>
              </w:rPr>
            </w:pPr>
            <w:r>
              <w:rPr>
                <w:rFonts w:ascii="Calibri" w:cs="Calibri" w:eastAsia="Calibri" w:hAnsi="Calibri"/>
                <w:sz w:val="18"/>
                <w:szCs w:val="18"/>
                <w:color w:val="auto"/>
              </w:rPr>
              <w:t>Class A non partcipatng convertble preferred units</w:t>
            </w:r>
          </w:p>
        </w:tc>
        <w:tc>
          <w:tcPr>
            <w:tcW w:w="180" w:type="dxa"/>
            <w:vAlign w:val="bottom"/>
          </w:tcPr>
          <w:p>
            <w:pPr>
              <w:spacing w:after="0"/>
              <w:rPr>
                <w:sz w:val="20"/>
                <w:szCs w:val="20"/>
                <w:color w:val="auto"/>
              </w:rPr>
            </w:pPr>
          </w:p>
        </w:tc>
        <w:tc>
          <w:tcPr>
            <w:tcW w:w="1040" w:type="dxa"/>
            <w:vAlign w:val="bottom"/>
          </w:tcPr>
          <w:p>
            <w:pPr>
              <w:jc w:val="right"/>
              <w:ind w:right="114"/>
              <w:spacing w:after="0"/>
              <w:rPr>
                <w:sz w:val="20"/>
                <w:szCs w:val="20"/>
                <w:color w:val="auto"/>
              </w:rPr>
            </w:pPr>
            <w:r>
              <w:rPr>
                <w:rFonts w:ascii="Calibri" w:cs="Calibri" w:eastAsia="Calibri" w:hAnsi="Calibri"/>
                <w:sz w:val="18"/>
                <w:szCs w:val="18"/>
                <w:color w:val="auto"/>
              </w:rPr>
              <w:t>99,565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4"/>
              <w:spacing w:after="0"/>
              <w:rPr>
                <w:sz w:val="20"/>
                <w:szCs w:val="20"/>
                <w:color w:val="auto"/>
              </w:rPr>
            </w:pPr>
            <w:r>
              <w:rPr>
                <w:rFonts w:ascii="Calibri" w:cs="Calibri" w:eastAsia="Calibri" w:hAnsi="Calibri"/>
                <w:sz w:val="18"/>
                <w:szCs w:val="18"/>
                <w:color w:val="auto"/>
              </w:rPr>
              <w:t>99,565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Calibri" w:cs="Calibri" w:eastAsia="Calibri" w:hAnsi="Calibri"/>
                <w:sz w:val="18"/>
                <w:szCs w:val="18"/>
                <w:color w:val="auto"/>
              </w:rPr>
              <w:t>99,565</w:t>
            </w:r>
          </w:p>
        </w:tc>
      </w:tr>
      <w:tr>
        <w:trPr>
          <w:trHeight w:val="23"/>
        </w:trPr>
        <w:tc>
          <w:tcPr>
            <w:tcW w:w="54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56"/>
        </w:trPr>
        <w:tc>
          <w:tcPr>
            <w:tcW w:w="544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Common shares and partnership units</w:t>
            </w:r>
          </w:p>
        </w:tc>
        <w:tc>
          <w:tcPr>
            <w:tcW w:w="1220" w:type="dxa"/>
            <w:vAlign w:val="bottom"/>
            <w:tcBorders>
              <w:bottom w:val="single" w:sz="8" w:color="F5F5F5"/>
            </w:tcBorders>
            <w:gridSpan w:val="2"/>
            <w:shd w:val="clear" w:color="auto" w:fill="F5F5F5"/>
          </w:tcPr>
          <w:p>
            <w:pPr>
              <w:jc w:val="right"/>
              <w:ind w:right="114"/>
              <w:spacing w:after="0"/>
              <w:rPr>
                <w:sz w:val="20"/>
                <w:szCs w:val="20"/>
                <w:color w:val="auto"/>
              </w:rPr>
            </w:pPr>
            <w:r>
              <w:rPr>
                <w:rFonts w:ascii="Calibri" w:cs="Calibri" w:eastAsia="Calibri" w:hAnsi="Calibri"/>
                <w:sz w:val="18"/>
                <w:szCs w:val="18"/>
                <w:color w:val="auto"/>
              </w:rPr>
              <w:t>271,938,710</w:t>
            </w:r>
          </w:p>
        </w:tc>
        <w:tc>
          <w:tcPr>
            <w:tcW w:w="60" w:type="dxa"/>
            <w:vAlign w:val="bottom"/>
            <w:tcBorders>
              <w:bottom w:val="single" w:sz="8" w:color="F5F5F5"/>
            </w:tcBorders>
            <w:shd w:val="clear" w:color="auto" w:fill="F5F5F5"/>
          </w:tcPr>
          <w:p>
            <w:pPr>
              <w:spacing w:after="0"/>
              <w:rPr>
                <w:sz w:val="22"/>
                <w:szCs w:val="22"/>
                <w:color w:val="auto"/>
              </w:rPr>
            </w:pPr>
          </w:p>
        </w:tc>
        <w:tc>
          <w:tcPr>
            <w:tcW w:w="1240" w:type="dxa"/>
            <w:vAlign w:val="bottom"/>
            <w:tcBorders>
              <w:bottom w:val="single" w:sz="8" w:color="F5F5F5"/>
            </w:tcBorders>
            <w:gridSpan w:val="2"/>
            <w:shd w:val="clear" w:color="auto" w:fill="F5F5F5"/>
          </w:tcPr>
          <w:p>
            <w:pPr>
              <w:jc w:val="right"/>
              <w:ind w:right="134"/>
              <w:spacing w:after="0"/>
              <w:rPr>
                <w:sz w:val="20"/>
                <w:szCs w:val="20"/>
                <w:color w:val="auto"/>
              </w:rPr>
            </w:pPr>
            <w:r>
              <w:rPr>
                <w:rFonts w:ascii="Calibri" w:cs="Calibri" w:eastAsia="Calibri" w:hAnsi="Calibri"/>
                <w:sz w:val="18"/>
                <w:szCs w:val="18"/>
                <w:color w:val="auto"/>
              </w:rPr>
              <w:t>268,604,506</w:t>
            </w:r>
          </w:p>
        </w:tc>
        <w:tc>
          <w:tcPr>
            <w:tcW w:w="40" w:type="dxa"/>
            <w:vAlign w:val="bottom"/>
            <w:tcBorders>
              <w:bottom w:val="single" w:sz="8" w:color="F5F5F5"/>
            </w:tcBorders>
            <w:shd w:val="clear" w:color="auto" w:fill="F5F5F5"/>
          </w:tcPr>
          <w:p>
            <w:pPr>
              <w:spacing w:after="0"/>
              <w:rPr>
                <w:sz w:val="22"/>
                <w:szCs w:val="22"/>
                <w:color w:val="auto"/>
              </w:rPr>
            </w:pPr>
          </w:p>
        </w:tc>
        <w:tc>
          <w:tcPr>
            <w:tcW w:w="1240" w:type="dxa"/>
            <w:vAlign w:val="bottom"/>
            <w:tcBorders>
              <w:bottom w:val="single" w:sz="8" w:color="F5F5F5"/>
            </w:tcBorders>
            <w:gridSpan w:val="2"/>
            <w:shd w:val="clear" w:color="auto" w:fill="F5F5F5"/>
          </w:tcPr>
          <w:p>
            <w:pPr>
              <w:jc w:val="right"/>
              <w:ind w:right="132"/>
              <w:spacing w:after="0"/>
              <w:rPr>
                <w:sz w:val="20"/>
                <w:szCs w:val="20"/>
                <w:color w:val="auto"/>
              </w:rPr>
            </w:pPr>
            <w:r>
              <w:rPr>
                <w:rFonts w:ascii="Calibri" w:cs="Calibri" w:eastAsia="Calibri" w:hAnsi="Calibri"/>
                <w:sz w:val="18"/>
                <w:szCs w:val="18"/>
                <w:color w:val="auto"/>
              </w:rPr>
              <w:t>263,739,694</w:t>
            </w:r>
          </w:p>
        </w:tc>
      </w:tr>
      <w:tr>
        <w:trPr>
          <w:trHeight w:val="210"/>
        </w:trPr>
        <w:tc>
          <w:tcPr>
            <w:tcW w:w="5440" w:type="dxa"/>
            <w:vAlign w:val="bottom"/>
          </w:tcPr>
          <w:p>
            <w:pPr>
              <w:ind w:left="60"/>
              <w:spacing w:after="0" w:line="195" w:lineRule="exact"/>
              <w:rPr>
                <w:sz w:val="20"/>
                <w:szCs w:val="20"/>
                <w:color w:val="auto"/>
              </w:rPr>
            </w:pPr>
            <w:r>
              <w:rPr>
                <w:rFonts w:ascii="Calibri" w:cs="Calibri" w:eastAsia="Calibri" w:hAnsi="Calibri"/>
                <w:sz w:val="18"/>
                <w:szCs w:val="18"/>
                <w:color w:val="auto"/>
              </w:rPr>
              <w:t>Total common and equivalent shares/units outstanding</w:t>
            </w:r>
          </w:p>
        </w:tc>
        <w:tc>
          <w:tcPr>
            <w:tcW w:w="1220" w:type="dxa"/>
            <w:vAlign w:val="bottom"/>
            <w:tcBorders>
              <w:top w:val="single" w:sz="8" w:color="auto"/>
              <w:bottom w:val="single" w:sz="8" w:color="auto"/>
            </w:tcBorders>
            <w:gridSpan w:val="2"/>
          </w:tcPr>
          <w:p>
            <w:pPr>
              <w:jc w:val="right"/>
              <w:ind w:right="114"/>
              <w:spacing w:after="0" w:line="209" w:lineRule="exact"/>
              <w:rPr>
                <w:sz w:val="20"/>
                <w:szCs w:val="20"/>
                <w:color w:val="auto"/>
              </w:rPr>
            </w:pPr>
            <w:r>
              <w:rPr>
                <w:rFonts w:ascii="Calibri" w:cs="Calibri" w:eastAsia="Calibri" w:hAnsi="Calibri"/>
                <w:sz w:val="18"/>
                <w:szCs w:val="18"/>
                <w:color w:val="auto"/>
              </w:rPr>
              <w:t>272,038,275</w:t>
            </w:r>
          </w:p>
        </w:tc>
        <w:tc>
          <w:tcPr>
            <w:tcW w:w="6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134"/>
              <w:spacing w:after="0" w:line="209" w:lineRule="exact"/>
              <w:rPr>
                <w:sz w:val="20"/>
                <w:szCs w:val="20"/>
                <w:color w:val="auto"/>
              </w:rPr>
            </w:pPr>
            <w:r>
              <w:rPr>
                <w:rFonts w:ascii="Calibri" w:cs="Calibri" w:eastAsia="Calibri" w:hAnsi="Calibri"/>
                <w:sz w:val="18"/>
                <w:szCs w:val="18"/>
                <w:color w:val="auto"/>
              </w:rPr>
              <w:t>268,704,071</w:t>
            </w:r>
          </w:p>
        </w:tc>
        <w:tc>
          <w:tcPr>
            <w:tcW w:w="4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132"/>
              <w:spacing w:after="0" w:line="209" w:lineRule="exact"/>
              <w:rPr>
                <w:sz w:val="20"/>
                <w:szCs w:val="20"/>
                <w:color w:val="auto"/>
              </w:rPr>
            </w:pPr>
            <w:r>
              <w:rPr>
                <w:rFonts w:ascii="Calibri" w:cs="Calibri" w:eastAsia="Calibri" w:hAnsi="Calibri"/>
                <w:sz w:val="18"/>
                <w:szCs w:val="18"/>
                <w:color w:val="auto"/>
              </w:rPr>
              <w:t>263,839,259</w:t>
            </w:r>
          </w:p>
        </w:tc>
      </w:tr>
      <w:tr>
        <w:trPr>
          <w:trHeight w:val="20"/>
        </w:trPr>
        <w:tc>
          <w:tcPr>
            <w:tcW w:w="5440" w:type="dxa"/>
            <w:vAlign w:val="bottom"/>
            <w:tcBorders>
              <w:bottom w:val="single" w:sz="8" w:color="F5F5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5F5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F5F5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3"/>
        </w:trPr>
        <w:tc>
          <w:tcPr>
            <w:tcW w:w="5440" w:type="dxa"/>
            <w:vAlign w:val="bottom"/>
            <w:tcBorders>
              <w:bottom w:val="single" w:sz="8" w:color="F5F5F5"/>
            </w:tcBorders>
            <w:shd w:val="clear" w:color="auto" w:fill="F5F5F5"/>
          </w:tcPr>
          <w:p>
            <w:pPr>
              <w:ind w:left="60"/>
              <w:spacing w:after="0" w:line="182" w:lineRule="exact"/>
              <w:rPr>
                <w:sz w:val="20"/>
                <w:szCs w:val="20"/>
                <w:color w:val="auto"/>
              </w:rPr>
            </w:pPr>
            <w:r>
              <w:rPr>
                <w:rFonts w:ascii="Calibri" w:cs="Calibri" w:eastAsia="Calibri" w:hAnsi="Calibri"/>
                <w:sz w:val="18"/>
                <w:szCs w:val="18"/>
                <w:b w:val="1"/>
                <w:bCs w:val="1"/>
                <w:color w:val="007681"/>
              </w:rPr>
              <w:t>Portolio capitalizaton data</w:t>
            </w:r>
          </w:p>
        </w:tc>
        <w:tc>
          <w:tcPr>
            <w:tcW w:w="180" w:type="dxa"/>
            <w:vAlign w:val="bottom"/>
            <w:tcBorders>
              <w:bottom w:val="single" w:sz="8" w:color="F5F5F5"/>
            </w:tcBorders>
            <w:shd w:val="clear" w:color="auto" w:fill="F5F5F5"/>
          </w:tcPr>
          <w:p>
            <w:pPr>
              <w:spacing w:after="0"/>
              <w:rPr>
                <w:sz w:val="17"/>
                <w:szCs w:val="17"/>
                <w:color w:val="auto"/>
              </w:rPr>
            </w:pPr>
          </w:p>
        </w:tc>
        <w:tc>
          <w:tcPr>
            <w:tcW w:w="1040" w:type="dxa"/>
            <w:vAlign w:val="bottom"/>
            <w:tcBorders>
              <w:bottom w:val="single" w:sz="8" w:color="F5F5F5"/>
            </w:tcBorders>
            <w:shd w:val="clear" w:color="auto" w:fill="F5F5F5"/>
          </w:tcPr>
          <w:p>
            <w:pPr>
              <w:spacing w:after="0"/>
              <w:rPr>
                <w:sz w:val="17"/>
                <w:szCs w:val="17"/>
                <w:color w:val="auto"/>
              </w:rPr>
            </w:pPr>
          </w:p>
        </w:tc>
        <w:tc>
          <w:tcPr>
            <w:tcW w:w="60" w:type="dxa"/>
            <w:vAlign w:val="bottom"/>
            <w:tcBorders>
              <w:bottom w:val="single" w:sz="8" w:color="F5F5F5"/>
            </w:tcBorders>
            <w:shd w:val="clear" w:color="auto" w:fill="F5F5F5"/>
          </w:tcPr>
          <w:p>
            <w:pPr>
              <w:spacing w:after="0"/>
              <w:rPr>
                <w:sz w:val="17"/>
                <w:szCs w:val="17"/>
                <w:color w:val="auto"/>
              </w:rPr>
            </w:pPr>
          </w:p>
        </w:tc>
        <w:tc>
          <w:tcPr>
            <w:tcW w:w="180" w:type="dxa"/>
            <w:vAlign w:val="bottom"/>
            <w:tcBorders>
              <w:bottom w:val="single" w:sz="8" w:color="F5F5F5"/>
            </w:tcBorders>
            <w:shd w:val="clear" w:color="auto" w:fill="F5F5F5"/>
          </w:tcPr>
          <w:p>
            <w:pPr>
              <w:spacing w:after="0"/>
              <w:rPr>
                <w:sz w:val="17"/>
                <w:szCs w:val="17"/>
                <w:color w:val="auto"/>
              </w:rPr>
            </w:pPr>
          </w:p>
        </w:tc>
        <w:tc>
          <w:tcPr>
            <w:tcW w:w="1060" w:type="dxa"/>
            <w:vAlign w:val="bottom"/>
            <w:tcBorders>
              <w:bottom w:val="single" w:sz="8" w:color="F5F5F5"/>
            </w:tcBorders>
            <w:shd w:val="clear" w:color="auto" w:fill="F5F5F5"/>
          </w:tcPr>
          <w:p>
            <w:pPr>
              <w:spacing w:after="0"/>
              <w:rPr>
                <w:sz w:val="17"/>
                <w:szCs w:val="17"/>
                <w:color w:val="auto"/>
              </w:rPr>
            </w:pPr>
          </w:p>
        </w:tc>
        <w:tc>
          <w:tcPr>
            <w:tcW w:w="40" w:type="dxa"/>
            <w:vAlign w:val="bottom"/>
            <w:tcBorders>
              <w:bottom w:val="single" w:sz="8" w:color="F5F5F5"/>
            </w:tcBorders>
            <w:shd w:val="clear" w:color="auto" w:fill="F5F5F5"/>
          </w:tcPr>
          <w:p>
            <w:pPr>
              <w:spacing w:after="0"/>
              <w:rPr>
                <w:sz w:val="17"/>
                <w:szCs w:val="17"/>
                <w:color w:val="auto"/>
              </w:rPr>
            </w:pPr>
          </w:p>
        </w:tc>
        <w:tc>
          <w:tcPr>
            <w:tcW w:w="180" w:type="dxa"/>
            <w:vAlign w:val="bottom"/>
            <w:tcBorders>
              <w:bottom w:val="single" w:sz="8" w:color="F5F5F5"/>
            </w:tcBorders>
            <w:shd w:val="clear" w:color="auto" w:fill="F5F5F5"/>
          </w:tcPr>
          <w:p>
            <w:pPr>
              <w:spacing w:after="0"/>
              <w:rPr>
                <w:sz w:val="17"/>
                <w:szCs w:val="17"/>
                <w:color w:val="auto"/>
              </w:rPr>
            </w:pPr>
          </w:p>
        </w:tc>
        <w:tc>
          <w:tcPr>
            <w:tcW w:w="1060" w:type="dxa"/>
            <w:vAlign w:val="bottom"/>
            <w:tcBorders>
              <w:bottom w:val="single" w:sz="8" w:color="F5F5F5"/>
            </w:tcBorders>
            <w:shd w:val="clear" w:color="auto" w:fill="F5F5F5"/>
          </w:tcPr>
          <w:p>
            <w:pPr>
              <w:spacing w:after="0"/>
              <w:rPr>
                <w:sz w:val="17"/>
                <w:szCs w:val="17"/>
                <w:color w:val="auto"/>
              </w:rPr>
            </w:pPr>
          </w:p>
        </w:tc>
      </w:tr>
      <w:tr>
        <w:trPr>
          <w:trHeight w:val="233"/>
        </w:trPr>
        <w:tc>
          <w:tcPr>
            <w:tcW w:w="5440" w:type="dxa"/>
            <w:vAlign w:val="bottom"/>
          </w:tcPr>
          <w:p>
            <w:pPr>
              <w:ind w:left="60"/>
              <w:spacing w:after="0" w:line="215" w:lineRule="exact"/>
              <w:rPr>
                <w:sz w:val="20"/>
                <w:szCs w:val="20"/>
                <w:color w:val="auto"/>
              </w:rPr>
            </w:pPr>
            <w:r>
              <w:rPr>
                <w:rFonts w:ascii="Calibri" w:cs="Calibri" w:eastAsia="Calibri" w:hAnsi="Calibri"/>
                <w:sz w:val="18"/>
                <w:szCs w:val="18"/>
                <w:color w:val="auto"/>
              </w:rPr>
              <w:t>Total portolio debt, including joint ventures at pro rata</w:t>
            </w: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40" w:type="dxa"/>
            <w:vAlign w:val="bottom"/>
          </w:tcPr>
          <w:p>
            <w:pPr>
              <w:jc w:val="right"/>
              <w:ind w:right="114"/>
              <w:spacing w:after="0"/>
              <w:rPr>
                <w:sz w:val="20"/>
                <w:szCs w:val="20"/>
                <w:color w:val="auto"/>
              </w:rPr>
            </w:pPr>
            <w:r>
              <w:rPr>
                <w:rFonts w:ascii="Calibri" w:cs="Calibri" w:eastAsia="Calibri" w:hAnsi="Calibri"/>
                <w:sz w:val="18"/>
                <w:szCs w:val="18"/>
                <w:color w:val="auto"/>
              </w:rPr>
              <w:t>6,451,780</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ind w:right="134"/>
              <w:spacing w:after="0"/>
              <w:rPr>
                <w:sz w:val="20"/>
                <w:szCs w:val="20"/>
                <w:color w:val="auto"/>
              </w:rPr>
            </w:pPr>
            <w:r>
              <w:rPr>
                <w:rFonts w:ascii="Calibri" w:cs="Calibri" w:eastAsia="Calibri" w:hAnsi="Calibri"/>
                <w:sz w:val="18"/>
                <w:szCs w:val="18"/>
                <w:color w:val="auto"/>
              </w:rPr>
              <w:t>6,590,774</w:t>
            </w: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tcPr>
          <w:p>
            <w:pPr>
              <w:jc w:val="right"/>
              <w:ind w:right="132"/>
              <w:spacing w:after="0"/>
              <w:rPr>
                <w:sz w:val="20"/>
                <w:szCs w:val="20"/>
                <w:color w:val="auto"/>
              </w:rPr>
            </w:pPr>
            <w:r>
              <w:rPr>
                <w:rFonts w:ascii="Calibri" w:cs="Calibri" w:eastAsia="Calibri" w:hAnsi="Calibri"/>
                <w:sz w:val="18"/>
                <w:szCs w:val="18"/>
                <w:color w:val="auto"/>
              </w:rPr>
              <w:t>6,647,576</w:t>
            </w:r>
          </w:p>
        </w:tc>
      </w:tr>
      <w:tr>
        <w:trPr>
          <w:trHeight w:val="23"/>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544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Equity market capitalizaton</w:t>
            </w:r>
          </w:p>
        </w:tc>
        <w:tc>
          <w:tcPr>
            <w:tcW w:w="180" w:type="dxa"/>
            <w:vAlign w:val="bottom"/>
            <w:tcBorders>
              <w:bottom w:val="single" w:sz="8" w:color="F5F5F5"/>
            </w:tcBorders>
            <w:shd w:val="clear" w:color="auto" w:fill="F5F5F5"/>
          </w:tcPr>
          <w:p>
            <w:pPr>
              <w:spacing w:after="0"/>
              <w:rPr>
                <w:sz w:val="22"/>
                <w:szCs w:val="22"/>
                <w:color w:val="auto"/>
              </w:rPr>
            </w:pPr>
          </w:p>
        </w:tc>
        <w:tc>
          <w:tcPr>
            <w:tcW w:w="1040" w:type="dxa"/>
            <w:vAlign w:val="bottom"/>
            <w:tcBorders>
              <w:bottom w:val="single" w:sz="8" w:color="F5F5F5"/>
            </w:tcBorders>
            <w:shd w:val="clear" w:color="auto" w:fill="F5F5F5"/>
          </w:tcPr>
          <w:p>
            <w:pPr>
              <w:jc w:val="right"/>
              <w:ind w:right="114"/>
              <w:spacing w:after="0"/>
              <w:rPr>
                <w:sz w:val="20"/>
                <w:szCs w:val="20"/>
                <w:color w:val="auto"/>
              </w:rPr>
            </w:pPr>
            <w:r>
              <w:rPr>
                <w:rFonts w:ascii="Calibri" w:cs="Calibri" w:eastAsia="Calibri" w:hAnsi="Calibri"/>
                <w:sz w:val="18"/>
                <w:szCs w:val="18"/>
                <w:color w:val="auto"/>
              </w:rPr>
              <w:t>5,141,523</w:t>
            </w:r>
          </w:p>
        </w:tc>
        <w:tc>
          <w:tcPr>
            <w:tcW w:w="60" w:type="dxa"/>
            <w:vAlign w:val="bottom"/>
            <w:tcBorders>
              <w:bottom w:val="single" w:sz="8" w:color="F5F5F5"/>
            </w:tcBorders>
            <w:shd w:val="clear" w:color="auto" w:fill="F5F5F5"/>
          </w:tcPr>
          <w:p>
            <w:pPr>
              <w:spacing w:after="0"/>
              <w:rPr>
                <w:sz w:val="22"/>
                <w:szCs w:val="22"/>
                <w:color w:val="auto"/>
              </w:rPr>
            </w:pPr>
          </w:p>
        </w:tc>
        <w:tc>
          <w:tcPr>
            <w:tcW w:w="180" w:type="dxa"/>
            <w:vAlign w:val="bottom"/>
            <w:tcBorders>
              <w:bottom w:val="single" w:sz="8" w:color="F5F5F5"/>
            </w:tcBorders>
            <w:shd w:val="clear" w:color="auto" w:fill="F5F5F5"/>
          </w:tcPr>
          <w:p>
            <w:pPr>
              <w:spacing w:after="0"/>
              <w:rPr>
                <w:sz w:val="22"/>
                <w:szCs w:val="22"/>
                <w:color w:val="auto"/>
              </w:rPr>
            </w:pPr>
          </w:p>
        </w:tc>
        <w:tc>
          <w:tcPr>
            <w:tcW w:w="1060" w:type="dxa"/>
            <w:vAlign w:val="bottom"/>
            <w:tcBorders>
              <w:bottom w:val="single" w:sz="8" w:color="F5F5F5"/>
            </w:tcBorders>
            <w:shd w:val="clear" w:color="auto" w:fill="F5F5F5"/>
          </w:tcPr>
          <w:p>
            <w:pPr>
              <w:jc w:val="right"/>
              <w:ind w:right="134"/>
              <w:spacing w:after="0"/>
              <w:rPr>
                <w:sz w:val="20"/>
                <w:szCs w:val="20"/>
                <w:color w:val="auto"/>
              </w:rPr>
            </w:pPr>
            <w:r>
              <w:rPr>
                <w:rFonts w:ascii="Calibri" w:cs="Calibri" w:eastAsia="Calibri" w:hAnsi="Calibri"/>
                <w:sz w:val="18"/>
                <w:szCs w:val="18"/>
                <w:color w:val="auto"/>
              </w:rPr>
              <w:t>4,960,277</w:t>
            </w:r>
          </w:p>
        </w:tc>
        <w:tc>
          <w:tcPr>
            <w:tcW w:w="40" w:type="dxa"/>
            <w:vAlign w:val="bottom"/>
            <w:tcBorders>
              <w:bottom w:val="single" w:sz="8" w:color="F5F5F5"/>
            </w:tcBorders>
            <w:shd w:val="clear" w:color="auto" w:fill="F5F5F5"/>
          </w:tcPr>
          <w:p>
            <w:pPr>
              <w:spacing w:after="0"/>
              <w:rPr>
                <w:sz w:val="22"/>
                <w:szCs w:val="22"/>
                <w:color w:val="auto"/>
              </w:rPr>
            </w:pPr>
          </w:p>
        </w:tc>
        <w:tc>
          <w:tcPr>
            <w:tcW w:w="180" w:type="dxa"/>
            <w:vAlign w:val="bottom"/>
            <w:tcBorders>
              <w:bottom w:val="single" w:sz="8" w:color="F5F5F5"/>
            </w:tcBorders>
            <w:shd w:val="clear" w:color="auto" w:fill="F5F5F5"/>
          </w:tcPr>
          <w:p>
            <w:pPr>
              <w:spacing w:after="0"/>
              <w:rPr>
                <w:sz w:val="22"/>
                <w:szCs w:val="22"/>
                <w:color w:val="auto"/>
              </w:rPr>
            </w:pPr>
          </w:p>
        </w:tc>
        <w:tc>
          <w:tcPr>
            <w:tcW w:w="1060" w:type="dxa"/>
            <w:vAlign w:val="bottom"/>
            <w:tcBorders>
              <w:bottom w:val="single" w:sz="8" w:color="F5F5F5"/>
            </w:tcBorders>
            <w:shd w:val="clear" w:color="auto" w:fill="F5F5F5"/>
          </w:tcPr>
          <w:p>
            <w:pPr>
              <w:jc w:val="right"/>
              <w:ind w:right="132"/>
              <w:spacing w:after="0"/>
              <w:rPr>
                <w:sz w:val="20"/>
                <w:szCs w:val="20"/>
                <w:color w:val="auto"/>
              </w:rPr>
            </w:pPr>
            <w:r>
              <w:rPr>
                <w:rFonts w:ascii="Calibri" w:cs="Calibri" w:eastAsia="Calibri" w:hAnsi="Calibri"/>
                <w:sz w:val="18"/>
                <w:szCs w:val="18"/>
                <w:color w:val="auto"/>
              </w:rPr>
              <w:t>5,255,678</w:t>
            </w:r>
          </w:p>
        </w:tc>
      </w:tr>
      <w:tr>
        <w:trPr>
          <w:trHeight w:val="210"/>
        </w:trPr>
        <w:tc>
          <w:tcPr>
            <w:tcW w:w="5440" w:type="dxa"/>
            <w:vAlign w:val="bottom"/>
          </w:tcPr>
          <w:p>
            <w:pPr>
              <w:ind w:left="60"/>
              <w:spacing w:after="0" w:line="195" w:lineRule="exact"/>
              <w:rPr>
                <w:sz w:val="20"/>
                <w:szCs w:val="20"/>
                <w:color w:val="auto"/>
              </w:rPr>
            </w:pPr>
            <w:r>
              <w:rPr>
                <w:rFonts w:ascii="Calibri" w:cs="Calibri" w:eastAsia="Calibri" w:hAnsi="Calibri"/>
                <w:sz w:val="18"/>
                <w:szCs w:val="18"/>
                <w:color w:val="auto"/>
              </w:rPr>
              <w:t>Total market capitalizaton</w:t>
            </w:r>
          </w:p>
        </w:tc>
        <w:tc>
          <w:tcPr>
            <w:tcW w:w="1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bottom w:val="single" w:sz="8" w:color="auto"/>
            </w:tcBorders>
          </w:tcPr>
          <w:p>
            <w:pPr>
              <w:jc w:val="right"/>
              <w:ind w:right="114"/>
              <w:spacing w:after="0" w:line="209" w:lineRule="exact"/>
              <w:rPr>
                <w:sz w:val="20"/>
                <w:szCs w:val="20"/>
                <w:color w:val="auto"/>
              </w:rPr>
            </w:pPr>
            <w:r>
              <w:rPr>
                <w:rFonts w:ascii="Calibri" w:cs="Calibri" w:eastAsia="Calibri" w:hAnsi="Calibri"/>
                <w:sz w:val="18"/>
                <w:szCs w:val="18"/>
                <w:color w:val="auto"/>
                <w:w w:val="99"/>
              </w:rPr>
              <w:t>11,593,303</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060" w:type="dxa"/>
            <w:vAlign w:val="bottom"/>
            <w:tcBorders>
              <w:top w:val="single" w:sz="8" w:color="auto"/>
              <w:bottom w:val="single" w:sz="8" w:color="auto"/>
            </w:tcBorders>
          </w:tcPr>
          <w:p>
            <w:pPr>
              <w:jc w:val="right"/>
              <w:ind w:right="134"/>
              <w:spacing w:after="0" w:line="209" w:lineRule="exact"/>
              <w:rPr>
                <w:sz w:val="20"/>
                <w:szCs w:val="20"/>
                <w:color w:val="auto"/>
              </w:rPr>
            </w:pPr>
            <w:r>
              <w:rPr>
                <w:rFonts w:ascii="Calibri" w:cs="Calibri" w:eastAsia="Calibri" w:hAnsi="Calibri"/>
                <w:sz w:val="18"/>
                <w:szCs w:val="18"/>
                <w:color w:val="auto"/>
                <w:w w:val="99"/>
              </w:rPr>
              <w:t>11,551,051</w:t>
            </w: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060" w:type="dxa"/>
            <w:vAlign w:val="bottom"/>
            <w:tcBorders>
              <w:top w:val="single" w:sz="8" w:color="auto"/>
              <w:bottom w:val="single" w:sz="8" w:color="auto"/>
            </w:tcBorders>
          </w:tcPr>
          <w:p>
            <w:pPr>
              <w:jc w:val="right"/>
              <w:ind w:right="132"/>
              <w:spacing w:after="0" w:line="209" w:lineRule="exact"/>
              <w:rPr>
                <w:sz w:val="20"/>
                <w:szCs w:val="20"/>
                <w:color w:val="auto"/>
              </w:rPr>
            </w:pPr>
            <w:r>
              <w:rPr>
                <w:rFonts w:ascii="Calibri" w:cs="Calibri" w:eastAsia="Calibri" w:hAnsi="Calibri"/>
                <w:sz w:val="18"/>
                <w:szCs w:val="18"/>
                <w:color w:val="auto"/>
                <w:w w:val="99"/>
              </w:rPr>
              <w:t>11,903,254</w:t>
            </w:r>
          </w:p>
        </w:tc>
      </w:tr>
      <w:tr>
        <w:trPr>
          <w:trHeight w:val="20"/>
        </w:trPr>
        <w:tc>
          <w:tcPr>
            <w:tcW w:w="5440" w:type="dxa"/>
            <w:vAlign w:val="bottom"/>
            <w:tcBorders>
              <w:bottom w:val="single" w:sz="8" w:color="F5F5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5F5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F5F5F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440" w:type="dxa"/>
            <w:vAlign w:val="bottom"/>
            <w:shd w:val="clear" w:color="auto" w:fill="F5F5F5"/>
          </w:tcPr>
          <w:p>
            <w:pPr>
              <w:ind w:left="60"/>
              <w:spacing w:after="0" w:line="195" w:lineRule="exact"/>
              <w:rPr>
                <w:sz w:val="20"/>
                <w:szCs w:val="20"/>
                <w:color w:val="auto"/>
              </w:rPr>
            </w:pPr>
            <w:r>
              <w:rPr>
                <w:rFonts w:ascii="Calibri" w:cs="Calibri" w:eastAsia="Calibri" w:hAnsi="Calibri"/>
                <w:sz w:val="18"/>
                <w:szCs w:val="18"/>
                <w:color w:val="auto"/>
              </w:rPr>
              <w:t>Debt as a percentage of total market capitalizaton</w:t>
            </w:r>
          </w:p>
        </w:tc>
        <w:tc>
          <w:tcPr>
            <w:tcW w:w="180" w:type="dxa"/>
            <w:vAlign w:val="bottom"/>
            <w:shd w:val="clear" w:color="auto" w:fill="F5F5F5"/>
          </w:tcPr>
          <w:p>
            <w:pPr>
              <w:spacing w:after="0"/>
              <w:rPr>
                <w:sz w:val="19"/>
                <w:szCs w:val="19"/>
                <w:color w:val="auto"/>
              </w:rPr>
            </w:pPr>
          </w:p>
        </w:tc>
        <w:tc>
          <w:tcPr>
            <w:tcW w:w="1040" w:type="dxa"/>
            <w:vAlign w:val="bottom"/>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55.7%</w:t>
            </w:r>
          </w:p>
        </w:tc>
        <w:tc>
          <w:tcPr>
            <w:tcW w:w="60" w:type="dxa"/>
            <w:vAlign w:val="bottom"/>
            <w:shd w:val="clear" w:color="auto" w:fill="F5F5F5"/>
          </w:tcPr>
          <w:p>
            <w:pPr>
              <w:spacing w:after="0"/>
              <w:rPr>
                <w:sz w:val="19"/>
                <w:szCs w:val="19"/>
                <w:color w:val="auto"/>
              </w:rPr>
            </w:pPr>
          </w:p>
        </w:tc>
        <w:tc>
          <w:tcPr>
            <w:tcW w:w="180" w:type="dxa"/>
            <w:vAlign w:val="bottom"/>
            <w:shd w:val="clear" w:color="auto" w:fill="F5F5F5"/>
          </w:tcPr>
          <w:p>
            <w:pPr>
              <w:spacing w:after="0"/>
              <w:rPr>
                <w:sz w:val="19"/>
                <w:szCs w:val="19"/>
                <w:color w:val="auto"/>
              </w:rPr>
            </w:pPr>
          </w:p>
        </w:tc>
        <w:tc>
          <w:tcPr>
            <w:tcW w:w="1060" w:type="dxa"/>
            <w:vAlign w:val="bottom"/>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57.1%</w:t>
            </w:r>
          </w:p>
        </w:tc>
        <w:tc>
          <w:tcPr>
            <w:tcW w:w="40" w:type="dxa"/>
            <w:vAlign w:val="bottom"/>
            <w:shd w:val="clear" w:color="auto" w:fill="F5F5F5"/>
          </w:tcPr>
          <w:p>
            <w:pPr>
              <w:spacing w:after="0"/>
              <w:rPr>
                <w:sz w:val="19"/>
                <w:szCs w:val="19"/>
                <w:color w:val="auto"/>
              </w:rPr>
            </w:pPr>
          </w:p>
        </w:tc>
        <w:tc>
          <w:tcPr>
            <w:tcW w:w="180" w:type="dxa"/>
            <w:vAlign w:val="bottom"/>
            <w:shd w:val="clear" w:color="auto" w:fill="F5F5F5"/>
          </w:tcPr>
          <w:p>
            <w:pPr>
              <w:spacing w:after="0"/>
              <w:rPr>
                <w:sz w:val="19"/>
                <w:szCs w:val="19"/>
                <w:color w:val="auto"/>
              </w:rPr>
            </w:pPr>
          </w:p>
        </w:tc>
        <w:tc>
          <w:tcPr>
            <w:tcW w:w="1060" w:type="dxa"/>
            <w:vAlign w:val="bottom"/>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55.9%</w:t>
            </w:r>
          </w:p>
        </w:tc>
      </w:tr>
    </w:tbl>
    <w:p>
      <w:pPr>
        <w:sectPr>
          <w:pgSz w:w="11900" w:h="16838" w:orient="portrait"/>
          <w:cols w:equalWidth="0" w:num="1">
            <w:col w:w="9680"/>
          </w:cols>
          <w:pgMar w:left="1160" w:top="84" w:right="10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60"/>
        <w:spacing w:after="0"/>
        <w:rPr>
          <w:sz w:val="20"/>
          <w:szCs w:val="20"/>
          <w:color w:val="auto"/>
        </w:rPr>
      </w:pPr>
      <w:r>
        <w:rPr>
          <w:rFonts w:ascii="Calibri" w:cs="Calibri" w:eastAsia="Calibri" w:hAnsi="Calibri"/>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0"/>
        <w:spacing w:after="0"/>
        <w:rPr>
          <w:sz w:val="20"/>
          <w:szCs w:val="20"/>
          <w:color w:val="auto"/>
        </w:rPr>
      </w:pPr>
      <w:r>
        <w:rPr>
          <w:rFonts w:ascii="Calibri" w:cs="Calibri" w:eastAsia="Calibri" w:hAnsi="Calibri"/>
          <w:sz w:val="18"/>
          <w:szCs w:val="18"/>
          <w:b w:val="1"/>
          <w:bCs w:val="1"/>
          <w:color w:val="auto"/>
        </w:rPr>
        <w:t>The Macerich Company</w:t>
      </w:r>
    </w:p>
    <w:p>
      <w:pPr>
        <w:jc w:val="center"/>
        <w:ind w:right="300"/>
        <w:spacing w:after="0" w:line="206" w:lineRule="auto"/>
        <w:rPr>
          <w:sz w:val="20"/>
          <w:szCs w:val="20"/>
          <w:color w:val="auto"/>
        </w:rPr>
      </w:pPr>
      <w:r>
        <w:rPr>
          <w:rFonts w:ascii="Calibri" w:cs="Calibri" w:eastAsia="Calibri" w:hAnsi="Calibri"/>
          <w:sz w:val="18"/>
          <w:szCs w:val="18"/>
          <w:b w:val="1"/>
          <w:bCs w:val="1"/>
          <w:color w:val="auto"/>
        </w:rPr>
        <w:t>Supplemental Financial and Operatng Informaton (unaudited)</w:t>
      </w:r>
    </w:p>
    <w:p>
      <w:pPr>
        <w:jc w:val="center"/>
        <w:ind w:right="280"/>
        <w:spacing w:after="0" w:line="221" w:lineRule="auto"/>
        <w:rPr>
          <w:sz w:val="20"/>
          <w:szCs w:val="20"/>
          <w:color w:val="auto"/>
        </w:rPr>
      </w:pPr>
      <w:r>
        <w:rPr>
          <w:rFonts w:ascii="Calibri" w:cs="Calibri" w:eastAsia="Calibri" w:hAnsi="Calibri"/>
          <w:sz w:val="18"/>
          <w:szCs w:val="18"/>
          <w:b w:val="1"/>
          <w:bCs w:val="1"/>
          <w:color w:val="auto"/>
        </w:rPr>
        <w:t>Changes in Total Common and Equivalent Shares/Units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alibri" w:cs="Calibri" w:eastAsia="Calibri" w:hAnsi="Calibri"/>
                <w:sz w:val="14"/>
                <w:szCs w:val="14"/>
                <w:b w:val="1"/>
                <w:bCs w:val="1"/>
                <w:color w:val="auto"/>
                <w:w w:val="94"/>
              </w:rPr>
              <w:t>Total</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Calibri" w:cs="Calibri" w:eastAsia="Calibri" w:hAnsi="Calibri"/>
                <w:sz w:val="14"/>
                <w:szCs w:val="14"/>
                <w:b w:val="1"/>
                <w:bCs w:val="1"/>
                <w:color w:val="auto"/>
              </w:rPr>
              <w:t>Class A</w:t>
            </w:r>
          </w:p>
        </w:tc>
        <w:tc>
          <w:tcPr>
            <w:tcW w:w="1340" w:type="dxa"/>
            <w:vAlign w:val="bottom"/>
          </w:tcPr>
          <w:p>
            <w:pPr>
              <w:jc w:val="center"/>
              <w:spacing w:after="0"/>
              <w:rPr>
                <w:sz w:val="20"/>
                <w:szCs w:val="20"/>
                <w:color w:val="auto"/>
              </w:rPr>
            </w:pPr>
            <w:r>
              <w:rPr>
                <w:rFonts w:ascii="Calibri" w:cs="Calibri" w:eastAsia="Calibri" w:hAnsi="Calibri"/>
                <w:sz w:val="14"/>
                <w:szCs w:val="14"/>
                <w:b w:val="1"/>
                <w:bCs w:val="1"/>
                <w:color w:val="auto"/>
              </w:rPr>
              <w:t>Common</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Calibri" w:cs="Calibri" w:eastAsia="Calibri" w:hAnsi="Calibri"/>
                <w:sz w:val="14"/>
                <w:szCs w:val="14"/>
                <w:b w:val="1"/>
                <w:bCs w:val="1"/>
                <w:color w:val="auto"/>
              </w:rPr>
              <w:t>Non-Partcipatng</w:t>
            </w:r>
          </w:p>
        </w:tc>
        <w:tc>
          <w:tcPr>
            <w:tcW w:w="134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and</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1120" w:type="dxa"/>
            <w:vAlign w:val="bottom"/>
            <w:gridSpan w:val="2"/>
          </w:tcPr>
          <w:p>
            <w:pPr>
              <w:jc w:val="center"/>
              <w:ind w:right="40"/>
              <w:spacing w:after="0" w:line="168" w:lineRule="exact"/>
              <w:rPr>
                <w:sz w:val="20"/>
                <w:szCs w:val="20"/>
                <w:color w:val="auto"/>
              </w:rPr>
            </w:pPr>
            <w:r>
              <w:rPr>
                <w:rFonts w:ascii="Calibri" w:cs="Calibri" w:eastAsia="Calibri" w:hAnsi="Calibri"/>
                <w:sz w:val="14"/>
                <w:szCs w:val="14"/>
                <w:b w:val="1"/>
                <w:bCs w:val="1"/>
                <w:color w:val="auto"/>
              </w:rPr>
              <w:t>Partnership</w:t>
            </w:r>
          </w:p>
        </w:tc>
        <w:tc>
          <w:tcPr>
            <w:tcW w:w="1120" w:type="dxa"/>
            <w:vAlign w:val="bottom"/>
            <w:gridSpan w:val="2"/>
          </w:tcPr>
          <w:p>
            <w:pPr>
              <w:ind w:left="260"/>
              <w:spacing w:after="0" w:line="168" w:lineRule="exact"/>
              <w:rPr>
                <w:sz w:val="20"/>
                <w:szCs w:val="20"/>
                <w:color w:val="auto"/>
              </w:rPr>
            </w:pPr>
            <w:r>
              <w:rPr>
                <w:rFonts w:ascii="Calibri" w:cs="Calibri" w:eastAsia="Calibri" w:hAnsi="Calibri"/>
                <w:sz w:val="14"/>
                <w:szCs w:val="14"/>
                <w:b w:val="1"/>
                <w:bCs w:val="1"/>
                <w:color w:val="auto"/>
              </w:rPr>
              <w:t>Company</w:t>
            </w:r>
          </w:p>
        </w:tc>
        <w:tc>
          <w:tcPr>
            <w:tcW w:w="1240" w:type="dxa"/>
            <w:vAlign w:val="bottom"/>
            <w:gridSpan w:val="2"/>
          </w:tcPr>
          <w:p>
            <w:pPr>
              <w:jc w:val="center"/>
              <w:ind w:right="60"/>
              <w:spacing w:after="0" w:line="168" w:lineRule="exact"/>
              <w:rPr>
                <w:sz w:val="20"/>
                <w:szCs w:val="20"/>
                <w:color w:val="auto"/>
              </w:rPr>
            </w:pPr>
            <w:r>
              <w:rPr>
                <w:rFonts w:ascii="Calibri" w:cs="Calibri" w:eastAsia="Calibri" w:hAnsi="Calibri"/>
                <w:sz w:val="14"/>
                <w:szCs w:val="14"/>
                <w:b w:val="1"/>
                <w:bCs w:val="1"/>
                <w:color w:val="auto"/>
              </w:rPr>
              <w:t>Convertble</w:t>
            </w:r>
          </w:p>
        </w:tc>
        <w:tc>
          <w:tcPr>
            <w:tcW w:w="134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Equivalent Shares/</w:t>
            </w:r>
          </w:p>
        </w:tc>
        <w:tc>
          <w:tcPr>
            <w:tcW w:w="0" w:type="dxa"/>
            <w:vAlign w:val="bottom"/>
          </w:tcPr>
          <w:p>
            <w:pPr>
              <w:spacing w:after="0"/>
              <w:rPr>
                <w:sz w:val="1"/>
                <w:szCs w:val="1"/>
                <w:color w:val="auto"/>
              </w:rPr>
            </w:pPr>
          </w:p>
        </w:tc>
      </w:tr>
      <w:tr>
        <w:trPr>
          <w:trHeight w:val="170"/>
        </w:trPr>
        <w:tc>
          <w:tcPr>
            <w:tcW w:w="502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Calibri" w:cs="Calibri" w:eastAsia="Calibri" w:hAnsi="Calibri"/>
                <w:sz w:val="14"/>
                <w:szCs w:val="14"/>
                <w:b w:val="1"/>
                <w:bCs w:val="1"/>
                <w:color w:val="auto"/>
              </w:rPr>
              <w:t>Units</w:t>
            </w:r>
          </w:p>
        </w:tc>
        <w:tc>
          <w:tcPr>
            <w:tcW w:w="112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Common Shares</w:t>
            </w:r>
          </w:p>
        </w:tc>
        <w:tc>
          <w:tcPr>
            <w:tcW w:w="1240" w:type="dxa"/>
            <w:vAlign w:val="bottom"/>
            <w:gridSpan w:val="2"/>
          </w:tcPr>
          <w:p>
            <w:pPr>
              <w:jc w:val="center"/>
              <w:ind w:right="60"/>
              <w:spacing w:after="0"/>
              <w:rPr>
                <w:sz w:val="20"/>
                <w:szCs w:val="20"/>
                <w:color w:val="auto"/>
              </w:rPr>
            </w:pPr>
            <w:r>
              <w:rPr>
                <w:rFonts w:ascii="Calibri" w:cs="Calibri" w:eastAsia="Calibri" w:hAnsi="Calibri"/>
                <w:sz w:val="14"/>
                <w:szCs w:val="14"/>
                <w:b w:val="1"/>
                <w:bCs w:val="1"/>
                <w:color w:val="auto"/>
              </w:rPr>
              <w:t>Preferred Units</w:t>
            </w:r>
          </w:p>
        </w:tc>
        <w:tc>
          <w:tcPr>
            <w:tcW w:w="1340" w:type="dxa"/>
            <w:vAlign w:val="bottom"/>
          </w:tcPr>
          <w:p>
            <w:pPr>
              <w:jc w:val="center"/>
              <w:spacing w:after="0"/>
              <w:rPr>
                <w:sz w:val="20"/>
                <w:szCs w:val="20"/>
                <w:color w:val="auto"/>
              </w:rPr>
            </w:pPr>
            <w:r>
              <w:rPr>
                <w:rFonts w:ascii="Calibri" w:cs="Calibri" w:eastAsia="Calibri" w:hAnsi="Calibri"/>
                <w:sz w:val="14"/>
                <w:szCs w:val="14"/>
                <w:b w:val="1"/>
                <w:bCs w:val="1"/>
                <w:color w:val="auto"/>
              </w:rPr>
              <w:t>Units</w:t>
            </w:r>
          </w:p>
        </w:tc>
        <w:tc>
          <w:tcPr>
            <w:tcW w:w="0" w:type="dxa"/>
            <w:vAlign w:val="bottom"/>
          </w:tcPr>
          <w:p>
            <w:pPr>
              <w:spacing w:after="0"/>
              <w:rPr>
                <w:sz w:val="1"/>
                <w:szCs w:val="1"/>
                <w:color w:val="auto"/>
              </w:rPr>
            </w:pPr>
          </w:p>
        </w:tc>
      </w:tr>
      <w:tr>
        <w:trPr>
          <w:trHeight w:val="47"/>
        </w:trPr>
        <w:tc>
          <w:tcPr>
            <w:tcW w:w="5020" w:type="dxa"/>
            <w:vAlign w:val="bottom"/>
            <w:vMerge w:val="restart"/>
          </w:tcPr>
          <w:p>
            <w:pPr>
              <w:ind w:left="60"/>
              <w:spacing w:after="0"/>
              <w:rPr>
                <w:sz w:val="20"/>
                <w:szCs w:val="20"/>
                <w:color w:val="auto"/>
              </w:rPr>
            </w:pPr>
            <w:r>
              <w:rPr>
                <w:rFonts w:ascii="Calibri" w:cs="Calibri" w:eastAsia="Calibri" w:hAnsi="Calibri"/>
                <w:sz w:val="18"/>
                <w:szCs w:val="18"/>
                <w:b w:val="1"/>
                <w:bCs w:val="1"/>
                <w:color w:val="auto"/>
              </w:rPr>
              <w:t>Balance as of December 31, 2025</w:t>
            </w:r>
          </w:p>
        </w:tc>
        <w:tc>
          <w:tcPr>
            <w:tcW w:w="10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5020" w:type="dxa"/>
            <w:vAlign w:val="bottom"/>
            <w:vMerge w:val="continue"/>
          </w:tcPr>
          <w:p>
            <w:pPr>
              <w:spacing w:after="0"/>
              <w:rPr>
                <w:sz w:val="18"/>
                <w:szCs w:val="18"/>
                <w:color w:val="auto"/>
              </w:rPr>
            </w:pPr>
          </w:p>
        </w:tc>
        <w:tc>
          <w:tcPr>
            <w:tcW w:w="1080" w:type="dxa"/>
            <w:vAlign w:val="bottom"/>
          </w:tcPr>
          <w:p>
            <w:pPr>
              <w:jc w:val="right"/>
              <w:spacing w:after="0" w:line="208" w:lineRule="exact"/>
              <w:rPr>
                <w:sz w:val="20"/>
                <w:szCs w:val="20"/>
                <w:color w:val="auto"/>
              </w:rPr>
            </w:pPr>
            <w:r>
              <w:rPr>
                <w:rFonts w:ascii="Calibri" w:cs="Calibri" w:eastAsia="Calibri" w:hAnsi="Calibri"/>
                <w:sz w:val="18"/>
                <w:szCs w:val="18"/>
                <w:color w:val="auto"/>
              </w:rPr>
              <w:t>11,613,593</w:t>
            </w:r>
          </w:p>
        </w:tc>
        <w:tc>
          <w:tcPr>
            <w:tcW w:w="40" w:type="dxa"/>
            <w:vAlign w:val="bottom"/>
          </w:tcPr>
          <w:p>
            <w:pPr>
              <w:spacing w:after="0"/>
              <w:rPr>
                <w:sz w:val="18"/>
                <w:szCs w:val="18"/>
                <w:color w:val="auto"/>
              </w:rPr>
            </w:pPr>
          </w:p>
        </w:tc>
        <w:tc>
          <w:tcPr>
            <w:tcW w:w="1080" w:type="dxa"/>
            <w:vAlign w:val="bottom"/>
          </w:tcPr>
          <w:p>
            <w:pPr>
              <w:jc w:val="right"/>
              <w:spacing w:after="0" w:line="208" w:lineRule="exact"/>
              <w:rPr>
                <w:sz w:val="20"/>
                <w:szCs w:val="20"/>
                <w:color w:val="auto"/>
              </w:rPr>
            </w:pPr>
            <w:r>
              <w:rPr>
                <w:rFonts w:ascii="Calibri" w:cs="Calibri" w:eastAsia="Calibri" w:hAnsi="Calibri"/>
                <w:sz w:val="18"/>
                <w:szCs w:val="18"/>
                <w:color w:val="auto"/>
              </w:rPr>
              <w:t>256,990,913</w:t>
            </w:r>
          </w:p>
        </w:tc>
        <w:tc>
          <w:tcPr>
            <w:tcW w:w="40" w:type="dxa"/>
            <w:vAlign w:val="bottom"/>
          </w:tcPr>
          <w:p>
            <w:pPr>
              <w:spacing w:after="0"/>
              <w:rPr>
                <w:sz w:val="18"/>
                <w:szCs w:val="18"/>
                <w:color w:val="auto"/>
              </w:rPr>
            </w:pPr>
          </w:p>
        </w:tc>
        <w:tc>
          <w:tcPr>
            <w:tcW w:w="1180" w:type="dxa"/>
            <w:vAlign w:val="bottom"/>
          </w:tcPr>
          <w:p>
            <w:pPr>
              <w:jc w:val="right"/>
              <w:spacing w:after="0" w:line="208" w:lineRule="exact"/>
              <w:rPr>
                <w:sz w:val="20"/>
                <w:szCs w:val="20"/>
                <w:color w:val="auto"/>
              </w:rPr>
            </w:pPr>
            <w:r>
              <w:rPr>
                <w:rFonts w:ascii="Calibri" w:cs="Calibri" w:eastAsia="Calibri" w:hAnsi="Calibri"/>
                <w:sz w:val="18"/>
                <w:szCs w:val="18"/>
                <w:color w:val="auto"/>
              </w:rPr>
              <w:t>99,565</w:t>
            </w:r>
          </w:p>
        </w:tc>
        <w:tc>
          <w:tcPr>
            <w:tcW w:w="60" w:type="dxa"/>
            <w:vAlign w:val="bottom"/>
          </w:tcPr>
          <w:p>
            <w:pPr>
              <w:spacing w:after="0"/>
              <w:rPr>
                <w:sz w:val="18"/>
                <w:szCs w:val="18"/>
                <w:color w:val="auto"/>
              </w:rPr>
            </w:pPr>
          </w:p>
        </w:tc>
        <w:tc>
          <w:tcPr>
            <w:tcW w:w="1340" w:type="dxa"/>
            <w:vAlign w:val="bottom"/>
          </w:tcPr>
          <w:p>
            <w:pPr>
              <w:jc w:val="right"/>
              <w:spacing w:after="0" w:line="208" w:lineRule="exact"/>
              <w:rPr>
                <w:sz w:val="20"/>
                <w:szCs w:val="20"/>
                <w:color w:val="auto"/>
              </w:rPr>
            </w:pPr>
            <w:r>
              <w:rPr>
                <w:rFonts w:ascii="Calibri" w:cs="Calibri" w:eastAsia="Calibri" w:hAnsi="Calibri"/>
                <w:sz w:val="18"/>
                <w:szCs w:val="18"/>
                <w:color w:val="auto"/>
              </w:rPr>
              <w:t>268,704,071</w:t>
            </w:r>
          </w:p>
        </w:tc>
        <w:tc>
          <w:tcPr>
            <w:tcW w:w="0" w:type="dxa"/>
            <w:vAlign w:val="bottom"/>
          </w:tcPr>
          <w:p>
            <w:pPr>
              <w:spacing w:after="0"/>
              <w:rPr>
                <w:sz w:val="1"/>
                <w:szCs w:val="1"/>
                <w:color w:val="auto"/>
              </w:rPr>
            </w:pPr>
          </w:p>
        </w:tc>
      </w:tr>
      <w:tr>
        <w:trPr>
          <w:trHeight w:val="28"/>
        </w:trPr>
        <w:tc>
          <w:tcPr>
            <w:tcW w:w="5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Conversion of partnership units to cash</w:t>
            </w:r>
          </w:p>
        </w:tc>
        <w:tc>
          <w:tcPr>
            <w:tcW w:w="10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(44,096)</w:t>
            </w:r>
          </w:p>
        </w:tc>
        <w:tc>
          <w:tcPr>
            <w:tcW w:w="40" w:type="dxa"/>
            <w:vAlign w:val="bottom"/>
            <w:tcBorders>
              <w:bottom w:val="single" w:sz="8" w:color="F5F5F5"/>
            </w:tcBorders>
            <w:shd w:val="clear" w:color="auto" w:fill="F5F5F5"/>
          </w:tcPr>
          <w:p>
            <w:pPr>
              <w:spacing w:after="0"/>
              <w:rPr>
                <w:sz w:val="20"/>
                <w:szCs w:val="20"/>
                <w:color w:val="auto"/>
              </w:rPr>
            </w:pPr>
          </w:p>
        </w:tc>
        <w:tc>
          <w:tcPr>
            <w:tcW w:w="1120" w:type="dxa"/>
            <w:vAlign w:val="bottom"/>
            <w:tcBorders>
              <w:bottom w:val="single" w:sz="8" w:color="F5F5F5"/>
            </w:tcBorders>
            <w:gridSpan w:val="2"/>
            <w:shd w:val="clear" w:color="auto" w:fill="F5F5F5"/>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F5F5F5"/>
            </w:tcBorders>
            <w:gridSpan w:val="2"/>
            <w:shd w:val="clear" w:color="auto" w:fill="F5F5F5"/>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(44,096)</w:t>
            </w:r>
          </w:p>
        </w:tc>
        <w:tc>
          <w:tcPr>
            <w:tcW w:w="0" w:type="dxa"/>
            <w:vAlign w:val="bottom"/>
          </w:tcPr>
          <w:p>
            <w:pPr>
              <w:spacing w:after="0"/>
              <w:rPr>
                <w:sz w:val="1"/>
                <w:szCs w:val="1"/>
                <w:color w:val="auto"/>
              </w:rPr>
            </w:pPr>
          </w:p>
        </w:tc>
      </w:tr>
      <w:tr>
        <w:trPr>
          <w:trHeight w:val="215"/>
        </w:trPr>
        <w:tc>
          <w:tcPr>
            <w:tcW w:w="5020" w:type="dxa"/>
            <w:vAlign w:val="bottom"/>
          </w:tcPr>
          <w:p>
            <w:pPr>
              <w:ind w:left="60"/>
              <w:spacing w:after="0" w:line="215" w:lineRule="exact"/>
              <w:rPr>
                <w:sz w:val="20"/>
                <w:szCs w:val="20"/>
                <w:color w:val="auto"/>
              </w:rPr>
            </w:pPr>
            <w:r>
              <w:rPr>
                <w:rFonts w:ascii="Calibri" w:cs="Calibri" w:eastAsia="Calibri" w:hAnsi="Calibri"/>
                <w:sz w:val="18"/>
                <w:szCs w:val="18"/>
                <w:color w:val="auto"/>
              </w:rPr>
              <w:t>Conversion of partnership units to common shares</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(286,338)</w:t>
            </w:r>
          </w:p>
        </w:tc>
        <w:tc>
          <w:tcPr>
            <w:tcW w:w="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286,338</w:t>
            </w:r>
          </w:p>
        </w:tc>
        <w:tc>
          <w:tcPr>
            <w:tcW w:w="40" w:type="dxa"/>
            <w:vAlign w:val="bottom"/>
          </w:tcPr>
          <w:p>
            <w:pPr>
              <w:spacing w:after="0"/>
              <w:rPr>
                <w:sz w:val="18"/>
                <w:szCs w:val="18"/>
                <w:color w:val="auto"/>
              </w:rPr>
            </w:pPr>
          </w:p>
        </w:tc>
        <w:tc>
          <w:tcPr>
            <w:tcW w:w="12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42"/>
        </w:trPr>
        <w:tc>
          <w:tcPr>
            <w:tcW w:w="5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Issuance of shares from at-the-market ("ATM") program</w:t>
            </w:r>
          </w:p>
        </w:tc>
        <w:tc>
          <w:tcPr>
            <w:tcW w:w="1120" w:type="dxa"/>
            <w:vAlign w:val="bottom"/>
            <w:tcBorders>
              <w:bottom w:val="single" w:sz="8" w:color="F5F5F5"/>
            </w:tcBorders>
            <w:gridSpan w:val="2"/>
            <w:shd w:val="clear" w:color="auto" w:fill="F5F5F5"/>
          </w:tcPr>
          <w:p>
            <w:pPr>
              <w:ind w:left="86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3,252,163</w:t>
            </w:r>
          </w:p>
        </w:tc>
        <w:tc>
          <w:tcPr>
            <w:tcW w:w="40" w:type="dxa"/>
            <w:vAlign w:val="bottom"/>
            <w:tcBorders>
              <w:bottom w:val="single" w:sz="8" w:color="F5F5F5"/>
            </w:tcBorders>
            <w:shd w:val="clear" w:color="auto" w:fill="F5F5F5"/>
          </w:tcPr>
          <w:p>
            <w:pPr>
              <w:spacing w:after="0"/>
              <w:rPr>
                <w:sz w:val="20"/>
                <w:szCs w:val="20"/>
                <w:color w:val="auto"/>
              </w:rPr>
            </w:pPr>
          </w:p>
        </w:tc>
        <w:tc>
          <w:tcPr>
            <w:tcW w:w="1240" w:type="dxa"/>
            <w:vAlign w:val="bottom"/>
            <w:tcBorders>
              <w:bottom w:val="single" w:sz="8" w:color="F5F5F5"/>
            </w:tcBorders>
            <w:gridSpan w:val="2"/>
            <w:shd w:val="clear" w:color="auto" w:fill="F5F5F5"/>
          </w:tcPr>
          <w:p>
            <w:pPr>
              <w:jc w:val="right"/>
              <w:ind w:right="120"/>
              <w:spacing w:after="0"/>
              <w:rPr>
                <w:sz w:val="20"/>
                <w:szCs w:val="20"/>
                <w:color w:val="auto"/>
              </w:rPr>
            </w:pPr>
            <w:r>
              <w:rPr>
                <w:rFonts w:ascii="Calibri" w:cs="Calibri" w:eastAsia="Calibri" w:hAnsi="Calibri"/>
                <w:sz w:val="18"/>
                <w:szCs w:val="18"/>
                <w:color w:val="auto"/>
              </w:rPr>
              <w:t>—</w:t>
            </w:r>
          </w:p>
        </w:tc>
        <w:tc>
          <w:tcPr>
            <w:tcW w:w="134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3,252,163</w:t>
            </w:r>
          </w:p>
        </w:tc>
        <w:tc>
          <w:tcPr>
            <w:tcW w:w="0" w:type="dxa"/>
            <w:vAlign w:val="bottom"/>
          </w:tcPr>
          <w:p>
            <w:pPr>
              <w:spacing w:after="0"/>
              <w:rPr>
                <w:sz w:val="1"/>
                <w:szCs w:val="1"/>
                <w:color w:val="auto"/>
              </w:rPr>
            </w:pPr>
          </w:p>
        </w:tc>
      </w:tr>
      <w:tr>
        <w:trPr>
          <w:trHeight w:val="180"/>
        </w:trPr>
        <w:tc>
          <w:tcPr>
            <w:tcW w:w="5020" w:type="dxa"/>
            <w:vAlign w:val="bottom"/>
          </w:tcPr>
          <w:p>
            <w:pPr>
              <w:ind w:left="60"/>
              <w:spacing w:after="0" w:line="180" w:lineRule="exact"/>
              <w:rPr>
                <w:sz w:val="20"/>
                <w:szCs w:val="20"/>
                <w:color w:val="auto"/>
              </w:rPr>
            </w:pPr>
            <w:r>
              <w:rPr>
                <w:rFonts w:ascii="Calibri" w:cs="Calibri" w:eastAsia="Calibri" w:hAnsi="Calibri"/>
                <w:sz w:val="18"/>
                <w:szCs w:val="18"/>
                <w:color w:val="auto"/>
              </w:rPr>
              <w:t>Issuance of stock/partnership units from restricted stock issuance</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60"/>
              <w:spacing w:after="0" w:line="215" w:lineRule="exact"/>
              <w:rPr>
                <w:sz w:val="20"/>
                <w:szCs w:val="20"/>
                <w:color w:val="auto"/>
              </w:rPr>
            </w:pPr>
            <w:r>
              <w:rPr>
                <w:rFonts w:ascii="Calibri" w:cs="Calibri" w:eastAsia="Calibri" w:hAnsi="Calibri"/>
                <w:sz w:val="18"/>
                <w:szCs w:val="18"/>
                <w:color w:val="auto"/>
              </w:rPr>
              <w:t>or other share or unit-based plans</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22,655</w:t>
            </w:r>
          </w:p>
        </w:tc>
        <w:tc>
          <w:tcPr>
            <w:tcW w:w="4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103,482</w:t>
            </w:r>
          </w:p>
        </w:tc>
        <w:tc>
          <w:tcPr>
            <w:tcW w:w="40" w:type="dxa"/>
            <w:vAlign w:val="bottom"/>
          </w:tcPr>
          <w:p>
            <w:pPr>
              <w:spacing w:after="0"/>
              <w:rPr>
                <w:sz w:val="18"/>
                <w:szCs w:val="18"/>
                <w:color w:val="auto"/>
              </w:rPr>
            </w:pPr>
          </w:p>
        </w:tc>
        <w:tc>
          <w:tcPr>
            <w:tcW w:w="124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126,137</w:t>
            </w:r>
          </w:p>
        </w:tc>
        <w:tc>
          <w:tcPr>
            <w:tcW w:w="0" w:type="dxa"/>
            <w:vAlign w:val="bottom"/>
          </w:tcPr>
          <w:p>
            <w:pPr>
              <w:spacing w:after="0"/>
              <w:rPr>
                <w:sz w:val="1"/>
                <w:szCs w:val="1"/>
                <w:color w:val="auto"/>
              </w:rPr>
            </w:pPr>
          </w:p>
        </w:tc>
      </w:tr>
      <w:tr>
        <w:trPr>
          <w:trHeight w:val="50"/>
        </w:trPr>
        <w:tc>
          <w:tcPr>
            <w:tcW w:w="5020" w:type="dxa"/>
            <w:vAlign w:val="bottom"/>
            <w:tcBorders>
              <w:bottom w:val="single" w:sz="8" w:color="F5F5F5"/>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F5F5F5"/>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F5F5F5"/>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F5F5F5"/>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5020" w:type="dxa"/>
            <w:vAlign w:val="bottom"/>
            <w:tcBorders>
              <w:bottom w:val="single" w:sz="8" w:color="F5F5F5"/>
            </w:tcBorders>
            <w:shd w:val="clear" w:color="auto" w:fill="F5F5F5"/>
          </w:tcPr>
          <w:p>
            <w:pPr>
              <w:ind w:left="60"/>
              <w:spacing w:after="0" w:line="195" w:lineRule="exact"/>
              <w:rPr>
                <w:sz w:val="20"/>
                <w:szCs w:val="20"/>
                <w:color w:val="auto"/>
              </w:rPr>
            </w:pPr>
            <w:r>
              <w:rPr>
                <w:rFonts w:ascii="Calibri" w:cs="Calibri" w:eastAsia="Calibri" w:hAnsi="Calibri"/>
                <w:sz w:val="18"/>
                <w:szCs w:val="18"/>
                <w:b w:val="1"/>
                <w:bCs w:val="1"/>
                <w:color w:val="auto"/>
              </w:rPr>
              <w:t>Balance as of March 31, 2026</w:t>
            </w:r>
          </w:p>
        </w:tc>
        <w:tc>
          <w:tcPr>
            <w:tcW w:w="108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11,305,814</w:t>
            </w:r>
          </w:p>
        </w:tc>
        <w:tc>
          <w:tcPr>
            <w:tcW w:w="40" w:type="dxa"/>
            <w:vAlign w:val="bottom"/>
            <w:tcBorders>
              <w:bottom w:val="single" w:sz="8" w:color="F5F5F5"/>
            </w:tcBorders>
            <w:shd w:val="clear" w:color="auto" w:fill="F5F5F5"/>
          </w:tcPr>
          <w:p>
            <w:pPr>
              <w:spacing w:after="0"/>
              <w:rPr>
                <w:sz w:val="19"/>
                <w:szCs w:val="19"/>
                <w:color w:val="auto"/>
              </w:rPr>
            </w:pPr>
          </w:p>
        </w:tc>
        <w:tc>
          <w:tcPr>
            <w:tcW w:w="108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260,632,896</w:t>
            </w:r>
          </w:p>
        </w:tc>
        <w:tc>
          <w:tcPr>
            <w:tcW w:w="40" w:type="dxa"/>
            <w:vAlign w:val="bottom"/>
            <w:tcBorders>
              <w:bottom w:val="single" w:sz="8" w:color="F5F5F5"/>
            </w:tcBorders>
            <w:shd w:val="clear" w:color="auto" w:fill="F5F5F5"/>
          </w:tcPr>
          <w:p>
            <w:pPr>
              <w:spacing w:after="0"/>
              <w:rPr>
                <w:sz w:val="19"/>
                <w:szCs w:val="19"/>
                <w:color w:val="auto"/>
              </w:rPr>
            </w:pPr>
          </w:p>
        </w:tc>
        <w:tc>
          <w:tcPr>
            <w:tcW w:w="118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99,565</w:t>
            </w:r>
          </w:p>
        </w:tc>
        <w:tc>
          <w:tcPr>
            <w:tcW w:w="60" w:type="dxa"/>
            <w:vAlign w:val="bottom"/>
            <w:tcBorders>
              <w:bottom w:val="single" w:sz="8" w:color="F5F5F5"/>
            </w:tcBorders>
            <w:shd w:val="clear" w:color="auto" w:fill="F5F5F5"/>
          </w:tcPr>
          <w:p>
            <w:pPr>
              <w:spacing w:after="0"/>
              <w:rPr>
                <w:sz w:val="19"/>
                <w:szCs w:val="19"/>
                <w:color w:val="auto"/>
              </w:rPr>
            </w:pPr>
          </w:p>
        </w:tc>
        <w:tc>
          <w:tcPr>
            <w:tcW w:w="134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272,038,275</w:t>
            </w:r>
          </w:p>
        </w:tc>
        <w:tc>
          <w:tcPr>
            <w:tcW w:w="0" w:type="dxa"/>
            <w:vAlign w:val="bottom"/>
          </w:tcPr>
          <w:p>
            <w:pPr>
              <w:spacing w:after="0"/>
              <w:rPr>
                <w:sz w:val="1"/>
                <w:szCs w:val="1"/>
                <w:color w:val="auto"/>
              </w:rPr>
            </w:pPr>
          </w:p>
        </w:tc>
      </w:tr>
      <w:tr>
        <w:trPr>
          <w:trHeight w:val="20"/>
        </w:trPr>
        <w:tc>
          <w:tcPr>
            <w:tcW w:w="5020" w:type="dxa"/>
            <w:vAlign w:val="bottom"/>
            <w:tcBorders>
              <w:top w:val="single" w:sz="8" w:color="F5F5F5"/>
            </w:tcBorders>
          </w:tcPr>
          <w:p>
            <w:pPr>
              <w:spacing w:after="0" w:line="20" w:lineRule="exact"/>
              <w:rPr>
                <w:sz w:val="1"/>
                <w:szCs w:val="1"/>
                <w:color w:val="auto"/>
              </w:rPr>
            </w:pPr>
          </w:p>
        </w:tc>
        <w:tc>
          <w:tcPr>
            <w:tcW w:w="1080" w:type="dxa"/>
            <w:vAlign w:val="bottom"/>
            <w:tcBorders>
              <w:top w:val="single" w:sz="8" w:color="F5F5F5"/>
              <w:bottom w:val="single" w:sz="8" w:color="auto"/>
            </w:tcBorders>
          </w:tcPr>
          <w:p>
            <w:pPr>
              <w:spacing w:after="0" w:line="20" w:lineRule="exact"/>
              <w:rPr>
                <w:sz w:val="1"/>
                <w:szCs w:val="1"/>
                <w:color w:val="auto"/>
              </w:rPr>
            </w:pPr>
          </w:p>
        </w:tc>
        <w:tc>
          <w:tcPr>
            <w:tcW w:w="40" w:type="dxa"/>
            <w:vAlign w:val="bottom"/>
            <w:tcBorders>
              <w:top w:val="single" w:sz="8" w:color="F5F5F5"/>
            </w:tcBorders>
          </w:tcPr>
          <w:p>
            <w:pPr>
              <w:spacing w:after="0" w:line="20" w:lineRule="exact"/>
              <w:rPr>
                <w:sz w:val="1"/>
                <w:szCs w:val="1"/>
                <w:color w:val="auto"/>
              </w:rPr>
            </w:pPr>
          </w:p>
        </w:tc>
        <w:tc>
          <w:tcPr>
            <w:tcW w:w="1080" w:type="dxa"/>
            <w:vAlign w:val="bottom"/>
            <w:tcBorders>
              <w:top w:val="single" w:sz="8" w:color="F5F5F5"/>
              <w:bottom w:val="single" w:sz="8" w:color="auto"/>
            </w:tcBorders>
          </w:tcPr>
          <w:p>
            <w:pPr>
              <w:spacing w:after="0" w:line="20" w:lineRule="exact"/>
              <w:rPr>
                <w:sz w:val="1"/>
                <w:szCs w:val="1"/>
                <w:color w:val="auto"/>
              </w:rPr>
            </w:pPr>
          </w:p>
        </w:tc>
        <w:tc>
          <w:tcPr>
            <w:tcW w:w="40" w:type="dxa"/>
            <w:vAlign w:val="bottom"/>
            <w:tcBorders>
              <w:top w:val="single" w:sz="8" w:color="F5F5F5"/>
            </w:tcBorders>
          </w:tcPr>
          <w:p>
            <w:pPr>
              <w:spacing w:after="0" w:line="20" w:lineRule="exact"/>
              <w:rPr>
                <w:sz w:val="1"/>
                <w:szCs w:val="1"/>
                <w:color w:val="auto"/>
              </w:rPr>
            </w:pPr>
          </w:p>
        </w:tc>
        <w:tc>
          <w:tcPr>
            <w:tcW w:w="1180" w:type="dxa"/>
            <w:vAlign w:val="bottom"/>
            <w:tcBorders>
              <w:top w:val="single" w:sz="8" w:color="F5F5F5"/>
              <w:bottom w:val="single" w:sz="8" w:color="auto"/>
            </w:tcBorders>
          </w:tcPr>
          <w:p>
            <w:pPr>
              <w:spacing w:after="0" w:line="20" w:lineRule="exact"/>
              <w:rPr>
                <w:sz w:val="1"/>
                <w:szCs w:val="1"/>
                <w:color w:val="auto"/>
              </w:rPr>
            </w:pPr>
          </w:p>
        </w:tc>
        <w:tc>
          <w:tcPr>
            <w:tcW w:w="60" w:type="dxa"/>
            <w:vAlign w:val="bottom"/>
            <w:tcBorders>
              <w:top w:val="single" w:sz="8" w:color="F5F5F5"/>
            </w:tcBorders>
          </w:tcPr>
          <w:p>
            <w:pPr>
              <w:spacing w:after="0" w:line="20" w:lineRule="exact"/>
              <w:rPr>
                <w:sz w:val="1"/>
                <w:szCs w:val="1"/>
                <w:color w:val="auto"/>
              </w:rPr>
            </w:pPr>
          </w:p>
        </w:tc>
        <w:tc>
          <w:tcPr>
            <w:tcW w:w="1340" w:type="dxa"/>
            <w:vAlign w:val="bottom"/>
            <w:tcBorders>
              <w:top w:val="single" w:sz="8" w:color="F5F5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40"/>
          </w:cols>
          <w:pgMar w:left="1080" w:top="1440" w:right="979" w:bottom="1440" w:gutter="0" w:footer="0" w:header="0"/>
        </w:sectPr>
      </w:pPr>
    </w:p>
    <w:bookmarkStart w:id="14" w:name="page15"/>
    <w:bookmarkEnd w:id="14"/>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460"/>
        <w:spacing w:after="0"/>
        <w:rPr>
          <w:sz w:val="20"/>
          <w:szCs w:val="20"/>
          <w:color w:val="auto"/>
        </w:rPr>
      </w:pPr>
      <w:r>
        <w:rPr>
          <w:rFonts w:ascii="Calibri" w:cs="Calibri" w:eastAsia="Calibri" w:hAnsi="Calibri"/>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0"/>
        <w:spacing w:after="0"/>
        <w:rPr>
          <w:sz w:val="20"/>
          <w:szCs w:val="20"/>
          <w:color w:val="auto"/>
        </w:rPr>
      </w:pPr>
      <w:r>
        <w:rPr>
          <w:rFonts w:ascii="Calibri" w:cs="Calibri" w:eastAsia="Calibri" w:hAnsi="Calibri"/>
          <w:sz w:val="18"/>
          <w:szCs w:val="18"/>
          <w:b w:val="1"/>
          <w:bCs w:val="1"/>
          <w:color w:val="auto"/>
        </w:rPr>
        <w:t>THE MACERICH COMPANY</w:t>
      </w:r>
    </w:p>
    <w:p>
      <w:pPr>
        <w:jc w:val="center"/>
        <w:ind w:right="-280"/>
        <w:spacing w:after="0" w:line="206" w:lineRule="auto"/>
        <w:rPr>
          <w:sz w:val="20"/>
          <w:szCs w:val="20"/>
          <w:color w:val="auto"/>
        </w:rPr>
      </w:pPr>
      <w:r>
        <w:rPr>
          <w:rFonts w:ascii="Calibri" w:cs="Calibri" w:eastAsia="Calibri" w:hAnsi="Calibri"/>
          <w:sz w:val="18"/>
          <w:szCs w:val="18"/>
          <w:b w:val="1"/>
          <w:bCs w:val="1"/>
          <w:color w:val="auto"/>
        </w:rPr>
        <w:t>CONSOLIDATED STATEMENTS OF OPERATIONS (UNAUDITED)</w:t>
      </w:r>
    </w:p>
    <w:tbl>
      <w:tblPr>
        <w:tblLayout w:type="fixed"/>
        <w:tblInd w:w="0" w:type="dxa"/>
        <w:tblCellMar>
          <w:top w:w="0" w:type="dxa"/>
          <w:left w:w="0" w:type="dxa"/>
          <w:bottom w:w="0" w:type="dxa"/>
          <w:right w:w="0" w:type="dxa"/>
        </w:tblCellMar>
      </w:tblPr>
      <w:tr>
        <w:trPr>
          <w:trHeight w:val="215"/>
        </w:trPr>
        <w:tc>
          <w:tcPr>
            <w:tcW w:w="4020" w:type="dxa"/>
            <w:vAlign w:val="bottom"/>
          </w:tcPr>
          <w:p>
            <w:pPr>
              <w:spacing w:after="0"/>
              <w:rPr>
                <w:sz w:val="18"/>
                <w:szCs w:val="18"/>
                <w:color w:val="auto"/>
              </w:rPr>
            </w:pPr>
          </w:p>
        </w:tc>
        <w:tc>
          <w:tcPr>
            <w:tcW w:w="3620" w:type="dxa"/>
            <w:vAlign w:val="bottom"/>
            <w:gridSpan w:val="2"/>
          </w:tcPr>
          <w:p>
            <w:pPr>
              <w:jc w:val="right"/>
              <w:ind w:right="1770"/>
              <w:spacing w:after="0" w:line="216" w:lineRule="exact"/>
              <w:rPr>
                <w:sz w:val="20"/>
                <w:szCs w:val="20"/>
                <w:color w:val="auto"/>
              </w:rPr>
            </w:pPr>
            <w:r>
              <w:rPr>
                <w:rFonts w:ascii="Calibri" w:cs="Calibri" w:eastAsia="Calibri" w:hAnsi="Calibri"/>
                <w:sz w:val="18"/>
                <w:szCs w:val="18"/>
                <w:b w:val="1"/>
                <w:bCs w:val="1"/>
                <w:color w:val="auto"/>
              </w:rPr>
              <w:t>(Dollars in thousands)</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6"/>
        </w:trPr>
        <w:tc>
          <w:tcPr>
            <w:tcW w:w="40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jc w:val="center"/>
              <w:ind w:right="53"/>
              <w:spacing w:after="0"/>
              <w:rPr>
                <w:sz w:val="20"/>
                <w:szCs w:val="20"/>
                <w:color w:val="auto"/>
              </w:rPr>
            </w:pPr>
            <w:r>
              <w:rPr>
                <w:rFonts w:ascii="Calibri" w:cs="Calibri" w:eastAsia="Calibri" w:hAnsi="Calibri"/>
                <w:sz w:val="14"/>
                <w:szCs w:val="14"/>
                <w:b w:val="1"/>
                <w:bCs w:val="1"/>
                <w:color w:val="auto"/>
              </w:rPr>
              <w:t>For the Three Months Ended</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jc w:val="center"/>
              <w:ind w:right="73"/>
              <w:spacing w:after="0"/>
              <w:rPr>
                <w:sz w:val="20"/>
                <w:szCs w:val="20"/>
                <w:color w:val="auto"/>
              </w:rPr>
            </w:pPr>
            <w:r>
              <w:rPr>
                <w:rFonts w:ascii="Calibri" w:cs="Calibri" w:eastAsia="Calibri" w:hAnsi="Calibri"/>
                <w:sz w:val="14"/>
                <w:szCs w:val="14"/>
                <w:b w:val="1"/>
                <w:bCs w:val="1"/>
                <w:color w:val="auto"/>
              </w:rPr>
              <w:t>March 31,</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jc w:val="center"/>
              <w:ind w:right="53"/>
              <w:spacing w:after="0"/>
              <w:rPr>
                <w:sz w:val="20"/>
                <w:szCs w:val="20"/>
                <w:color w:val="auto"/>
              </w:rPr>
            </w:pPr>
            <w:r>
              <w:rPr>
                <w:rFonts w:ascii="Calibri" w:cs="Calibri" w:eastAsia="Calibri" w:hAnsi="Calibri"/>
                <w:sz w:val="14"/>
                <w:szCs w:val="14"/>
                <w:b w:val="1"/>
                <w:bCs w:val="1"/>
                <w:color w:val="auto"/>
              </w:rPr>
              <w:t>2026</w:t>
            </w:r>
          </w:p>
        </w:tc>
        <w:tc>
          <w:tcPr>
            <w:tcW w:w="0" w:type="dxa"/>
            <w:vAlign w:val="bottom"/>
          </w:tcPr>
          <w:p>
            <w:pPr>
              <w:spacing w:after="0"/>
              <w:rPr>
                <w:sz w:val="1"/>
                <w:szCs w:val="1"/>
                <w:color w:val="auto"/>
              </w:rPr>
            </w:pPr>
          </w:p>
        </w:tc>
      </w:tr>
      <w:tr>
        <w:trPr>
          <w:trHeight w:val="33"/>
        </w:trPr>
        <w:tc>
          <w:tcPr>
            <w:tcW w:w="4020" w:type="dxa"/>
            <w:vAlign w:val="bottom"/>
            <w:vMerge w:val="restart"/>
          </w:tcPr>
          <w:p>
            <w:pPr>
              <w:ind w:left="180"/>
              <w:spacing w:after="0"/>
              <w:rPr>
                <w:sz w:val="20"/>
                <w:szCs w:val="20"/>
                <w:color w:val="auto"/>
              </w:rPr>
            </w:pPr>
            <w:r>
              <w:rPr>
                <w:rFonts w:ascii="Calibri" w:cs="Calibri" w:eastAsia="Calibri" w:hAnsi="Calibri"/>
                <w:sz w:val="18"/>
                <w:szCs w:val="18"/>
                <w:color w:val="auto"/>
              </w:rPr>
              <w:t>Revenues:</w:t>
            </w:r>
          </w:p>
        </w:tc>
        <w:tc>
          <w:tcPr>
            <w:tcW w:w="3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20" w:type="dxa"/>
            <w:vAlign w:val="bottom"/>
            <w:vMerge w:val="continue"/>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0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F5F5F5"/>
            </w:tcBorders>
            <w:shd w:val="clear" w:color="auto" w:fill="F5F5F5"/>
          </w:tcPr>
          <w:p>
            <w:pPr>
              <w:ind w:left="500"/>
              <w:spacing w:after="0" w:line="215" w:lineRule="exact"/>
              <w:rPr>
                <w:sz w:val="20"/>
                <w:szCs w:val="20"/>
                <w:color w:val="auto"/>
              </w:rPr>
            </w:pPr>
            <w:r>
              <w:rPr>
                <w:rFonts w:ascii="Calibri" w:cs="Calibri" w:eastAsia="Calibri" w:hAnsi="Calibri"/>
                <w:sz w:val="18"/>
                <w:szCs w:val="18"/>
                <w:color w:val="auto"/>
              </w:rPr>
              <w:t>Leasing revenue</w:t>
            </w:r>
          </w:p>
        </w:tc>
        <w:tc>
          <w:tcPr>
            <w:tcW w:w="3620" w:type="dxa"/>
            <w:vAlign w:val="bottom"/>
            <w:tcBorders>
              <w:bottom w:val="single" w:sz="8" w:color="F5F5F5"/>
            </w:tcBorders>
            <w:gridSpan w:val="2"/>
            <w:shd w:val="clear" w:color="auto" w:fill="F5F5F5"/>
          </w:tcPr>
          <w:p>
            <w:pPr>
              <w:jc w:val="right"/>
              <w:spacing w:after="0"/>
              <w:rPr>
                <w:sz w:val="20"/>
                <w:szCs w:val="20"/>
                <w:color w:val="auto"/>
              </w:rPr>
            </w:pPr>
            <w:r>
              <w:rPr>
                <w:rFonts w:ascii="Calibri" w:cs="Calibri" w:eastAsia="Calibri" w:hAnsi="Calibri"/>
                <w:sz w:val="18"/>
                <w:szCs w:val="18"/>
                <w:color w:val="auto"/>
              </w:rPr>
              <w:t>$</w:t>
            </w:r>
          </w:p>
        </w:tc>
        <w:tc>
          <w:tcPr>
            <w:tcW w:w="1840" w:type="dxa"/>
            <w:vAlign w:val="bottom"/>
            <w:tcBorders>
              <w:bottom w:val="single" w:sz="8" w:color="F5F5F5"/>
            </w:tcBorders>
            <w:shd w:val="clear" w:color="auto" w:fill="F5F5F5"/>
          </w:tcPr>
          <w:p>
            <w:pPr>
              <w:jc w:val="right"/>
              <w:ind w:right="53"/>
              <w:spacing w:after="0" w:line="215" w:lineRule="exact"/>
              <w:rPr>
                <w:sz w:val="20"/>
                <w:szCs w:val="20"/>
                <w:color w:val="auto"/>
              </w:rPr>
            </w:pPr>
            <w:r>
              <w:rPr>
                <w:rFonts w:ascii="Calibri" w:cs="Calibri" w:eastAsia="Calibri" w:hAnsi="Calibri"/>
                <w:sz w:val="18"/>
                <w:szCs w:val="18"/>
                <w:color w:val="auto"/>
              </w:rPr>
              <w:t>225,976</w:t>
            </w:r>
          </w:p>
        </w:tc>
        <w:tc>
          <w:tcPr>
            <w:tcW w:w="0" w:type="dxa"/>
            <w:vAlign w:val="bottom"/>
          </w:tcPr>
          <w:p>
            <w:pPr>
              <w:spacing w:after="0"/>
              <w:rPr>
                <w:sz w:val="1"/>
                <w:szCs w:val="1"/>
                <w:color w:val="auto"/>
              </w:rPr>
            </w:pPr>
          </w:p>
        </w:tc>
      </w:tr>
      <w:tr>
        <w:trPr>
          <w:trHeight w:val="215"/>
        </w:trPr>
        <w:tc>
          <w:tcPr>
            <w:tcW w:w="4020" w:type="dxa"/>
            <w:vAlign w:val="bottom"/>
          </w:tcPr>
          <w:p>
            <w:pPr>
              <w:ind w:left="500"/>
              <w:spacing w:after="0" w:line="215" w:lineRule="exact"/>
              <w:rPr>
                <w:sz w:val="20"/>
                <w:szCs w:val="20"/>
                <w:color w:val="auto"/>
              </w:rPr>
            </w:pPr>
            <w:r>
              <w:rPr>
                <w:rFonts w:ascii="Calibri" w:cs="Calibri" w:eastAsia="Calibri" w:hAnsi="Calibri"/>
                <w:sz w:val="18"/>
                <w:szCs w:val="18"/>
                <w:color w:val="auto"/>
              </w:rPr>
              <w:t>Other income</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right"/>
              <w:ind w:right="33"/>
              <w:spacing w:after="0" w:line="215" w:lineRule="exact"/>
              <w:rPr>
                <w:sz w:val="20"/>
                <w:szCs w:val="20"/>
                <w:color w:val="auto"/>
              </w:rPr>
            </w:pPr>
            <w:r>
              <w:rPr>
                <w:rFonts w:ascii="Calibri" w:cs="Calibri" w:eastAsia="Calibri" w:hAnsi="Calibri"/>
                <w:sz w:val="18"/>
                <w:szCs w:val="18"/>
                <w:color w:val="auto"/>
              </w:rPr>
              <w:t>9,019</w:t>
            </w:r>
          </w:p>
        </w:tc>
        <w:tc>
          <w:tcPr>
            <w:tcW w:w="0" w:type="dxa"/>
            <w:vAlign w:val="bottom"/>
          </w:tcPr>
          <w:p>
            <w:pPr>
              <w:spacing w:after="0"/>
              <w:rPr>
                <w:sz w:val="1"/>
                <w:szCs w:val="1"/>
                <w:color w:val="auto"/>
              </w:rPr>
            </w:pPr>
          </w:p>
        </w:tc>
      </w:tr>
      <w:tr>
        <w:trPr>
          <w:trHeight w:val="42"/>
        </w:trPr>
        <w:tc>
          <w:tcPr>
            <w:tcW w:w="40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F5F5F5"/>
            </w:tcBorders>
            <w:shd w:val="clear" w:color="auto" w:fill="F5F5F5"/>
          </w:tcPr>
          <w:p>
            <w:pPr>
              <w:ind w:left="500"/>
              <w:spacing w:after="0" w:line="215" w:lineRule="exact"/>
              <w:rPr>
                <w:sz w:val="20"/>
                <w:szCs w:val="20"/>
                <w:color w:val="auto"/>
              </w:rPr>
            </w:pPr>
            <w:r>
              <w:rPr>
                <w:rFonts w:ascii="Calibri" w:cs="Calibri" w:eastAsia="Calibri" w:hAnsi="Calibri"/>
                <w:sz w:val="18"/>
                <w:szCs w:val="18"/>
                <w:color w:val="auto"/>
              </w:rPr>
              <w:t>Management Companies' revenues</w:t>
            </w:r>
          </w:p>
        </w:tc>
        <w:tc>
          <w:tcPr>
            <w:tcW w:w="3480" w:type="dxa"/>
            <w:vAlign w:val="bottom"/>
            <w:tcBorders>
              <w:bottom w:val="single" w:sz="8" w:color="F5F5F5"/>
            </w:tcBorders>
            <w:shd w:val="clear" w:color="auto" w:fill="F5F5F5"/>
          </w:tcPr>
          <w:p>
            <w:pPr>
              <w:spacing w:after="0"/>
              <w:rPr>
                <w:sz w:val="22"/>
                <w:szCs w:val="22"/>
                <w:color w:val="auto"/>
              </w:rPr>
            </w:pPr>
          </w:p>
        </w:tc>
        <w:tc>
          <w:tcPr>
            <w:tcW w:w="140" w:type="dxa"/>
            <w:vAlign w:val="bottom"/>
            <w:tcBorders>
              <w:bottom w:val="single" w:sz="8" w:color="F5F5F5"/>
            </w:tcBorders>
            <w:shd w:val="clear" w:color="auto" w:fill="F5F5F5"/>
          </w:tcPr>
          <w:p>
            <w:pPr>
              <w:spacing w:after="0"/>
              <w:rPr>
                <w:sz w:val="22"/>
                <w:szCs w:val="22"/>
                <w:color w:val="auto"/>
              </w:rPr>
            </w:pPr>
          </w:p>
        </w:tc>
        <w:tc>
          <w:tcPr>
            <w:tcW w:w="1840" w:type="dxa"/>
            <w:vAlign w:val="bottom"/>
            <w:tcBorders>
              <w:bottom w:val="single" w:sz="8" w:color="F5F5F5"/>
            </w:tcBorders>
            <w:shd w:val="clear" w:color="auto" w:fill="F5F5F5"/>
          </w:tcPr>
          <w:p>
            <w:pPr>
              <w:jc w:val="right"/>
              <w:ind w:right="33"/>
              <w:spacing w:after="0" w:line="215" w:lineRule="exact"/>
              <w:rPr>
                <w:sz w:val="20"/>
                <w:szCs w:val="20"/>
                <w:color w:val="auto"/>
              </w:rPr>
            </w:pPr>
            <w:r>
              <w:rPr>
                <w:rFonts w:ascii="Calibri" w:cs="Calibri" w:eastAsia="Calibri" w:hAnsi="Calibri"/>
                <w:sz w:val="18"/>
                <w:szCs w:val="18"/>
                <w:color w:val="auto"/>
              </w:rPr>
              <w:t>6,543</w:t>
            </w:r>
          </w:p>
        </w:tc>
        <w:tc>
          <w:tcPr>
            <w:tcW w:w="0" w:type="dxa"/>
            <w:vAlign w:val="bottom"/>
          </w:tcPr>
          <w:p>
            <w:pPr>
              <w:spacing w:after="0"/>
              <w:rPr>
                <w:sz w:val="1"/>
                <w:szCs w:val="1"/>
                <w:color w:val="auto"/>
              </w:rPr>
            </w:pPr>
          </w:p>
        </w:tc>
      </w:tr>
      <w:tr>
        <w:trPr>
          <w:trHeight w:val="208"/>
        </w:trPr>
        <w:tc>
          <w:tcPr>
            <w:tcW w:w="4020" w:type="dxa"/>
            <w:vAlign w:val="bottom"/>
          </w:tcPr>
          <w:p>
            <w:pPr>
              <w:ind w:left="820"/>
              <w:spacing w:after="0" w:line="195" w:lineRule="exact"/>
              <w:rPr>
                <w:sz w:val="20"/>
                <w:szCs w:val="20"/>
                <w:color w:val="auto"/>
              </w:rPr>
            </w:pPr>
            <w:r>
              <w:rPr>
                <w:rFonts w:ascii="Calibri" w:cs="Calibri" w:eastAsia="Calibri" w:hAnsi="Calibri"/>
                <w:sz w:val="18"/>
                <w:szCs w:val="18"/>
                <w:color w:val="auto"/>
              </w:rPr>
              <w:t>Total revenues</w:t>
            </w:r>
          </w:p>
        </w:tc>
        <w:tc>
          <w:tcPr>
            <w:tcW w:w="3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53"/>
              <w:spacing w:after="0" w:line="208" w:lineRule="exact"/>
              <w:rPr>
                <w:sz w:val="20"/>
                <w:szCs w:val="20"/>
                <w:color w:val="auto"/>
              </w:rPr>
            </w:pPr>
            <w:r>
              <w:rPr>
                <w:rFonts w:ascii="Calibri" w:cs="Calibri" w:eastAsia="Calibri" w:hAnsi="Calibri"/>
                <w:sz w:val="18"/>
                <w:szCs w:val="18"/>
                <w:color w:val="auto"/>
              </w:rPr>
              <w:t>241,538</w:t>
            </w:r>
          </w:p>
        </w:tc>
        <w:tc>
          <w:tcPr>
            <w:tcW w:w="0" w:type="dxa"/>
            <w:vAlign w:val="bottom"/>
          </w:tcPr>
          <w:p>
            <w:pPr>
              <w:spacing w:after="0"/>
              <w:rPr>
                <w:sz w:val="1"/>
                <w:szCs w:val="1"/>
                <w:color w:val="auto"/>
              </w:rPr>
            </w:pPr>
          </w:p>
        </w:tc>
      </w:tr>
      <w:tr>
        <w:trPr>
          <w:trHeight w:val="28"/>
        </w:trPr>
        <w:tc>
          <w:tcPr>
            <w:tcW w:w="4020" w:type="dxa"/>
            <w:vAlign w:val="bottom"/>
            <w:tcBorders>
              <w:bottom w:val="single" w:sz="8" w:color="F5F5F5"/>
            </w:tcBorders>
          </w:tcPr>
          <w:p>
            <w:pPr>
              <w:spacing w:after="0"/>
              <w:rPr>
                <w:sz w:val="2"/>
                <w:szCs w:val="2"/>
                <w:color w:val="auto"/>
              </w:rPr>
            </w:pPr>
          </w:p>
        </w:tc>
        <w:tc>
          <w:tcPr>
            <w:tcW w:w="3480" w:type="dxa"/>
            <w:vAlign w:val="bottom"/>
            <w:tcBorders>
              <w:bottom w:val="single" w:sz="8" w:color="F5F5F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bottom w:val="single" w:sz="8" w:color="F5F5F5"/>
            </w:tcBorders>
            <w:shd w:val="clear" w:color="auto" w:fill="F5F5F5"/>
          </w:tcPr>
          <w:p>
            <w:pPr>
              <w:ind w:left="180"/>
              <w:spacing w:after="0" w:line="195" w:lineRule="exact"/>
              <w:rPr>
                <w:sz w:val="20"/>
                <w:szCs w:val="20"/>
                <w:color w:val="auto"/>
              </w:rPr>
            </w:pPr>
            <w:r>
              <w:rPr>
                <w:rFonts w:ascii="Calibri" w:cs="Calibri" w:eastAsia="Calibri" w:hAnsi="Calibri"/>
                <w:sz w:val="18"/>
                <w:szCs w:val="18"/>
                <w:color w:val="auto"/>
              </w:rPr>
              <w:t>Expenses:</w:t>
            </w:r>
          </w:p>
        </w:tc>
        <w:tc>
          <w:tcPr>
            <w:tcW w:w="3480" w:type="dxa"/>
            <w:vAlign w:val="bottom"/>
            <w:tcBorders>
              <w:bottom w:val="single" w:sz="8" w:color="F5F5F5"/>
            </w:tcBorders>
            <w:shd w:val="clear" w:color="auto" w:fill="F5F5F5"/>
          </w:tcPr>
          <w:p>
            <w:pPr>
              <w:spacing w:after="0"/>
              <w:rPr>
                <w:sz w:val="18"/>
                <w:szCs w:val="18"/>
                <w:color w:val="auto"/>
              </w:rPr>
            </w:pPr>
          </w:p>
        </w:tc>
        <w:tc>
          <w:tcPr>
            <w:tcW w:w="140" w:type="dxa"/>
            <w:vAlign w:val="bottom"/>
            <w:tcBorders>
              <w:bottom w:val="single" w:sz="8" w:color="F5F5F5"/>
            </w:tcBorders>
            <w:shd w:val="clear" w:color="auto" w:fill="F5F5F5"/>
          </w:tcPr>
          <w:p>
            <w:pPr>
              <w:spacing w:after="0"/>
              <w:rPr>
                <w:sz w:val="18"/>
                <w:szCs w:val="18"/>
                <w:color w:val="auto"/>
              </w:rPr>
            </w:pPr>
          </w:p>
        </w:tc>
        <w:tc>
          <w:tcPr>
            <w:tcW w:w="1840" w:type="dxa"/>
            <w:vAlign w:val="bottom"/>
            <w:tcBorders>
              <w:bottom w:val="single" w:sz="8" w:color="F5F5F5"/>
            </w:tcBorders>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tcPr>
          <w:p>
            <w:pPr>
              <w:ind w:left="580"/>
              <w:spacing w:after="0" w:line="215" w:lineRule="exact"/>
              <w:rPr>
                <w:sz w:val="20"/>
                <w:szCs w:val="20"/>
                <w:color w:val="auto"/>
              </w:rPr>
            </w:pPr>
            <w:r>
              <w:rPr>
                <w:rFonts w:ascii="Calibri" w:cs="Calibri" w:eastAsia="Calibri" w:hAnsi="Calibri"/>
                <w:sz w:val="18"/>
                <w:szCs w:val="18"/>
                <w:color w:val="auto"/>
              </w:rPr>
              <w:t>Shopping center and operatng expenses</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right"/>
              <w:ind w:right="53"/>
              <w:spacing w:after="0" w:line="215" w:lineRule="exact"/>
              <w:rPr>
                <w:sz w:val="20"/>
                <w:szCs w:val="20"/>
                <w:color w:val="auto"/>
              </w:rPr>
            </w:pPr>
            <w:r>
              <w:rPr>
                <w:rFonts w:ascii="Calibri" w:cs="Calibri" w:eastAsia="Calibri" w:hAnsi="Calibri"/>
                <w:sz w:val="18"/>
                <w:szCs w:val="18"/>
                <w:color w:val="auto"/>
              </w:rPr>
              <w:t>83,251</w:t>
            </w:r>
          </w:p>
        </w:tc>
        <w:tc>
          <w:tcPr>
            <w:tcW w:w="0" w:type="dxa"/>
            <w:vAlign w:val="bottom"/>
          </w:tcPr>
          <w:p>
            <w:pPr>
              <w:spacing w:after="0"/>
              <w:rPr>
                <w:sz w:val="1"/>
                <w:szCs w:val="1"/>
                <w:color w:val="auto"/>
              </w:rPr>
            </w:pPr>
          </w:p>
        </w:tc>
      </w:tr>
      <w:tr>
        <w:trPr>
          <w:trHeight w:val="42"/>
        </w:trPr>
        <w:tc>
          <w:tcPr>
            <w:tcW w:w="40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F5F5F5"/>
            </w:tcBorders>
            <w:shd w:val="clear" w:color="auto" w:fill="F5F5F5"/>
          </w:tcPr>
          <w:p>
            <w:pPr>
              <w:ind w:left="580"/>
              <w:spacing w:after="0" w:line="215" w:lineRule="exact"/>
              <w:rPr>
                <w:sz w:val="20"/>
                <w:szCs w:val="20"/>
                <w:color w:val="auto"/>
              </w:rPr>
            </w:pPr>
            <w:r>
              <w:rPr>
                <w:rFonts w:ascii="Calibri" w:cs="Calibri" w:eastAsia="Calibri" w:hAnsi="Calibri"/>
                <w:sz w:val="18"/>
                <w:szCs w:val="18"/>
                <w:color w:val="auto"/>
              </w:rPr>
              <w:t>Management Companies' operatng expenses</w:t>
            </w:r>
          </w:p>
        </w:tc>
        <w:tc>
          <w:tcPr>
            <w:tcW w:w="3480" w:type="dxa"/>
            <w:vAlign w:val="bottom"/>
            <w:tcBorders>
              <w:bottom w:val="single" w:sz="8" w:color="F5F5F5"/>
            </w:tcBorders>
            <w:shd w:val="clear" w:color="auto" w:fill="F5F5F5"/>
          </w:tcPr>
          <w:p>
            <w:pPr>
              <w:spacing w:after="0"/>
              <w:rPr>
                <w:sz w:val="20"/>
                <w:szCs w:val="20"/>
                <w:color w:val="auto"/>
              </w:rPr>
            </w:pPr>
          </w:p>
        </w:tc>
        <w:tc>
          <w:tcPr>
            <w:tcW w:w="140" w:type="dxa"/>
            <w:vAlign w:val="bottom"/>
            <w:tcBorders>
              <w:bottom w:val="single" w:sz="8" w:color="F5F5F5"/>
            </w:tcBorders>
            <w:shd w:val="clear" w:color="auto" w:fill="F5F5F5"/>
          </w:tcPr>
          <w:p>
            <w:pPr>
              <w:spacing w:after="0"/>
              <w:rPr>
                <w:sz w:val="20"/>
                <w:szCs w:val="20"/>
                <w:color w:val="auto"/>
              </w:rPr>
            </w:pPr>
          </w:p>
        </w:tc>
        <w:tc>
          <w:tcPr>
            <w:tcW w:w="1840" w:type="dxa"/>
            <w:vAlign w:val="bottom"/>
            <w:tcBorders>
              <w:bottom w:val="single" w:sz="8" w:color="F5F5F5"/>
            </w:tcBorders>
            <w:shd w:val="clear" w:color="auto" w:fill="F5F5F5"/>
          </w:tcPr>
          <w:p>
            <w:pPr>
              <w:jc w:val="right"/>
              <w:ind w:right="53"/>
              <w:spacing w:after="0" w:line="215" w:lineRule="exact"/>
              <w:rPr>
                <w:sz w:val="20"/>
                <w:szCs w:val="20"/>
                <w:color w:val="auto"/>
              </w:rPr>
            </w:pPr>
            <w:r>
              <w:rPr>
                <w:rFonts w:ascii="Calibri" w:cs="Calibri" w:eastAsia="Calibri" w:hAnsi="Calibri"/>
                <w:sz w:val="18"/>
                <w:szCs w:val="18"/>
                <w:color w:val="auto"/>
              </w:rPr>
              <w:t>22,385</w:t>
            </w:r>
          </w:p>
        </w:tc>
        <w:tc>
          <w:tcPr>
            <w:tcW w:w="0" w:type="dxa"/>
            <w:vAlign w:val="bottom"/>
          </w:tcPr>
          <w:p>
            <w:pPr>
              <w:spacing w:after="0"/>
              <w:rPr>
                <w:sz w:val="1"/>
                <w:szCs w:val="1"/>
                <w:color w:val="auto"/>
              </w:rPr>
            </w:pPr>
          </w:p>
        </w:tc>
      </w:tr>
      <w:tr>
        <w:trPr>
          <w:trHeight w:val="215"/>
        </w:trPr>
        <w:tc>
          <w:tcPr>
            <w:tcW w:w="4020" w:type="dxa"/>
            <w:vAlign w:val="bottom"/>
          </w:tcPr>
          <w:p>
            <w:pPr>
              <w:ind w:left="580"/>
              <w:spacing w:after="0" w:line="215" w:lineRule="exact"/>
              <w:rPr>
                <w:sz w:val="20"/>
                <w:szCs w:val="20"/>
                <w:color w:val="auto"/>
              </w:rPr>
            </w:pPr>
            <w:r>
              <w:rPr>
                <w:rFonts w:ascii="Calibri" w:cs="Calibri" w:eastAsia="Calibri" w:hAnsi="Calibri"/>
                <w:sz w:val="18"/>
                <w:szCs w:val="18"/>
                <w:color w:val="auto"/>
              </w:rPr>
              <w:t>Leasing expenses</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right"/>
              <w:ind w:right="53"/>
              <w:spacing w:after="0" w:line="215" w:lineRule="exact"/>
              <w:rPr>
                <w:sz w:val="20"/>
                <w:szCs w:val="20"/>
                <w:color w:val="auto"/>
              </w:rPr>
            </w:pPr>
            <w:r>
              <w:rPr>
                <w:rFonts w:ascii="Calibri" w:cs="Calibri" w:eastAsia="Calibri" w:hAnsi="Calibri"/>
                <w:sz w:val="18"/>
                <w:szCs w:val="18"/>
                <w:color w:val="auto"/>
              </w:rPr>
              <w:t>13,809</w:t>
            </w:r>
          </w:p>
        </w:tc>
        <w:tc>
          <w:tcPr>
            <w:tcW w:w="0" w:type="dxa"/>
            <w:vAlign w:val="bottom"/>
          </w:tcPr>
          <w:p>
            <w:pPr>
              <w:spacing w:after="0"/>
              <w:rPr>
                <w:sz w:val="1"/>
                <w:szCs w:val="1"/>
                <w:color w:val="auto"/>
              </w:rPr>
            </w:pPr>
          </w:p>
        </w:tc>
      </w:tr>
      <w:tr>
        <w:trPr>
          <w:trHeight w:val="42"/>
        </w:trPr>
        <w:tc>
          <w:tcPr>
            <w:tcW w:w="40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F5F5F5"/>
            </w:tcBorders>
            <w:shd w:val="clear" w:color="auto" w:fill="F5F5F5"/>
          </w:tcPr>
          <w:p>
            <w:pPr>
              <w:ind w:left="580"/>
              <w:spacing w:after="0" w:line="215" w:lineRule="exact"/>
              <w:rPr>
                <w:sz w:val="20"/>
                <w:szCs w:val="20"/>
                <w:color w:val="auto"/>
              </w:rPr>
            </w:pPr>
            <w:r>
              <w:rPr>
                <w:rFonts w:ascii="Calibri" w:cs="Calibri" w:eastAsia="Calibri" w:hAnsi="Calibri"/>
                <w:sz w:val="18"/>
                <w:szCs w:val="18"/>
                <w:color w:val="auto"/>
              </w:rPr>
              <w:t>REIT general and administratve expenses</w:t>
            </w:r>
          </w:p>
        </w:tc>
        <w:tc>
          <w:tcPr>
            <w:tcW w:w="3480" w:type="dxa"/>
            <w:vAlign w:val="bottom"/>
            <w:tcBorders>
              <w:bottom w:val="single" w:sz="8" w:color="F5F5F5"/>
            </w:tcBorders>
            <w:shd w:val="clear" w:color="auto" w:fill="F5F5F5"/>
          </w:tcPr>
          <w:p>
            <w:pPr>
              <w:spacing w:after="0"/>
              <w:rPr>
                <w:sz w:val="20"/>
                <w:szCs w:val="20"/>
                <w:color w:val="auto"/>
              </w:rPr>
            </w:pPr>
          </w:p>
        </w:tc>
        <w:tc>
          <w:tcPr>
            <w:tcW w:w="140" w:type="dxa"/>
            <w:vAlign w:val="bottom"/>
            <w:tcBorders>
              <w:bottom w:val="single" w:sz="8" w:color="F5F5F5"/>
            </w:tcBorders>
            <w:shd w:val="clear" w:color="auto" w:fill="F5F5F5"/>
          </w:tcPr>
          <w:p>
            <w:pPr>
              <w:spacing w:after="0"/>
              <w:rPr>
                <w:sz w:val="20"/>
                <w:szCs w:val="20"/>
                <w:color w:val="auto"/>
              </w:rPr>
            </w:pPr>
          </w:p>
        </w:tc>
        <w:tc>
          <w:tcPr>
            <w:tcW w:w="1840" w:type="dxa"/>
            <w:vAlign w:val="bottom"/>
            <w:tcBorders>
              <w:bottom w:val="single" w:sz="8" w:color="F5F5F5"/>
            </w:tcBorders>
            <w:shd w:val="clear" w:color="auto" w:fill="F5F5F5"/>
          </w:tcPr>
          <w:p>
            <w:pPr>
              <w:jc w:val="right"/>
              <w:ind w:right="33"/>
              <w:spacing w:after="0" w:line="215" w:lineRule="exact"/>
              <w:rPr>
                <w:sz w:val="20"/>
                <w:szCs w:val="20"/>
                <w:color w:val="auto"/>
              </w:rPr>
            </w:pPr>
            <w:r>
              <w:rPr>
                <w:rFonts w:ascii="Calibri" w:cs="Calibri" w:eastAsia="Calibri" w:hAnsi="Calibri"/>
                <w:sz w:val="18"/>
                <w:szCs w:val="18"/>
                <w:color w:val="auto"/>
              </w:rPr>
              <w:t>8,026</w:t>
            </w:r>
          </w:p>
        </w:tc>
        <w:tc>
          <w:tcPr>
            <w:tcW w:w="0" w:type="dxa"/>
            <w:vAlign w:val="bottom"/>
          </w:tcPr>
          <w:p>
            <w:pPr>
              <w:spacing w:after="0"/>
              <w:rPr>
                <w:sz w:val="1"/>
                <w:szCs w:val="1"/>
                <w:color w:val="auto"/>
              </w:rPr>
            </w:pPr>
          </w:p>
        </w:tc>
      </w:tr>
      <w:tr>
        <w:trPr>
          <w:trHeight w:val="215"/>
        </w:trPr>
        <w:tc>
          <w:tcPr>
            <w:tcW w:w="4020" w:type="dxa"/>
            <w:vAlign w:val="bottom"/>
          </w:tcPr>
          <w:p>
            <w:pPr>
              <w:ind w:left="580"/>
              <w:spacing w:after="0" w:line="215" w:lineRule="exact"/>
              <w:rPr>
                <w:sz w:val="20"/>
                <w:szCs w:val="20"/>
                <w:color w:val="auto"/>
              </w:rPr>
            </w:pPr>
            <w:r>
              <w:rPr>
                <w:rFonts w:ascii="Calibri" w:cs="Calibri" w:eastAsia="Calibri" w:hAnsi="Calibri"/>
                <w:sz w:val="18"/>
                <w:szCs w:val="18"/>
                <w:color w:val="auto"/>
              </w:rPr>
              <w:t>Depreciaton and amortzaton</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right"/>
              <w:ind w:right="53"/>
              <w:spacing w:after="0" w:line="215" w:lineRule="exact"/>
              <w:rPr>
                <w:sz w:val="20"/>
                <w:szCs w:val="20"/>
                <w:color w:val="auto"/>
              </w:rPr>
            </w:pPr>
            <w:r>
              <w:rPr>
                <w:rFonts w:ascii="Calibri" w:cs="Calibri" w:eastAsia="Calibri" w:hAnsi="Calibri"/>
                <w:sz w:val="18"/>
                <w:szCs w:val="18"/>
                <w:color w:val="auto"/>
              </w:rPr>
              <w:t>83,076</w:t>
            </w:r>
          </w:p>
        </w:tc>
        <w:tc>
          <w:tcPr>
            <w:tcW w:w="0" w:type="dxa"/>
            <w:vAlign w:val="bottom"/>
          </w:tcPr>
          <w:p>
            <w:pPr>
              <w:spacing w:after="0"/>
              <w:rPr>
                <w:sz w:val="1"/>
                <w:szCs w:val="1"/>
                <w:color w:val="auto"/>
              </w:rPr>
            </w:pPr>
          </w:p>
        </w:tc>
      </w:tr>
      <w:tr>
        <w:trPr>
          <w:trHeight w:val="42"/>
        </w:trPr>
        <w:tc>
          <w:tcPr>
            <w:tcW w:w="40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F5F5F5"/>
            </w:tcBorders>
            <w:shd w:val="clear" w:color="auto" w:fill="F5F5F5"/>
          </w:tcPr>
          <w:p>
            <w:pPr>
              <w:ind w:left="580"/>
              <w:spacing w:after="0" w:line="215" w:lineRule="exact"/>
              <w:rPr>
                <w:sz w:val="20"/>
                <w:szCs w:val="20"/>
                <w:color w:val="auto"/>
              </w:rPr>
            </w:pPr>
            <w:r>
              <w:rPr>
                <w:rFonts w:ascii="Calibri" w:cs="Calibri" w:eastAsia="Calibri" w:hAnsi="Calibri"/>
                <w:sz w:val="18"/>
                <w:szCs w:val="18"/>
                <w:color w:val="auto"/>
              </w:rPr>
              <w:t>Interest expense</w:t>
            </w:r>
          </w:p>
        </w:tc>
        <w:tc>
          <w:tcPr>
            <w:tcW w:w="3480" w:type="dxa"/>
            <w:vAlign w:val="bottom"/>
            <w:tcBorders>
              <w:bottom w:val="single" w:sz="8" w:color="F5F5F5"/>
            </w:tcBorders>
            <w:shd w:val="clear" w:color="auto" w:fill="F5F5F5"/>
          </w:tcPr>
          <w:p>
            <w:pPr>
              <w:spacing w:after="0"/>
              <w:rPr>
                <w:sz w:val="22"/>
                <w:szCs w:val="22"/>
                <w:color w:val="auto"/>
              </w:rPr>
            </w:pPr>
          </w:p>
        </w:tc>
        <w:tc>
          <w:tcPr>
            <w:tcW w:w="140" w:type="dxa"/>
            <w:vAlign w:val="bottom"/>
            <w:tcBorders>
              <w:bottom w:val="single" w:sz="8" w:color="F5F5F5"/>
            </w:tcBorders>
            <w:shd w:val="clear" w:color="auto" w:fill="F5F5F5"/>
          </w:tcPr>
          <w:p>
            <w:pPr>
              <w:spacing w:after="0"/>
              <w:rPr>
                <w:sz w:val="22"/>
                <w:szCs w:val="22"/>
                <w:color w:val="auto"/>
              </w:rPr>
            </w:pPr>
          </w:p>
        </w:tc>
        <w:tc>
          <w:tcPr>
            <w:tcW w:w="1840" w:type="dxa"/>
            <w:vAlign w:val="bottom"/>
            <w:tcBorders>
              <w:bottom w:val="single" w:sz="8" w:color="F5F5F5"/>
            </w:tcBorders>
            <w:shd w:val="clear" w:color="auto" w:fill="F5F5F5"/>
          </w:tcPr>
          <w:p>
            <w:pPr>
              <w:jc w:val="right"/>
              <w:ind w:right="53"/>
              <w:spacing w:after="0" w:line="215" w:lineRule="exact"/>
              <w:rPr>
                <w:sz w:val="20"/>
                <w:szCs w:val="20"/>
                <w:color w:val="auto"/>
              </w:rPr>
            </w:pPr>
            <w:r>
              <w:rPr>
                <w:rFonts w:ascii="Calibri" w:cs="Calibri" w:eastAsia="Calibri" w:hAnsi="Calibri"/>
                <w:sz w:val="18"/>
                <w:szCs w:val="18"/>
                <w:color w:val="auto"/>
              </w:rPr>
              <w:t>67,500</w:t>
            </w:r>
          </w:p>
        </w:tc>
        <w:tc>
          <w:tcPr>
            <w:tcW w:w="0" w:type="dxa"/>
            <w:vAlign w:val="bottom"/>
          </w:tcPr>
          <w:p>
            <w:pPr>
              <w:spacing w:after="0"/>
              <w:rPr>
                <w:sz w:val="1"/>
                <w:szCs w:val="1"/>
                <w:color w:val="auto"/>
              </w:rPr>
            </w:pPr>
          </w:p>
        </w:tc>
      </w:tr>
      <w:tr>
        <w:trPr>
          <w:trHeight w:val="208"/>
        </w:trPr>
        <w:tc>
          <w:tcPr>
            <w:tcW w:w="4020" w:type="dxa"/>
            <w:vAlign w:val="bottom"/>
          </w:tcPr>
          <w:p>
            <w:pPr>
              <w:ind w:left="820"/>
              <w:spacing w:after="0" w:line="195" w:lineRule="exact"/>
              <w:rPr>
                <w:sz w:val="20"/>
                <w:szCs w:val="20"/>
                <w:color w:val="auto"/>
              </w:rPr>
            </w:pPr>
            <w:r>
              <w:rPr>
                <w:rFonts w:ascii="Calibri" w:cs="Calibri" w:eastAsia="Calibri" w:hAnsi="Calibri"/>
                <w:sz w:val="18"/>
                <w:szCs w:val="18"/>
                <w:color w:val="auto"/>
              </w:rPr>
              <w:t>Total expenses</w:t>
            </w:r>
          </w:p>
        </w:tc>
        <w:tc>
          <w:tcPr>
            <w:tcW w:w="3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53"/>
              <w:spacing w:after="0" w:line="208" w:lineRule="exact"/>
              <w:rPr>
                <w:sz w:val="20"/>
                <w:szCs w:val="20"/>
                <w:color w:val="auto"/>
              </w:rPr>
            </w:pPr>
            <w:r>
              <w:rPr>
                <w:rFonts w:ascii="Calibri" w:cs="Calibri" w:eastAsia="Calibri" w:hAnsi="Calibri"/>
                <w:sz w:val="18"/>
                <w:szCs w:val="18"/>
                <w:color w:val="auto"/>
              </w:rPr>
              <w:t>278,047</w:t>
            </w:r>
          </w:p>
        </w:tc>
        <w:tc>
          <w:tcPr>
            <w:tcW w:w="0" w:type="dxa"/>
            <w:vAlign w:val="bottom"/>
          </w:tcPr>
          <w:p>
            <w:pPr>
              <w:spacing w:after="0"/>
              <w:rPr>
                <w:sz w:val="1"/>
                <w:szCs w:val="1"/>
                <w:color w:val="auto"/>
              </w:rPr>
            </w:pPr>
          </w:p>
        </w:tc>
      </w:tr>
      <w:tr>
        <w:trPr>
          <w:trHeight w:val="28"/>
        </w:trPr>
        <w:tc>
          <w:tcPr>
            <w:tcW w:w="4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F5F5F5"/>
            </w:tcBorders>
            <w:shd w:val="clear" w:color="auto" w:fill="F5F5F5"/>
          </w:tcPr>
          <w:p>
            <w:pPr>
              <w:ind w:left="180"/>
              <w:spacing w:after="0" w:line="215" w:lineRule="exact"/>
              <w:rPr>
                <w:sz w:val="20"/>
                <w:szCs w:val="20"/>
                <w:color w:val="auto"/>
              </w:rPr>
            </w:pPr>
            <w:r>
              <w:rPr>
                <w:rFonts w:ascii="Calibri" w:cs="Calibri" w:eastAsia="Calibri" w:hAnsi="Calibri"/>
                <w:sz w:val="18"/>
                <w:szCs w:val="18"/>
                <w:color w:val="auto"/>
              </w:rPr>
              <w:t>Equity in loss of unconsolidated joint ventures</w:t>
            </w:r>
          </w:p>
        </w:tc>
        <w:tc>
          <w:tcPr>
            <w:tcW w:w="3480" w:type="dxa"/>
            <w:vAlign w:val="bottom"/>
            <w:tcBorders>
              <w:bottom w:val="single" w:sz="8" w:color="F5F5F5"/>
            </w:tcBorders>
            <w:shd w:val="clear" w:color="auto" w:fill="F5F5F5"/>
          </w:tcPr>
          <w:p>
            <w:pPr>
              <w:spacing w:after="0"/>
              <w:rPr>
                <w:sz w:val="20"/>
                <w:szCs w:val="20"/>
                <w:color w:val="auto"/>
              </w:rPr>
            </w:pPr>
          </w:p>
        </w:tc>
        <w:tc>
          <w:tcPr>
            <w:tcW w:w="140" w:type="dxa"/>
            <w:vAlign w:val="bottom"/>
            <w:tcBorders>
              <w:bottom w:val="single" w:sz="8" w:color="F5F5F5"/>
            </w:tcBorders>
            <w:shd w:val="clear" w:color="auto" w:fill="F5F5F5"/>
          </w:tcPr>
          <w:p>
            <w:pPr>
              <w:spacing w:after="0"/>
              <w:rPr>
                <w:sz w:val="20"/>
                <w:szCs w:val="20"/>
                <w:color w:val="auto"/>
              </w:rPr>
            </w:pPr>
          </w:p>
        </w:tc>
        <w:tc>
          <w:tcPr>
            <w:tcW w:w="1840" w:type="dxa"/>
            <w:vAlign w:val="bottom"/>
            <w:tcBorders>
              <w:bottom w:val="single" w:sz="8" w:color="F5F5F5"/>
            </w:tcBorders>
            <w:shd w:val="clear" w:color="auto" w:fill="F5F5F5"/>
          </w:tcPr>
          <w:p>
            <w:pPr>
              <w:jc w:val="right"/>
              <w:ind w:right="53"/>
              <w:spacing w:after="0" w:line="215" w:lineRule="exact"/>
              <w:rPr>
                <w:sz w:val="20"/>
                <w:szCs w:val="20"/>
                <w:color w:val="auto"/>
              </w:rPr>
            </w:pPr>
            <w:r>
              <w:rPr>
                <w:rFonts w:ascii="Calibri" w:cs="Calibri" w:eastAsia="Calibri" w:hAnsi="Calibri"/>
                <w:sz w:val="18"/>
                <w:szCs w:val="18"/>
                <w:color w:val="auto"/>
              </w:rPr>
              <w:t>(9,866)</w:t>
            </w:r>
          </w:p>
        </w:tc>
        <w:tc>
          <w:tcPr>
            <w:tcW w:w="0" w:type="dxa"/>
            <w:vAlign w:val="bottom"/>
          </w:tcPr>
          <w:p>
            <w:pPr>
              <w:spacing w:after="0"/>
              <w:rPr>
                <w:sz w:val="1"/>
                <w:szCs w:val="1"/>
                <w:color w:val="auto"/>
              </w:rPr>
            </w:pPr>
          </w:p>
        </w:tc>
      </w:tr>
      <w:tr>
        <w:trPr>
          <w:trHeight w:val="215"/>
        </w:trPr>
        <w:tc>
          <w:tcPr>
            <w:tcW w:w="4020" w:type="dxa"/>
            <w:vAlign w:val="bottom"/>
          </w:tcPr>
          <w:p>
            <w:pPr>
              <w:ind w:left="180"/>
              <w:spacing w:after="0" w:line="215" w:lineRule="exact"/>
              <w:rPr>
                <w:sz w:val="20"/>
                <w:szCs w:val="20"/>
                <w:color w:val="auto"/>
              </w:rPr>
            </w:pPr>
            <w:r>
              <w:rPr>
                <w:rFonts w:ascii="Calibri" w:cs="Calibri" w:eastAsia="Calibri" w:hAnsi="Calibri"/>
                <w:sz w:val="18"/>
                <w:szCs w:val="18"/>
                <w:color w:val="auto"/>
              </w:rPr>
              <w:t>Income tax beneft</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right"/>
              <w:ind w:right="33"/>
              <w:spacing w:after="0" w:line="215" w:lineRule="exact"/>
              <w:rPr>
                <w:sz w:val="20"/>
                <w:szCs w:val="20"/>
                <w:color w:val="auto"/>
              </w:rPr>
            </w:pPr>
            <w:r>
              <w:rPr>
                <w:rFonts w:ascii="Calibri" w:cs="Calibri" w:eastAsia="Calibri" w:hAnsi="Calibri"/>
                <w:sz w:val="18"/>
                <w:szCs w:val="18"/>
                <w:color w:val="auto"/>
              </w:rPr>
              <w:t>2,641</w:t>
            </w:r>
          </w:p>
        </w:tc>
        <w:tc>
          <w:tcPr>
            <w:tcW w:w="0" w:type="dxa"/>
            <w:vAlign w:val="bottom"/>
          </w:tcPr>
          <w:p>
            <w:pPr>
              <w:spacing w:after="0"/>
              <w:rPr>
                <w:sz w:val="1"/>
                <w:szCs w:val="1"/>
                <w:color w:val="auto"/>
              </w:rPr>
            </w:pPr>
          </w:p>
        </w:tc>
      </w:tr>
      <w:tr>
        <w:trPr>
          <w:trHeight w:val="42"/>
        </w:trPr>
        <w:tc>
          <w:tcPr>
            <w:tcW w:w="40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F5F5F5"/>
            </w:tcBorders>
            <w:shd w:val="clear" w:color="auto" w:fill="F5F5F5"/>
          </w:tcPr>
          <w:p>
            <w:pPr>
              <w:ind w:left="180"/>
              <w:spacing w:after="0" w:line="215" w:lineRule="exact"/>
              <w:rPr>
                <w:sz w:val="20"/>
                <w:szCs w:val="20"/>
                <w:color w:val="auto"/>
              </w:rPr>
            </w:pPr>
            <w:r>
              <w:rPr>
                <w:rFonts w:ascii="Calibri" w:cs="Calibri" w:eastAsia="Calibri" w:hAnsi="Calibri"/>
                <w:sz w:val="18"/>
                <w:szCs w:val="18"/>
                <w:color w:val="auto"/>
              </w:rPr>
              <w:t>Gain on sale or write down of assets, net</w:t>
            </w:r>
          </w:p>
        </w:tc>
        <w:tc>
          <w:tcPr>
            <w:tcW w:w="3480" w:type="dxa"/>
            <w:vAlign w:val="bottom"/>
            <w:tcBorders>
              <w:bottom w:val="single" w:sz="8" w:color="F5F5F5"/>
            </w:tcBorders>
            <w:shd w:val="clear" w:color="auto" w:fill="F5F5F5"/>
          </w:tcPr>
          <w:p>
            <w:pPr>
              <w:spacing w:after="0"/>
              <w:rPr>
                <w:sz w:val="22"/>
                <w:szCs w:val="22"/>
                <w:color w:val="auto"/>
              </w:rPr>
            </w:pPr>
          </w:p>
        </w:tc>
        <w:tc>
          <w:tcPr>
            <w:tcW w:w="140" w:type="dxa"/>
            <w:vAlign w:val="bottom"/>
            <w:tcBorders>
              <w:bottom w:val="single" w:sz="8" w:color="F5F5F5"/>
            </w:tcBorders>
            <w:shd w:val="clear" w:color="auto" w:fill="F5F5F5"/>
          </w:tcPr>
          <w:p>
            <w:pPr>
              <w:spacing w:after="0"/>
              <w:rPr>
                <w:sz w:val="22"/>
                <w:szCs w:val="22"/>
                <w:color w:val="auto"/>
              </w:rPr>
            </w:pPr>
          </w:p>
        </w:tc>
        <w:tc>
          <w:tcPr>
            <w:tcW w:w="1840" w:type="dxa"/>
            <w:vAlign w:val="bottom"/>
            <w:tcBorders>
              <w:bottom w:val="single" w:sz="8" w:color="F5F5F5"/>
            </w:tcBorders>
            <w:shd w:val="clear" w:color="auto" w:fill="F5F5F5"/>
          </w:tcPr>
          <w:p>
            <w:pPr>
              <w:jc w:val="right"/>
              <w:ind w:right="33"/>
              <w:spacing w:after="0" w:line="215" w:lineRule="exact"/>
              <w:rPr>
                <w:sz w:val="20"/>
                <w:szCs w:val="20"/>
                <w:color w:val="auto"/>
              </w:rPr>
            </w:pPr>
            <w:r>
              <w:rPr>
                <w:rFonts w:ascii="Calibri" w:cs="Calibri" w:eastAsia="Calibri" w:hAnsi="Calibri"/>
                <w:sz w:val="18"/>
                <w:szCs w:val="18"/>
                <w:color w:val="auto"/>
              </w:rPr>
              <w:t>6,840</w:t>
            </w:r>
          </w:p>
        </w:tc>
        <w:tc>
          <w:tcPr>
            <w:tcW w:w="0" w:type="dxa"/>
            <w:vAlign w:val="bottom"/>
          </w:tcPr>
          <w:p>
            <w:pPr>
              <w:spacing w:after="0"/>
              <w:rPr>
                <w:sz w:val="1"/>
                <w:szCs w:val="1"/>
                <w:color w:val="auto"/>
              </w:rPr>
            </w:pPr>
          </w:p>
        </w:tc>
      </w:tr>
      <w:tr>
        <w:trPr>
          <w:trHeight w:val="208"/>
        </w:trPr>
        <w:tc>
          <w:tcPr>
            <w:tcW w:w="4020" w:type="dxa"/>
            <w:vAlign w:val="bottom"/>
          </w:tcPr>
          <w:p>
            <w:pPr>
              <w:ind w:left="180"/>
              <w:spacing w:after="0" w:line="195" w:lineRule="exact"/>
              <w:rPr>
                <w:sz w:val="20"/>
                <w:szCs w:val="20"/>
                <w:color w:val="auto"/>
              </w:rPr>
            </w:pPr>
            <w:r>
              <w:rPr>
                <w:rFonts w:ascii="Calibri" w:cs="Calibri" w:eastAsia="Calibri" w:hAnsi="Calibri"/>
                <w:sz w:val="18"/>
                <w:szCs w:val="18"/>
                <w:color w:val="auto"/>
              </w:rPr>
              <w:t>Net loss</w:t>
            </w:r>
          </w:p>
        </w:tc>
        <w:tc>
          <w:tcPr>
            <w:tcW w:w="3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53"/>
              <w:spacing w:after="0" w:line="208" w:lineRule="exact"/>
              <w:rPr>
                <w:sz w:val="20"/>
                <w:szCs w:val="20"/>
                <w:color w:val="auto"/>
              </w:rPr>
            </w:pPr>
            <w:r>
              <w:rPr>
                <w:rFonts w:ascii="Calibri" w:cs="Calibri" w:eastAsia="Calibri" w:hAnsi="Calibri"/>
                <w:sz w:val="18"/>
                <w:szCs w:val="18"/>
                <w:color w:val="auto"/>
              </w:rPr>
              <w:t>(36,894)</w:t>
            </w:r>
          </w:p>
        </w:tc>
        <w:tc>
          <w:tcPr>
            <w:tcW w:w="0" w:type="dxa"/>
            <w:vAlign w:val="bottom"/>
          </w:tcPr>
          <w:p>
            <w:pPr>
              <w:spacing w:after="0"/>
              <w:rPr>
                <w:sz w:val="1"/>
                <w:szCs w:val="1"/>
                <w:color w:val="auto"/>
              </w:rPr>
            </w:pPr>
          </w:p>
        </w:tc>
      </w:tr>
      <w:tr>
        <w:trPr>
          <w:trHeight w:val="28"/>
        </w:trPr>
        <w:tc>
          <w:tcPr>
            <w:tcW w:w="4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020" w:type="dxa"/>
            <w:vAlign w:val="bottom"/>
            <w:tcBorders>
              <w:bottom w:val="single" w:sz="8" w:color="F5F5F5"/>
            </w:tcBorders>
            <w:shd w:val="clear" w:color="auto" w:fill="F5F5F5"/>
          </w:tcPr>
          <w:p>
            <w:pPr>
              <w:ind w:left="180"/>
              <w:spacing w:after="0" w:line="215" w:lineRule="exact"/>
              <w:rPr>
                <w:sz w:val="20"/>
                <w:szCs w:val="20"/>
                <w:color w:val="auto"/>
              </w:rPr>
            </w:pPr>
            <w:r>
              <w:rPr>
                <w:rFonts w:ascii="Calibri" w:cs="Calibri" w:eastAsia="Calibri" w:hAnsi="Calibri"/>
                <w:sz w:val="18"/>
                <w:szCs w:val="18"/>
                <w:color w:val="auto"/>
              </w:rPr>
              <w:t>Less net loss atributable to noncontrolling interests</w:t>
            </w:r>
          </w:p>
        </w:tc>
        <w:tc>
          <w:tcPr>
            <w:tcW w:w="3480" w:type="dxa"/>
            <w:vAlign w:val="bottom"/>
            <w:tcBorders>
              <w:bottom w:val="single" w:sz="8" w:color="F5F5F5"/>
            </w:tcBorders>
            <w:shd w:val="clear" w:color="auto" w:fill="F5F5F5"/>
          </w:tcPr>
          <w:p>
            <w:pPr>
              <w:spacing w:after="0"/>
              <w:rPr>
                <w:sz w:val="22"/>
                <w:szCs w:val="22"/>
                <w:color w:val="auto"/>
              </w:rPr>
            </w:pPr>
          </w:p>
        </w:tc>
        <w:tc>
          <w:tcPr>
            <w:tcW w:w="140" w:type="dxa"/>
            <w:vAlign w:val="bottom"/>
            <w:tcBorders>
              <w:bottom w:val="single" w:sz="8" w:color="F5F5F5"/>
            </w:tcBorders>
            <w:shd w:val="clear" w:color="auto" w:fill="F5F5F5"/>
          </w:tcPr>
          <w:p>
            <w:pPr>
              <w:spacing w:after="0"/>
              <w:rPr>
                <w:sz w:val="22"/>
                <w:szCs w:val="22"/>
                <w:color w:val="auto"/>
              </w:rPr>
            </w:pPr>
          </w:p>
        </w:tc>
        <w:tc>
          <w:tcPr>
            <w:tcW w:w="1840" w:type="dxa"/>
            <w:vAlign w:val="bottom"/>
            <w:tcBorders>
              <w:bottom w:val="single" w:sz="8" w:color="F5F5F5"/>
            </w:tcBorders>
            <w:shd w:val="clear" w:color="auto" w:fill="F5F5F5"/>
          </w:tcPr>
          <w:p>
            <w:pPr>
              <w:jc w:val="right"/>
              <w:ind w:right="53"/>
              <w:spacing w:after="0" w:line="215" w:lineRule="exact"/>
              <w:rPr>
                <w:sz w:val="20"/>
                <w:szCs w:val="20"/>
                <w:color w:val="auto"/>
              </w:rPr>
            </w:pPr>
            <w:r>
              <w:rPr>
                <w:rFonts w:ascii="Calibri" w:cs="Calibri" w:eastAsia="Calibri" w:hAnsi="Calibri"/>
                <w:sz w:val="18"/>
                <w:szCs w:val="18"/>
                <w:color w:val="auto"/>
              </w:rPr>
              <w:t>(544)</w:t>
            </w:r>
          </w:p>
        </w:tc>
        <w:tc>
          <w:tcPr>
            <w:tcW w:w="0" w:type="dxa"/>
            <w:vAlign w:val="bottom"/>
          </w:tcPr>
          <w:p>
            <w:pPr>
              <w:spacing w:after="0"/>
              <w:rPr>
                <w:sz w:val="1"/>
                <w:szCs w:val="1"/>
                <w:color w:val="auto"/>
              </w:rPr>
            </w:pPr>
          </w:p>
        </w:tc>
      </w:tr>
      <w:tr>
        <w:trPr>
          <w:trHeight w:val="210"/>
        </w:trPr>
        <w:tc>
          <w:tcPr>
            <w:tcW w:w="4020" w:type="dxa"/>
            <w:vAlign w:val="bottom"/>
          </w:tcPr>
          <w:p>
            <w:pPr>
              <w:ind w:left="180"/>
              <w:spacing w:after="0" w:line="195" w:lineRule="exact"/>
              <w:rPr>
                <w:sz w:val="20"/>
                <w:szCs w:val="20"/>
                <w:color w:val="auto"/>
              </w:rPr>
            </w:pPr>
            <w:r>
              <w:rPr>
                <w:rFonts w:ascii="Calibri" w:cs="Calibri" w:eastAsia="Calibri" w:hAnsi="Calibri"/>
                <w:sz w:val="18"/>
                <w:szCs w:val="18"/>
                <w:b w:val="1"/>
                <w:bCs w:val="1"/>
                <w:color w:val="auto"/>
              </w:rPr>
              <w:t>Net loss atributable to the Company</w:t>
            </w:r>
          </w:p>
        </w:tc>
        <w:tc>
          <w:tcPr>
            <w:tcW w:w="34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1840" w:type="dxa"/>
            <w:vAlign w:val="bottom"/>
            <w:tcBorders>
              <w:top w:val="single" w:sz="8" w:color="auto"/>
              <w:bottom w:val="single" w:sz="8" w:color="auto"/>
            </w:tcBorders>
          </w:tcPr>
          <w:p>
            <w:pPr>
              <w:jc w:val="right"/>
              <w:ind w:right="53"/>
              <w:spacing w:after="0" w:line="209" w:lineRule="exact"/>
              <w:rPr>
                <w:sz w:val="20"/>
                <w:szCs w:val="20"/>
                <w:color w:val="auto"/>
              </w:rPr>
            </w:pPr>
            <w:r>
              <w:rPr>
                <w:rFonts w:ascii="Calibri" w:cs="Calibri" w:eastAsia="Calibri" w:hAnsi="Calibri"/>
                <w:sz w:val="18"/>
                <w:szCs w:val="18"/>
                <w:b w:val="1"/>
                <w:bCs w:val="1"/>
                <w:color w:val="auto"/>
              </w:rPr>
              <w:t>(36,350)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539"/>
          </w:cols>
          <w:pgMar w:left="920" w:top="1440" w:right="1440" w:bottom="1440" w:gutter="0" w:footer="0" w:header="0"/>
        </w:sectPr>
      </w:pPr>
    </w:p>
    <w:bookmarkStart w:id="15" w:name="page16"/>
    <w:bookmarkEnd w:id="15"/>
    <w:p>
      <w:pPr>
        <w:jc w:val="center"/>
        <w:ind w:right="-359"/>
        <w:spacing w:after="0"/>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60" w:type="dxa"/>
            <w:vAlign w:val="bottom"/>
          </w:tcPr>
          <w:p>
            <w:pPr>
              <w:jc w:val="center"/>
              <w:ind w:left="2190"/>
              <w:spacing w:after="0"/>
              <w:rPr>
                <w:sz w:val="20"/>
                <w:szCs w:val="20"/>
                <w:color w:val="auto"/>
              </w:rPr>
            </w:pPr>
            <w:r>
              <w:rPr>
                <w:rFonts w:ascii="Calibri" w:cs="Calibri" w:eastAsia="Calibri" w:hAnsi="Calibri"/>
                <w:sz w:val="18"/>
                <w:szCs w:val="18"/>
                <w:b w:val="1"/>
                <w:bCs w:val="1"/>
                <w:color w:val="auto"/>
                <w:w w:val="96"/>
              </w:rPr>
              <w:t>THE MACERICH COMPANY</w:t>
            </w: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3"/>
        </w:trPr>
        <w:tc>
          <w:tcPr>
            <w:tcW w:w="7660" w:type="dxa"/>
            <w:vAlign w:val="bottom"/>
          </w:tcPr>
          <w:p>
            <w:pPr>
              <w:ind w:left="3260"/>
              <w:spacing w:after="0" w:line="203" w:lineRule="exact"/>
              <w:rPr>
                <w:sz w:val="20"/>
                <w:szCs w:val="20"/>
                <w:color w:val="auto"/>
              </w:rPr>
            </w:pPr>
            <w:r>
              <w:rPr>
                <w:rFonts w:ascii="Calibri" w:cs="Calibri" w:eastAsia="Calibri" w:hAnsi="Calibri"/>
                <w:sz w:val="18"/>
                <w:szCs w:val="18"/>
                <w:b w:val="1"/>
                <w:bCs w:val="1"/>
                <w:color w:val="auto"/>
              </w:rPr>
              <w:t>CONSOLIDATED BALANCE SHEET (UNAUDITED)</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2"/>
        </w:trPr>
        <w:tc>
          <w:tcPr>
            <w:tcW w:w="7660" w:type="dxa"/>
            <w:vAlign w:val="bottom"/>
          </w:tcPr>
          <w:p>
            <w:pPr>
              <w:jc w:val="center"/>
              <w:ind w:left="2210"/>
              <w:spacing w:after="0" w:line="203" w:lineRule="exact"/>
              <w:rPr>
                <w:sz w:val="20"/>
                <w:szCs w:val="20"/>
                <w:color w:val="auto"/>
              </w:rPr>
            </w:pPr>
            <w:r>
              <w:rPr>
                <w:rFonts w:ascii="Calibri" w:cs="Calibri" w:eastAsia="Calibri" w:hAnsi="Calibri"/>
                <w:sz w:val="18"/>
                <w:szCs w:val="18"/>
                <w:b w:val="1"/>
                <w:bCs w:val="1"/>
                <w:color w:val="auto"/>
                <w:w w:val="96"/>
              </w:rPr>
              <w:t>As of March 31, 2026</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5"/>
        </w:trPr>
        <w:tc>
          <w:tcPr>
            <w:tcW w:w="7660" w:type="dxa"/>
            <w:vAlign w:val="bottom"/>
          </w:tcPr>
          <w:p>
            <w:pPr>
              <w:jc w:val="center"/>
              <w:ind w:left="2210"/>
              <w:spacing w:after="0" w:line="215" w:lineRule="exact"/>
              <w:rPr>
                <w:sz w:val="20"/>
                <w:szCs w:val="20"/>
                <w:color w:val="auto"/>
              </w:rPr>
            </w:pPr>
            <w:r>
              <w:rPr>
                <w:rFonts w:ascii="Calibri" w:cs="Calibri" w:eastAsia="Calibri" w:hAnsi="Calibri"/>
                <w:sz w:val="18"/>
                <w:szCs w:val="18"/>
                <w:b w:val="1"/>
                <w:bCs w:val="1"/>
                <w:color w:val="auto"/>
                <w:w w:val="97"/>
              </w:rPr>
              <w:t>(Dollars in thousands)</w:t>
            </w: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97"/>
        </w:trPr>
        <w:tc>
          <w:tcPr>
            <w:tcW w:w="7660" w:type="dxa"/>
            <w:vAlign w:val="bottom"/>
          </w:tcPr>
          <w:p>
            <w:pPr>
              <w:ind w:left="60"/>
              <w:spacing w:after="0"/>
              <w:rPr>
                <w:sz w:val="20"/>
                <w:szCs w:val="20"/>
                <w:color w:val="auto"/>
              </w:rPr>
            </w:pPr>
            <w:r>
              <w:rPr>
                <w:rFonts w:ascii="Calibri" w:cs="Calibri" w:eastAsia="Calibri" w:hAnsi="Calibri"/>
                <w:sz w:val="18"/>
                <w:szCs w:val="18"/>
                <w:color w:val="auto"/>
              </w:rPr>
              <w:t>ASSETS:</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
        </w:trPr>
        <w:tc>
          <w:tcPr>
            <w:tcW w:w="7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7"/>
        </w:trPr>
        <w:tc>
          <w:tcPr>
            <w:tcW w:w="76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Property, net (a)</w:t>
            </w:r>
          </w:p>
        </w:tc>
        <w:tc>
          <w:tcPr>
            <w:tcW w:w="640" w:type="dxa"/>
            <w:vAlign w:val="bottom"/>
            <w:tcBorders>
              <w:bottom w:val="single" w:sz="8" w:color="F5F5F5"/>
            </w:tcBorders>
            <w:shd w:val="clear" w:color="auto" w:fill="F5F5F5"/>
          </w:tcPr>
          <w:p>
            <w:pPr>
              <w:jc w:val="right"/>
              <w:ind w:right="410"/>
              <w:spacing w:after="0"/>
              <w:rPr>
                <w:sz w:val="20"/>
                <w:szCs w:val="20"/>
                <w:color w:val="auto"/>
              </w:rPr>
            </w:pPr>
            <w:r>
              <w:rPr>
                <w:rFonts w:ascii="Calibri" w:cs="Calibri" w:eastAsia="Calibri" w:hAnsi="Calibri"/>
                <w:sz w:val="18"/>
                <w:szCs w:val="18"/>
                <w:color w:val="auto"/>
              </w:rPr>
              <w:t>$</w:t>
            </w:r>
          </w:p>
        </w:tc>
        <w:tc>
          <w:tcPr>
            <w:tcW w:w="13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6,666,442</w:t>
            </w:r>
          </w:p>
        </w:tc>
      </w:tr>
      <w:tr>
        <w:trPr>
          <w:trHeight w:val="233"/>
        </w:trPr>
        <w:tc>
          <w:tcPr>
            <w:tcW w:w="7660" w:type="dxa"/>
            <w:vAlign w:val="bottom"/>
          </w:tcPr>
          <w:p>
            <w:pPr>
              <w:ind w:left="60"/>
              <w:spacing w:after="0" w:line="215" w:lineRule="exact"/>
              <w:rPr>
                <w:sz w:val="20"/>
                <w:szCs w:val="20"/>
                <w:color w:val="auto"/>
              </w:rPr>
            </w:pPr>
            <w:r>
              <w:rPr>
                <w:rFonts w:ascii="Calibri" w:cs="Calibri" w:eastAsia="Calibri" w:hAnsi="Calibri"/>
                <w:sz w:val="18"/>
                <w:szCs w:val="18"/>
                <w:color w:val="auto"/>
              </w:rPr>
              <w:t>Cash and cash equivalents</w:t>
            </w:r>
          </w:p>
        </w:tc>
        <w:tc>
          <w:tcPr>
            <w:tcW w:w="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182,034</w:t>
            </w:r>
          </w:p>
        </w:tc>
      </w:tr>
      <w:tr>
        <w:trPr>
          <w:trHeight w:val="23"/>
        </w:trPr>
        <w:tc>
          <w:tcPr>
            <w:tcW w:w="7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6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Restricted cash</w:t>
            </w:r>
          </w:p>
        </w:tc>
        <w:tc>
          <w:tcPr>
            <w:tcW w:w="640" w:type="dxa"/>
            <w:vAlign w:val="bottom"/>
            <w:tcBorders>
              <w:bottom w:val="single" w:sz="8" w:color="F5F5F5"/>
            </w:tcBorders>
            <w:shd w:val="clear" w:color="auto" w:fill="F5F5F5"/>
          </w:tcPr>
          <w:p>
            <w:pPr>
              <w:spacing w:after="0"/>
              <w:rPr>
                <w:sz w:val="20"/>
                <w:szCs w:val="20"/>
                <w:color w:val="auto"/>
              </w:rPr>
            </w:pPr>
          </w:p>
        </w:tc>
        <w:tc>
          <w:tcPr>
            <w:tcW w:w="13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88,730</w:t>
            </w:r>
          </w:p>
        </w:tc>
      </w:tr>
      <w:tr>
        <w:trPr>
          <w:trHeight w:val="233"/>
        </w:trPr>
        <w:tc>
          <w:tcPr>
            <w:tcW w:w="7660" w:type="dxa"/>
            <w:vAlign w:val="bottom"/>
          </w:tcPr>
          <w:p>
            <w:pPr>
              <w:ind w:left="60"/>
              <w:spacing w:after="0" w:line="215" w:lineRule="exact"/>
              <w:rPr>
                <w:sz w:val="20"/>
                <w:szCs w:val="20"/>
                <w:color w:val="auto"/>
              </w:rPr>
            </w:pPr>
            <w:r>
              <w:rPr>
                <w:rFonts w:ascii="Calibri" w:cs="Calibri" w:eastAsia="Calibri" w:hAnsi="Calibri"/>
                <w:sz w:val="18"/>
                <w:szCs w:val="18"/>
                <w:color w:val="auto"/>
              </w:rPr>
              <w:t>Tenant and other receivables, net</w:t>
            </w:r>
          </w:p>
        </w:tc>
        <w:tc>
          <w:tcPr>
            <w:tcW w:w="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125,760</w:t>
            </w:r>
          </w:p>
        </w:tc>
      </w:tr>
      <w:tr>
        <w:trPr>
          <w:trHeight w:val="23"/>
        </w:trPr>
        <w:tc>
          <w:tcPr>
            <w:tcW w:w="7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6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Right-of-use assets, net</w:t>
            </w:r>
          </w:p>
        </w:tc>
        <w:tc>
          <w:tcPr>
            <w:tcW w:w="640" w:type="dxa"/>
            <w:vAlign w:val="bottom"/>
            <w:tcBorders>
              <w:bottom w:val="single" w:sz="8" w:color="F5F5F5"/>
            </w:tcBorders>
            <w:shd w:val="clear" w:color="auto" w:fill="F5F5F5"/>
          </w:tcPr>
          <w:p>
            <w:pPr>
              <w:spacing w:after="0"/>
              <w:rPr>
                <w:sz w:val="20"/>
                <w:szCs w:val="20"/>
                <w:color w:val="auto"/>
              </w:rPr>
            </w:pPr>
          </w:p>
        </w:tc>
        <w:tc>
          <w:tcPr>
            <w:tcW w:w="13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106,484</w:t>
            </w:r>
          </w:p>
        </w:tc>
      </w:tr>
      <w:tr>
        <w:trPr>
          <w:trHeight w:val="233"/>
        </w:trPr>
        <w:tc>
          <w:tcPr>
            <w:tcW w:w="7660" w:type="dxa"/>
            <w:vAlign w:val="bottom"/>
          </w:tcPr>
          <w:p>
            <w:pPr>
              <w:ind w:left="60"/>
              <w:spacing w:after="0" w:line="215" w:lineRule="exact"/>
              <w:rPr>
                <w:sz w:val="20"/>
                <w:szCs w:val="20"/>
                <w:color w:val="auto"/>
              </w:rPr>
            </w:pPr>
            <w:r>
              <w:rPr>
                <w:rFonts w:ascii="Calibri" w:cs="Calibri" w:eastAsia="Calibri" w:hAnsi="Calibri"/>
                <w:sz w:val="18"/>
                <w:szCs w:val="18"/>
                <w:color w:val="auto"/>
              </w:rPr>
              <w:t>Deferred charges and other assets, net</w:t>
            </w:r>
          </w:p>
        </w:tc>
        <w:tc>
          <w:tcPr>
            <w:tcW w:w="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319,033</w:t>
            </w:r>
          </w:p>
        </w:tc>
      </w:tr>
      <w:tr>
        <w:trPr>
          <w:trHeight w:val="23"/>
        </w:trPr>
        <w:tc>
          <w:tcPr>
            <w:tcW w:w="7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6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Due from afliates</w:t>
            </w:r>
          </w:p>
        </w:tc>
        <w:tc>
          <w:tcPr>
            <w:tcW w:w="640" w:type="dxa"/>
            <w:vAlign w:val="bottom"/>
            <w:tcBorders>
              <w:bottom w:val="single" w:sz="8" w:color="F5F5F5"/>
            </w:tcBorders>
            <w:shd w:val="clear" w:color="auto" w:fill="F5F5F5"/>
          </w:tcPr>
          <w:p>
            <w:pPr>
              <w:spacing w:after="0"/>
              <w:rPr>
                <w:sz w:val="20"/>
                <w:szCs w:val="20"/>
                <w:color w:val="auto"/>
              </w:rPr>
            </w:pPr>
          </w:p>
        </w:tc>
        <w:tc>
          <w:tcPr>
            <w:tcW w:w="13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3,587</w:t>
            </w:r>
          </w:p>
        </w:tc>
      </w:tr>
      <w:tr>
        <w:trPr>
          <w:trHeight w:val="233"/>
        </w:trPr>
        <w:tc>
          <w:tcPr>
            <w:tcW w:w="7660" w:type="dxa"/>
            <w:vAlign w:val="bottom"/>
          </w:tcPr>
          <w:p>
            <w:pPr>
              <w:ind w:left="60"/>
              <w:spacing w:after="0" w:line="215" w:lineRule="exact"/>
              <w:rPr>
                <w:sz w:val="20"/>
                <w:szCs w:val="20"/>
                <w:color w:val="auto"/>
              </w:rPr>
            </w:pPr>
            <w:r>
              <w:rPr>
                <w:rFonts w:ascii="Calibri" w:cs="Calibri" w:eastAsia="Calibri" w:hAnsi="Calibri"/>
                <w:sz w:val="18"/>
                <w:szCs w:val="18"/>
                <w:color w:val="auto"/>
              </w:rPr>
              <w:t>Investments in unconsolidated joint ventures</w:t>
            </w:r>
          </w:p>
        </w:tc>
        <w:tc>
          <w:tcPr>
            <w:tcW w:w="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699,632</w:t>
            </w:r>
          </w:p>
        </w:tc>
      </w:tr>
      <w:tr>
        <w:trPr>
          <w:trHeight w:val="23"/>
        </w:trPr>
        <w:tc>
          <w:tcPr>
            <w:tcW w:w="7660" w:type="dxa"/>
            <w:vAlign w:val="bottom"/>
            <w:tcBorders>
              <w:bottom w:val="single" w:sz="8" w:color="F5F5F5"/>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4"/>
        </w:trPr>
        <w:tc>
          <w:tcPr>
            <w:tcW w:w="7660" w:type="dxa"/>
            <w:vAlign w:val="bottom"/>
            <w:tcBorders>
              <w:bottom w:val="single" w:sz="8" w:color="F5F5F5"/>
            </w:tcBorders>
            <w:shd w:val="clear" w:color="auto" w:fill="F5F5F5"/>
          </w:tcPr>
          <w:p>
            <w:pPr>
              <w:ind w:left="1040"/>
              <w:spacing w:after="0" w:line="195" w:lineRule="exact"/>
              <w:rPr>
                <w:sz w:val="20"/>
                <w:szCs w:val="20"/>
                <w:color w:val="auto"/>
              </w:rPr>
            </w:pPr>
            <w:r>
              <w:rPr>
                <w:rFonts w:ascii="Calibri" w:cs="Calibri" w:eastAsia="Calibri" w:hAnsi="Calibri"/>
                <w:sz w:val="18"/>
                <w:szCs w:val="18"/>
                <w:color w:val="auto"/>
              </w:rPr>
              <w:t>Total assets</w:t>
            </w:r>
          </w:p>
        </w:tc>
        <w:tc>
          <w:tcPr>
            <w:tcW w:w="640" w:type="dxa"/>
            <w:vAlign w:val="bottom"/>
            <w:tcBorders>
              <w:bottom w:val="single" w:sz="8" w:color="auto"/>
            </w:tcBorders>
            <w:shd w:val="clear" w:color="auto" w:fill="F5F5F5"/>
          </w:tcPr>
          <w:p>
            <w:pPr>
              <w:jc w:val="right"/>
              <w:ind w:right="410"/>
              <w:spacing w:after="0" w:line="209"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8,191,702</w:t>
            </w:r>
          </w:p>
        </w:tc>
      </w:tr>
      <w:tr>
        <w:trPr>
          <w:trHeight w:val="20"/>
        </w:trPr>
        <w:tc>
          <w:tcPr>
            <w:tcW w:w="7660" w:type="dxa"/>
            <w:vAlign w:val="bottom"/>
            <w:tcBorders>
              <w:top w:val="single" w:sz="8" w:color="F5F5F5"/>
            </w:tcBorders>
          </w:tcPr>
          <w:p>
            <w:pPr>
              <w:spacing w:after="0" w:line="20" w:lineRule="exact"/>
              <w:rPr>
                <w:sz w:val="1"/>
                <w:szCs w:val="1"/>
                <w:color w:val="auto"/>
              </w:rPr>
            </w:pPr>
          </w:p>
        </w:tc>
        <w:tc>
          <w:tcPr>
            <w:tcW w:w="640" w:type="dxa"/>
            <w:vAlign w:val="bottom"/>
            <w:tcBorders>
              <w:top w:val="single" w:sz="8" w:color="F5F5F5"/>
              <w:bottom w:val="single" w:sz="8" w:color="auto"/>
            </w:tcBorders>
          </w:tcPr>
          <w:p>
            <w:pPr>
              <w:spacing w:after="0" w:line="20" w:lineRule="exact"/>
              <w:rPr>
                <w:sz w:val="1"/>
                <w:szCs w:val="1"/>
                <w:color w:val="auto"/>
              </w:rPr>
            </w:pPr>
          </w:p>
        </w:tc>
        <w:tc>
          <w:tcPr>
            <w:tcW w:w="1340" w:type="dxa"/>
            <w:vAlign w:val="bottom"/>
            <w:tcBorders>
              <w:top w:val="single" w:sz="8" w:color="F5F5F5"/>
              <w:bottom w:val="single" w:sz="8" w:color="auto"/>
            </w:tcBorders>
          </w:tcPr>
          <w:p>
            <w:pPr>
              <w:spacing w:after="0" w:line="20" w:lineRule="exact"/>
              <w:rPr>
                <w:sz w:val="1"/>
                <w:szCs w:val="1"/>
                <w:color w:val="auto"/>
              </w:rPr>
            </w:pPr>
          </w:p>
        </w:tc>
      </w:tr>
      <w:tr>
        <w:trPr>
          <w:trHeight w:val="163"/>
        </w:trPr>
        <w:tc>
          <w:tcPr>
            <w:tcW w:w="7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6"/>
        </w:trPr>
        <w:tc>
          <w:tcPr>
            <w:tcW w:w="76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LIABILITIES AND EQUITY:</w:t>
            </w:r>
          </w:p>
        </w:tc>
        <w:tc>
          <w:tcPr>
            <w:tcW w:w="640" w:type="dxa"/>
            <w:vAlign w:val="bottom"/>
            <w:tcBorders>
              <w:bottom w:val="single" w:sz="8" w:color="F5F5F5"/>
            </w:tcBorders>
            <w:shd w:val="clear" w:color="auto" w:fill="F5F5F5"/>
          </w:tcPr>
          <w:p>
            <w:pPr>
              <w:spacing w:after="0"/>
              <w:rPr>
                <w:sz w:val="20"/>
                <w:szCs w:val="20"/>
                <w:color w:val="auto"/>
              </w:rPr>
            </w:pPr>
          </w:p>
        </w:tc>
        <w:tc>
          <w:tcPr>
            <w:tcW w:w="1340" w:type="dxa"/>
            <w:vAlign w:val="bottom"/>
            <w:tcBorders>
              <w:bottom w:val="single" w:sz="8" w:color="F5F5F5"/>
            </w:tcBorders>
            <w:shd w:val="clear" w:color="auto" w:fill="F5F5F5"/>
          </w:tcPr>
          <w:p>
            <w:pPr>
              <w:spacing w:after="0"/>
              <w:rPr>
                <w:sz w:val="20"/>
                <w:szCs w:val="20"/>
                <w:color w:val="auto"/>
              </w:rPr>
            </w:pPr>
          </w:p>
        </w:tc>
      </w:tr>
      <w:tr>
        <w:trPr>
          <w:trHeight w:val="233"/>
        </w:trPr>
        <w:tc>
          <w:tcPr>
            <w:tcW w:w="7660" w:type="dxa"/>
            <w:vAlign w:val="bottom"/>
          </w:tcPr>
          <w:p>
            <w:pPr>
              <w:ind w:left="60"/>
              <w:spacing w:after="0" w:line="215" w:lineRule="exact"/>
              <w:rPr>
                <w:sz w:val="20"/>
                <w:szCs w:val="20"/>
                <w:color w:val="auto"/>
              </w:rPr>
            </w:pPr>
            <w:r>
              <w:rPr>
                <w:rFonts w:ascii="Calibri" w:cs="Calibri" w:eastAsia="Calibri" w:hAnsi="Calibri"/>
                <w:sz w:val="18"/>
                <w:szCs w:val="18"/>
                <w:color w:val="auto"/>
              </w:rPr>
              <w:t>Mortgage notes payable</w:t>
            </w:r>
          </w:p>
        </w:tc>
        <w:tc>
          <w:tcPr>
            <w:tcW w:w="640" w:type="dxa"/>
            <w:vAlign w:val="bottom"/>
          </w:tcPr>
          <w:p>
            <w:pPr>
              <w:jc w:val="right"/>
              <w:ind w:right="410"/>
              <w:spacing w:after="0"/>
              <w:rPr>
                <w:sz w:val="20"/>
                <w:szCs w:val="20"/>
                <w:color w:val="auto"/>
              </w:rPr>
            </w:pPr>
            <w:r>
              <w:rPr>
                <w:rFonts w:ascii="Calibri" w:cs="Calibri" w:eastAsia="Calibri" w:hAnsi="Calibri"/>
                <w:sz w:val="18"/>
                <w:szCs w:val="18"/>
                <w:color w:val="auto"/>
              </w:rPr>
              <w:t>$</w:t>
            </w:r>
          </w:p>
        </w:tc>
        <w:tc>
          <w:tcPr>
            <w:tcW w:w="1340" w:type="dxa"/>
            <w:vAlign w:val="bottom"/>
          </w:tcPr>
          <w:p>
            <w:pPr>
              <w:jc w:val="right"/>
              <w:spacing w:after="0"/>
              <w:rPr>
                <w:sz w:val="20"/>
                <w:szCs w:val="20"/>
                <w:color w:val="auto"/>
              </w:rPr>
            </w:pPr>
            <w:r>
              <w:rPr>
                <w:rFonts w:ascii="Calibri" w:cs="Calibri" w:eastAsia="Calibri" w:hAnsi="Calibri"/>
                <w:sz w:val="18"/>
                <w:szCs w:val="18"/>
                <w:color w:val="auto"/>
              </w:rPr>
              <w:t>4,850,655</w:t>
            </w:r>
          </w:p>
        </w:tc>
      </w:tr>
      <w:tr>
        <w:trPr>
          <w:trHeight w:val="23"/>
        </w:trPr>
        <w:tc>
          <w:tcPr>
            <w:tcW w:w="7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6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Bank and other notes payable</w:t>
            </w:r>
          </w:p>
        </w:tc>
        <w:tc>
          <w:tcPr>
            <w:tcW w:w="640" w:type="dxa"/>
            <w:vAlign w:val="bottom"/>
            <w:tcBorders>
              <w:bottom w:val="single" w:sz="8" w:color="F5F5F5"/>
            </w:tcBorders>
            <w:shd w:val="clear" w:color="auto" w:fill="F5F5F5"/>
          </w:tcPr>
          <w:p>
            <w:pPr>
              <w:spacing w:after="0"/>
              <w:rPr>
                <w:sz w:val="20"/>
                <w:szCs w:val="20"/>
                <w:color w:val="auto"/>
              </w:rPr>
            </w:pPr>
          </w:p>
        </w:tc>
        <w:tc>
          <w:tcPr>
            <w:tcW w:w="13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81,963</w:t>
            </w:r>
          </w:p>
        </w:tc>
      </w:tr>
      <w:tr>
        <w:trPr>
          <w:trHeight w:val="233"/>
        </w:trPr>
        <w:tc>
          <w:tcPr>
            <w:tcW w:w="7660" w:type="dxa"/>
            <w:vAlign w:val="bottom"/>
          </w:tcPr>
          <w:p>
            <w:pPr>
              <w:ind w:left="60"/>
              <w:spacing w:after="0" w:line="215" w:lineRule="exact"/>
              <w:rPr>
                <w:sz w:val="20"/>
                <w:szCs w:val="20"/>
                <w:color w:val="auto"/>
              </w:rPr>
            </w:pPr>
            <w:r>
              <w:rPr>
                <w:rFonts w:ascii="Calibri" w:cs="Calibri" w:eastAsia="Calibri" w:hAnsi="Calibri"/>
                <w:sz w:val="18"/>
                <w:szCs w:val="18"/>
                <w:color w:val="auto"/>
              </w:rPr>
              <w:t>Accounts payable and accrued expenses</w:t>
            </w:r>
          </w:p>
        </w:tc>
        <w:tc>
          <w:tcPr>
            <w:tcW w:w="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129,537</w:t>
            </w:r>
          </w:p>
        </w:tc>
      </w:tr>
      <w:tr>
        <w:trPr>
          <w:trHeight w:val="23"/>
        </w:trPr>
        <w:tc>
          <w:tcPr>
            <w:tcW w:w="7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76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Lease liabilites</w:t>
            </w:r>
          </w:p>
        </w:tc>
        <w:tc>
          <w:tcPr>
            <w:tcW w:w="640" w:type="dxa"/>
            <w:vAlign w:val="bottom"/>
            <w:tcBorders>
              <w:bottom w:val="single" w:sz="8" w:color="F5F5F5"/>
            </w:tcBorders>
            <w:shd w:val="clear" w:color="auto" w:fill="F5F5F5"/>
          </w:tcPr>
          <w:p>
            <w:pPr>
              <w:spacing w:after="0"/>
              <w:rPr>
                <w:sz w:val="20"/>
                <w:szCs w:val="20"/>
                <w:color w:val="auto"/>
              </w:rPr>
            </w:pPr>
          </w:p>
        </w:tc>
        <w:tc>
          <w:tcPr>
            <w:tcW w:w="13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65,149</w:t>
            </w:r>
          </w:p>
        </w:tc>
      </w:tr>
      <w:tr>
        <w:trPr>
          <w:trHeight w:val="233"/>
        </w:trPr>
        <w:tc>
          <w:tcPr>
            <w:tcW w:w="7660" w:type="dxa"/>
            <w:vAlign w:val="bottom"/>
          </w:tcPr>
          <w:p>
            <w:pPr>
              <w:ind w:left="60"/>
              <w:spacing w:after="0" w:line="215" w:lineRule="exact"/>
              <w:rPr>
                <w:sz w:val="20"/>
                <w:szCs w:val="20"/>
                <w:color w:val="auto"/>
              </w:rPr>
            </w:pPr>
            <w:r>
              <w:rPr>
                <w:rFonts w:ascii="Calibri" w:cs="Calibri" w:eastAsia="Calibri" w:hAnsi="Calibri"/>
                <w:sz w:val="18"/>
                <w:szCs w:val="18"/>
                <w:color w:val="auto"/>
              </w:rPr>
              <w:t>Other accrued liabilites</w:t>
            </w:r>
          </w:p>
        </w:tc>
        <w:tc>
          <w:tcPr>
            <w:tcW w:w="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352,648</w:t>
            </w:r>
          </w:p>
        </w:tc>
      </w:tr>
      <w:tr>
        <w:trPr>
          <w:trHeight w:val="23"/>
        </w:trPr>
        <w:tc>
          <w:tcPr>
            <w:tcW w:w="7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766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Distributons in excess of investments in unconsolidated joint ventures</w:t>
            </w:r>
          </w:p>
        </w:tc>
        <w:tc>
          <w:tcPr>
            <w:tcW w:w="640" w:type="dxa"/>
            <w:vAlign w:val="bottom"/>
            <w:tcBorders>
              <w:bottom w:val="single" w:sz="8" w:color="F5F5F5"/>
            </w:tcBorders>
            <w:shd w:val="clear" w:color="auto" w:fill="F5F5F5"/>
          </w:tcPr>
          <w:p>
            <w:pPr>
              <w:spacing w:after="0"/>
              <w:rPr>
                <w:sz w:val="22"/>
                <w:szCs w:val="22"/>
                <w:color w:val="auto"/>
              </w:rPr>
            </w:pPr>
          </w:p>
        </w:tc>
        <w:tc>
          <w:tcPr>
            <w:tcW w:w="13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199,884</w:t>
            </w:r>
          </w:p>
        </w:tc>
      </w:tr>
      <w:tr>
        <w:trPr>
          <w:trHeight w:val="213"/>
        </w:trPr>
        <w:tc>
          <w:tcPr>
            <w:tcW w:w="7660" w:type="dxa"/>
            <w:vAlign w:val="bottom"/>
          </w:tcPr>
          <w:p>
            <w:pPr>
              <w:ind w:left="1040"/>
              <w:spacing w:after="0" w:line="195" w:lineRule="exact"/>
              <w:rPr>
                <w:sz w:val="20"/>
                <w:szCs w:val="20"/>
                <w:color w:val="auto"/>
              </w:rPr>
            </w:pPr>
            <w:r>
              <w:rPr>
                <w:rFonts w:ascii="Calibri" w:cs="Calibri" w:eastAsia="Calibri" w:hAnsi="Calibri"/>
                <w:sz w:val="18"/>
                <w:szCs w:val="18"/>
                <w:color w:val="auto"/>
              </w:rPr>
              <w:t>Total liabilites</w:t>
            </w:r>
          </w:p>
        </w:tc>
        <w:tc>
          <w:tcPr>
            <w:tcW w:w="6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5,679,836</w:t>
            </w:r>
          </w:p>
        </w:tc>
      </w:tr>
      <w:tr>
        <w:trPr>
          <w:trHeight w:val="23"/>
        </w:trPr>
        <w:tc>
          <w:tcPr>
            <w:tcW w:w="7660" w:type="dxa"/>
            <w:vAlign w:val="bottom"/>
            <w:tcBorders>
              <w:bottom w:val="single" w:sz="8" w:color="F5F5F5"/>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6"/>
        </w:trPr>
        <w:tc>
          <w:tcPr>
            <w:tcW w:w="7660" w:type="dxa"/>
            <w:vAlign w:val="bottom"/>
            <w:tcBorders>
              <w:bottom w:val="single" w:sz="8" w:color="F5F5F5"/>
            </w:tcBorders>
            <w:shd w:val="clear" w:color="auto" w:fill="F5F5F5"/>
          </w:tcPr>
          <w:p>
            <w:pPr>
              <w:ind w:left="60"/>
              <w:spacing w:after="0" w:line="195" w:lineRule="exact"/>
              <w:rPr>
                <w:sz w:val="20"/>
                <w:szCs w:val="20"/>
                <w:color w:val="auto"/>
              </w:rPr>
            </w:pPr>
            <w:r>
              <w:rPr>
                <w:rFonts w:ascii="Calibri" w:cs="Calibri" w:eastAsia="Calibri" w:hAnsi="Calibri"/>
                <w:sz w:val="18"/>
                <w:szCs w:val="18"/>
                <w:color w:val="auto"/>
              </w:rPr>
              <w:t>Commitments and contngencies</w:t>
            </w:r>
          </w:p>
        </w:tc>
        <w:tc>
          <w:tcPr>
            <w:tcW w:w="640" w:type="dxa"/>
            <w:vAlign w:val="bottom"/>
            <w:tcBorders>
              <w:bottom w:val="single" w:sz="8" w:color="F5F5F5"/>
            </w:tcBorders>
            <w:shd w:val="clear" w:color="auto" w:fill="F5F5F5"/>
          </w:tcPr>
          <w:p>
            <w:pPr>
              <w:spacing w:after="0"/>
              <w:rPr>
                <w:sz w:val="18"/>
                <w:szCs w:val="18"/>
                <w:color w:val="auto"/>
              </w:rPr>
            </w:pPr>
          </w:p>
        </w:tc>
        <w:tc>
          <w:tcPr>
            <w:tcW w:w="1340" w:type="dxa"/>
            <w:vAlign w:val="bottom"/>
            <w:tcBorders>
              <w:bottom w:val="single" w:sz="8" w:color="F5F5F5"/>
            </w:tcBorders>
            <w:shd w:val="clear" w:color="auto" w:fill="F5F5F5"/>
          </w:tcPr>
          <w:p>
            <w:pPr>
              <w:spacing w:after="0"/>
              <w:rPr>
                <w:sz w:val="18"/>
                <w:szCs w:val="18"/>
                <w:color w:val="auto"/>
              </w:rPr>
            </w:pPr>
          </w:p>
        </w:tc>
      </w:tr>
      <w:tr>
        <w:trPr>
          <w:trHeight w:val="215"/>
        </w:trPr>
        <w:tc>
          <w:tcPr>
            <w:tcW w:w="7660" w:type="dxa"/>
            <w:vAlign w:val="bottom"/>
          </w:tcPr>
          <w:p>
            <w:pPr>
              <w:ind w:left="60"/>
              <w:spacing w:after="0" w:line="215" w:lineRule="exact"/>
              <w:rPr>
                <w:sz w:val="20"/>
                <w:szCs w:val="20"/>
                <w:color w:val="auto"/>
              </w:rPr>
            </w:pPr>
            <w:r>
              <w:rPr>
                <w:rFonts w:ascii="Calibri" w:cs="Calibri" w:eastAsia="Calibri" w:hAnsi="Calibri"/>
                <w:sz w:val="18"/>
                <w:szCs w:val="18"/>
                <w:color w:val="auto"/>
              </w:rPr>
              <w:t>Equity:</w:t>
            </w: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2"/>
        </w:trPr>
        <w:tc>
          <w:tcPr>
            <w:tcW w:w="7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6"/>
        </w:trPr>
        <w:tc>
          <w:tcPr>
            <w:tcW w:w="7660" w:type="dxa"/>
            <w:vAlign w:val="bottom"/>
            <w:tcBorders>
              <w:bottom w:val="single" w:sz="8" w:color="F5F5F5"/>
            </w:tcBorders>
            <w:shd w:val="clear" w:color="auto" w:fill="F5F5F5"/>
          </w:tcPr>
          <w:p>
            <w:pPr>
              <w:ind w:left="380"/>
              <w:spacing w:after="0" w:line="215" w:lineRule="exact"/>
              <w:rPr>
                <w:sz w:val="20"/>
                <w:szCs w:val="20"/>
                <w:color w:val="auto"/>
              </w:rPr>
            </w:pPr>
            <w:r>
              <w:rPr>
                <w:rFonts w:ascii="Calibri" w:cs="Calibri" w:eastAsia="Calibri" w:hAnsi="Calibri"/>
                <w:sz w:val="18"/>
                <w:szCs w:val="18"/>
                <w:color w:val="auto"/>
              </w:rPr>
              <w:t>Stockholders' equity:</w:t>
            </w:r>
          </w:p>
        </w:tc>
        <w:tc>
          <w:tcPr>
            <w:tcW w:w="640" w:type="dxa"/>
            <w:vAlign w:val="bottom"/>
            <w:tcBorders>
              <w:bottom w:val="single" w:sz="8" w:color="F5F5F5"/>
            </w:tcBorders>
            <w:shd w:val="clear" w:color="auto" w:fill="F5F5F5"/>
          </w:tcPr>
          <w:p>
            <w:pPr>
              <w:spacing w:after="0"/>
              <w:rPr>
                <w:sz w:val="20"/>
                <w:szCs w:val="20"/>
                <w:color w:val="auto"/>
              </w:rPr>
            </w:pPr>
          </w:p>
        </w:tc>
        <w:tc>
          <w:tcPr>
            <w:tcW w:w="1340" w:type="dxa"/>
            <w:vAlign w:val="bottom"/>
            <w:tcBorders>
              <w:bottom w:val="single" w:sz="8" w:color="F5F5F5"/>
            </w:tcBorders>
            <w:shd w:val="clear" w:color="auto" w:fill="F5F5F5"/>
          </w:tcPr>
          <w:p>
            <w:pPr>
              <w:spacing w:after="0"/>
              <w:rPr>
                <w:sz w:val="20"/>
                <w:szCs w:val="20"/>
                <w:color w:val="auto"/>
              </w:rPr>
            </w:pPr>
          </w:p>
        </w:tc>
      </w:tr>
      <w:tr>
        <w:trPr>
          <w:trHeight w:val="233"/>
        </w:trPr>
        <w:tc>
          <w:tcPr>
            <w:tcW w:w="7660" w:type="dxa"/>
            <w:vAlign w:val="bottom"/>
          </w:tcPr>
          <w:p>
            <w:pPr>
              <w:ind w:left="940"/>
              <w:spacing w:after="0" w:line="215" w:lineRule="exact"/>
              <w:rPr>
                <w:sz w:val="20"/>
                <w:szCs w:val="20"/>
                <w:color w:val="auto"/>
              </w:rPr>
            </w:pPr>
            <w:r>
              <w:rPr>
                <w:rFonts w:ascii="Calibri" w:cs="Calibri" w:eastAsia="Calibri" w:hAnsi="Calibri"/>
                <w:sz w:val="18"/>
                <w:szCs w:val="18"/>
                <w:color w:val="auto"/>
              </w:rPr>
              <w:t>Common stock</w:t>
            </w:r>
          </w:p>
        </w:tc>
        <w:tc>
          <w:tcPr>
            <w:tcW w:w="6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auto"/>
              </w:rPr>
              <w:t>2,606</w:t>
            </w:r>
          </w:p>
        </w:tc>
      </w:tr>
      <w:tr>
        <w:trPr>
          <w:trHeight w:val="23"/>
        </w:trPr>
        <w:tc>
          <w:tcPr>
            <w:tcW w:w="7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7660" w:type="dxa"/>
            <w:vAlign w:val="bottom"/>
            <w:tcBorders>
              <w:bottom w:val="single" w:sz="8" w:color="F5F5F5"/>
            </w:tcBorders>
            <w:shd w:val="clear" w:color="auto" w:fill="F5F5F5"/>
          </w:tcPr>
          <w:p>
            <w:pPr>
              <w:ind w:left="940"/>
              <w:spacing w:after="0" w:line="215" w:lineRule="exact"/>
              <w:rPr>
                <w:sz w:val="20"/>
                <w:szCs w:val="20"/>
                <w:color w:val="auto"/>
              </w:rPr>
            </w:pPr>
            <w:r>
              <w:rPr>
                <w:rFonts w:ascii="Calibri" w:cs="Calibri" w:eastAsia="Calibri" w:hAnsi="Calibri"/>
                <w:sz w:val="18"/>
                <w:szCs w:val="18"/>
                <w:color w:val="auto"/>
              </w:rPr>
              <w:t>Additonal paid-in capital</w:t>
            </w:r>
          </w:p>
        </w:tc>
        <w:tc>
          <w:tcPr>
            <w:tcW w:w="640" w:type="dxa"/>
            <w:vAlign w:val="bottom"/>
            <w:tcBorders>
              <w:bottom w:val="single" w:sz="8" w:color="F5F5F5"/>
            </w:tcBorders>
            <w:shd w:val="clear" w:color="auto" w:fill="F5F5F5"/>
          </w:tcPr>
          <w:p>
            <w:pPr>
              <w:spacing w:after="0"/>
              <w:rPr>
                <w:sz w:val="20"/>
                <w:szCs w:val="20"/>
                <w:color w:val="auto"/>
              </w:rPr>
            </w:pPr>
          </w:p>
        </w:tc>
        <w:tc>
          <w:tcPr>
            <w:tcW w:w="13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6,293,832</w:t>
            </w:r>
          </w:p>
        </w:tc>
      </w:tr>
      <w:tr>
        <w:trPr>
          <w:trHeight w:val="215"/>
        </w:trPr>
        <w:tc>
          <w:tcPr>
            <w:tcW w:w="7660" w:type="dxa"/>
            <w:vAlign w:val="bottom"/>
          </w:tcPr>
          <w:p>
            <w:pPr>
              <w:ind w:left="940"/>
              <w:spacing w:after="0" w:line="215" w:lineRule="exact"/>
              <w:rPr>
                <w:sz w:val="20"/>
                <w:szCs w:val="20"/>
                <w:color w:val="auto"/>
              </w:rPr>
            </w:pPr>
            <w:r>
              <w:rPr>
                <w:rFonts w:ascii="Calibri" w:cs="Calibri" w:eastAsia="Calibri" w:hAnsi="Calibri"/>
                <w:sz w:val="18"/>
                <w:szCs w:val="18"/>
                <w:color w:val="auto"/>
              </w:rPr>
              <w:t>Accumulated defcit</w:t>
            </w:r>
          </w:p>
        </w:tc>
        <w:tc>
          <w:tcPr>
            <w:tcW w:w="64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(3,858,433)</w:t>
            </w:r>
          </w:p>
        </w:tc>
      </w:tr>
      <w:tr>
        <w:trPr>
          <w:trHeight w:val="42"/>
        </w:trPr>
        <w:tc>
          <w:tcPr>
            <w:tcW w:w="7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6"/>
        </w:trPr>
        <w:tc>
          <w:tcPr>
            <w:tcW w:w="7660" w:type="dxa"/>
            <w:vAlign w:val="bottom"/>
            <w:tcBorders>
              <w:bottom w:val="single" w:sz="8" w:color="F5F5F5"/>
            </w:tcBorders>
            <w:shd w:val="clear" w:color="auto" w:fill="F5F5F5"/>
          </w:tcPr>
          <w:p>
            <w:pPr>
              <w:ind w:left="940"/>
              <w:spacing w:after="0" w:line="215" w:lineRule="exact"/>
              <w:rPr>
                <w:sz w:val="20"/>
                <w:szCs w:val="20"/>
                <w:color w:val="auto"/>
              </w:rPr>
            </w:pPr>
            <w:r>
              <w:rPr>
                <w:rFonts w:ascii="Calibri" w:cs="Calibri" w:eastAsia="Calibri" w:hAnsi="Calibri"/>
                <w:sz w:val="18"/>
                <w:szCs w:val="18"/>
                <w:color w:val="auto"/>
              </w:rPr>
              <w:t>Accumulated other comprehensive loss</w:t>
            </w:r>
          </w:p>
        </w:tc>
        <w:tc>
          <w:tcPr>
            <w:tcW w:w="640" w:type="dxa"/>
            <w:vAlign w:val="bottom"/>
            <w:tcBorders>
              <w:bottom w:val="single" w:sz="8" w:color="F5F5F5"/>
            </w:tcBorders>
            <w:shd w:val="clear" w:color="auto" w:fill="F5F5F5"/>
          </w:tcPr>
          <w:p>
            <w:pPr>
              <w:spacing w:after="0"/>
              <w:rPr>
                <w:sz w:val="22"/>
                <w:szCs w:val="22"/>
                <w:color w:val="auto"/>
              </w:rPr>
            </w:pPr>
          </w:p>
        </w:tc>
        <w:tc>
          <w:tcPr>
            <w:tcW w:w="134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(7)</w:t>
            </w:r>
          </w:p>
        </w:tc>
      </w:tr>
      <w:tr>
        <w:trPr>
          <w:trHeight w:val="213"/>
        </w:trPr>
        <w:tc>
          <w:tcPr>
            <w:tcW w:w="7660" w:type="dxa"/>
            <w:vAlign w:val="bottom"/>
          </w:tcPr>
          <w:p>
            <w:pPr>
              <w:ind w:left="1040"/>
              <w:spacing w:after="0" w:line="195" w:lineRule="exact"/>
              <w:rPr>
                <w:sz w:val="20"/>
                <w:szCs w:val="20"/>
                <w:color w:val="auto"/>
              </w:rPr>
            </w:pPr>
            <w:r>
              <w:rPr>
                <w:rFonts w:ascii="Calibri" w:cs="Calibri" w:eastAsia="Calibri" w:hAnsi="Calibri"/>
                <w:sz w:val="18"/>
                <w:szCs w:val="18"/>
                <w:color w:val="auto"/>
              </w:rPr>
              <w:t>Total stockholders' equity</w:t>
            </w:r>
          </w:p>
        </w:tc>
        <w:tc>
          <w:tcPr>
            <w:tcW w:w="6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2,437,998</w:t>
            </w:r>
          </w:p>
        </w:tc>
      </w:tr>
      <w:tr>
        <w:trPr>
          <w:trHeight w:val="23"/>
        </w:trPr>
        <w:tc>
          <w:tcPr>
            <w:tcW w:w="7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7660" w:type="dxa"/>
            <w:vAlign w:val="bottom"/>
            <w:tcBorders>
              <w:bottom w:val="single" w:sz="8" w:color="F5F5F5"/>
            </w:tcBorders>
            <w:shd w:val="clear" w:color="auto" w:fill="F5F5F5"/>
          </w:tcPr>
          <w:p>
            <w:pPr>
              <w:ind w:left="380"/>
              <w:spacing w:after="0" w:line="215" w:lineRule="exact"/>
              <w:rPr>
                <w:sz w:val="20"/>
                <w:szCs w:val="20"/>
                <w:color w:val="auto"/>
              </w:rPr>
            </w:pPr>
            <w:r>
              <w:rPr>
                <w:rFonts w:ascii="Calibri" w:cs="Calibri" w:eastAsia="Calibri" w:hAnsi="Calibri"/>
                <w:sz w:val="18"/>
                <w:szCs w:val="18"/>
                <w:color w:val="auto"/>
              </w:rPr>
              <w:t>Noncontrolling interests</w:t>
            </w:r>
          </w:p>
        </w:tc>
        <w:tc>
          <w:tcPr>
            <w:tcW w:w="640" w:type="dxa"/>
            <w:vAlign w:val="bottom"/>
            <w:tcBorders>
              <w:bottom w:val="single" w:sz="8" w:color="F5F5F5"/>
            </w:tcBorders>
            <w:shd w:val="clear" w:color="auto" w:fill="F5F5F5"/>
          </w:tcPr>
          <w:p>
            <w:pPr>
              <w:spacing w:after="0"/>
              <w:rPr>
                <w:sz w:val="22"/>
                <w:szCs w:val="22"/>
                <w:color w:val="auto"/>
              </w:rPr>
            </w:pPr>
          </w:p>
        </w:tc>
        <w:tc>
          <w:tcPr>
            <w:tcW w:w="13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73,868</w:t>
            </w:r>
          </w:p>
        </w:tc>
      </w:tr>
      <w:tr>
        <w:trPr>
          <w:trHeight w:val="213"/>
        </w:trPr>
        <w:tc>
          <w:tcPr>
            <w:tcW w:w="7660" w:type="dxa"/>
            <w:vAlign w:val="bottom"/>
          </w:tcPr>
          <w:p>
            <w:pPr>
              <w:ind w:left="1040"/>
              <w:spacing w:after="0" w:line="195" w:lineRule="exact"/>
              <w:rPr>
                <w:sz w:val="20"/>
                <w:szCs w:val="20"/>
                <w:color w:val="auto"/>
              </w:rPr>
            </w:pPr>
            <w:r>
              <w:rPr>
                <w:rFonts w:ascii="Calibri" w:cs="Calibri" w:eastAsia="Calibri" w:hAnsi="Calibri"/>
                <w:sz w:val="18"/>
                <w:szCs w:val="18"/>
                <w:color w:val="auto"/>
              </w:rPr>
              <w:t>Total equity</w:t>
            </w:r>
          </w:p>
        </w:tc>
        <w:tc>
          <w:tcPr>
            <w:tcW w:w="6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2,511,866</w:t>
            </w:r>
          </w:p>
        </w:tc>
      </w:tr>
      <w:tr>
        <w:trPr>
          <w:trHeight w:val="23"/>
        </w:trPr>
        <w:tc>
          <w:tcPr>
            <w:tcW w:w="7660" w:type="dxa"/>
            <w:vAlign w:val="bottom"/>
            <w:tcBorders>
              <w:bottom w:val="single" w:sz="8" w:color="F5F5F5"/>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5"/>
        </w:trPr>
        <w:tc>
          <w:tcPr>
            <w:tcW w:w="7660" w:type="dxa"/>
            <w:vAlign w:val="bottom"/>
            <w:tcBorders>
              <w:bottom w:val="single" w:sz="8" w:color="F5F5F5"/>
            </w:tcBorders>
            <w:shd w:val="clear" w:color="auto" w:fill="F5F5F5"/>
          </w:tcPr>
          <w:p>
            <w:pPr>
              <w:ind w:left="1040"/>
              <w:spacing w:after="0" w:line="195" w:lineRule="exact"/>
              <w:rPr>
                <w:sz w:val="20"/>
                <w:szCs w:val="20"/>
                <w:color w:val="auto"/>
              </w:rPr>
            </w:pPr>
            <w:r>
              <w:rPr>
                <w:rFonts w:ascii="Calibri" w:cs="Calibri" w:eastAsia="Calibri" w:hAnsi="Calibri"/>
                <w:sz w:val="18"/>
                <w:szCs w:val="18"/>
                <w:color w:val="auto"/>
              </w:rPr>
              <w:t>Total liabilites and equity</w:t>
            </w:r>
          </w:p>
        </w:tc>
        <w:tc>
          <w:tcPr>
            <w:tcW w:w="640" w:type="dxa"/>
            <w:vAlign w:val="bottom"/>
            <w:tcBorders>
              <w:bottom w:val="single" w:sz="8" w:color="auto"/>
            </w:tcBorders>
            <w:shd w:val="clear" w:color="auto" w:fill="F5F5F5"/>
          </w:tcPr>
          <w:p>
            <w:pPr>
              <w:jc w:val="right"/>
              <w:ind w:right="410"/>
              <w:spacing w:after="0" w:line="209"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8,191,702</w:t>
            </w:r>
          </w:p>
        </w:tc>
      </w:tr>
      <w:tr>
        <w:trPr>
          <w:trHeight w:val="20"/>
        </w:trPr>
        <w:tc>
          <w:tcPr>
            <w:tcW w:w="7660" w:type="dxa"/>
            <w:vAlign w:val="bottom"/>
            <w:tcBorders>
              <w:top w:val="single" w:sz="8" w:color="F5F5F5"/>
            </w:tcBorders>
          </w:tcPr>
          <w:p>
            <w:pPr>
              <w:spacing w:after="0" w:line="20" w:lineRule="exact"/>
              <w:rPr>
                <w:sz w:val="1"/>
                <w:szCs w:val="1"/>
                <w:color w:val="auto"/>
              </w:rPr>
            </w:pPr>
          </w:p>
        </w:tc>
        <w:tc>
          <w:tcPr>
            <w:tcW w:w="640" w:type="dxa"/>
            <w:vAlign w:val="bottom"/>
            <w:tcBorders>
              <w:top w:val="single" w:sz="8" w:color="F5F5F5"/>
              <w:bottom w:val="single" w:sz="8" w:color="auto"/>
            </w:tcBorders>
          </w:tcPr>
          <w:p>
            <w:pPr>
              <w:spacing w:after="0" w:line="20" w:lineRule="exact"/>
              <w:rPr>
                <w:sz w:val="1"/>
                <w:szCs w:val="1"/>
                <w:color w:val="auto"/>
              </w:rPr>
            </w:pPr>
          </w:p>
        </w:tc>
        <w:tc>
          <w:tcPr>
            <w:tcW w:w="1340" w:type="dxa"/>
            <w:vAlign w:val="bottom"/>
            <w:tcBorders>
              <w:top w:val="single" w:sz="8" w:color="F5F5F5"/>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400" w:hanging="398"/>
        <w:spacing w:after="0"/>
        <w:tabs>
          <w:tab w:leader="none" w:pos="40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Includes constructon in progress of $307,729.</w:t>
      </w:r>
    </w:p>
    <w:p>
      <w:pPr>
        <w:sectPr>
          <w:pgSz w:w="11900" w:h="16838" w:orient="portrait"/>
          <w:cols w:equalWidth="0" w:num="1">
            <w:col w:w="9640"/>
          </w:cols>
          <w:pgMar w:left="920" w:top="423" w:right="1339" w:bottom="3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Calibri" w:cs="Calibri" w:eastAsia="Calibri" w:hAnsi="Calibri"/>
          <w:sz w:val="17"/>
          <w:szCs w:val="17"/>
          <w:color w:val="auto"/>
        </w:rPr>
        <w:t>11</w:t>
      </w:r>
    </w:p>
    <w:p>
      <w:pPr>
        <w:sectPr>
          <w:pgSz w:w="11900" w:h="16838" w:orient="portrait"/>
          <w:cols w:equalWidth="0" w:num="1">
            <w:col w:w="9640"/>
          </w:cols>
          <w:pgMar w:left="920" w:top="423" w:right="1339" w:bottom="329" w:gutter="0" w:footer="0" w:header="0"/>
          <w:type w:val="continuous"/>
        </w:sectPr>
      </w:pPr>
    </w:p>
    <w:bookmarkStart w:id="16" w:name="page17"/>
    <w:bookmarkEnd w:id="16"/>
    <w:p>
      <w:pPr>
        <w:jc w:val="center"/>
        <w:ind w:right="179"/>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MACERICH COMPANY</w:t>
      </w:r>
    </w:p>
    <w:p>
      <w:pPr>
        <w:jc w:val="center"/>
        <w:ind w:right="279"/>
        <w:spacing w:after="0" w:line="206" w:lineRule="auto"/>
        <w:rPr>
          <w:sz w:val="20"/>
          <w:szCs w:val="20"/>
          <w:color w:val="auto"/>
        </w:rPr>
      </w:pPr>
      <w:r>
        <w:rPr>
          <w:rFonts w:ascii="Calibri" w:cs="Calibri" w:eastAsia="Calibri" w:hAnsi="Calibri"/>
          <w:sz w:val="18"/>
          <w:szCs w:val="18"/>
          <w:b w:val="1"/>
          <w:bCs w:val="1"/>
          <w:color w:val="auto"/>
        </w:rPr>
        <w:t>NON-GAAP PRO RATA FINANCIAL INFORMATION (UNAUDITED)</w:t>
      </w:r>
    </w:p>
    <w:p>
      <w:pPr>
        <w:jc w:val="center"/>
        <w:ind w:right="179"/>
        <w:spacing w:after="0" w:line="221" w:lineRule="auto"/>
        <w:rPr>
          <w:sz w:val="20"/>
          <w:szCs w:val="20"/>
          <w:color w:val="auto"/>
        </w:rPr>
      </w:pPr>
      <w:r>
        <w:rPr>
          <w:rFonts w:ascii="Calibri" w:cs="Calibri" w:eastAsia="Calibri" w:hAnsi="Calibri"/>
          <w:sz w:val="18"/>
          <w:szCs w:val="18"/>
          <w:b w:val="1"/>
          <w:bCs w:val="1"/>
          <w:color w:val="auto"/>
        </w:rPr>
        <w:t>(DOLLARS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4"/>
          </w:tcPr>
          <w:p>
            <w:pPr>
              <w:jc w:val="center"/>
              <w:ind w:right="50"/>
              <w:spacing w:after="0"/>
              <w:rPr>
                <w:sz w:val="20"/>
                <w:szCs w:val="20"/>
                <w:color w:val="auto"/>
              </w:rPr>
            </w:pPr>
            <w:r>
              <w:rPr>
                <w:rFonts w:ascii="Calibri" w:cs="Calibri" w:eastAsia="Calibri" w:hAnsi="Calibri"/>
                <w:sz w:val="14"/>
                <w:szCs w:val="14"/>
                <w:b w:val="1"/>
                <w:bCs w:val="1"/>
                <w:color w:val="auto"/>
              </w:rPr>
              <w:t>For the Three Months Ended</w:t>
            </w:r>
          </w:p>
        </w:tc>
        <w:tc>
          <w:tcPr>
            <w:tcW w:w="0" w:type="dxa"/>
            <w:vAlign w:val="bottom"/>
          </w:tcPr>
          <w:p>
            <w:pPr>
              <w:spacing w:after="0"/>
              <w:rPr>
                <w:sz w:val="1"/>
                <w:szCs w:val="1"/>
                <w:color w:val="auto"/>
              </w:rPr>
            </w:pPr>
          </w:p>
        </w:tc>
      </w:tr>
      <w:tr>
        <w:trPr>
          <w:trHeight w:val="183"/>
        </w:trPr>
        <w:tc>
          <w:tcPr>
            <w:tcW w:w="6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455"/>
              <w:spacing w:after="0"/>
              <w:rPr>
                <w:sz w:val="20"/>
                <w:szCs w:val="20"/>
                <w:color w:val="auto"/>
              </w:rPr>
            </w:pPr>
            <w:r>
              <w:rPr>
                <w:rFonts w:ascii="Calibri" w:cs="Calibri" w:eastAsia="Calibri" w:hAnsi="Calibri"/>
                <w:sz w:val="14"/>
                <w:szCs w:val="14"/>
                <w:b w:val="1"/>
                <w:bCs w:val="1"/>
                <w:color w:val="auto"/>
              </w:rPr>
              <w:t>March 31, 2026</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00"/>
              <w:spacing w:after="0" w:line="161" w:lineRule="exact"/>
              <w:rPr>
                <w:sz w:val="20"/>
                <w:szCs w:val="20"/>
                <w:color w:val="auto"/>
              </w:rPr>
            </w:pPr>
            <w:r>
              <w:rPr>
                <w:rFonts w:ascii="Calibri" w:cs="Calibri" w:eastAsia="Calibri" w:hAnsi="Calibri"/>
                <w:sz w:val="14"/>
                <w:szCs w:val="14"/>
                <w:b w:val="1"/>
                <w:bCs w:val="1"/>
                <w:color w:val="auto"/>
              </w:rPr>
              <w:t>Noncontrolling</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Interests of</w:t>
            </w:r>
          </w:p>
        </w:tc>
        <w:tc>
          <w:tcPr>
            <w:tcW w:w="120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Company's Share</w:t>
            </w:r>
          </w:p>
        </w:tc>
        <w:tc>
          <w:tcPr>
            <w:tcW w:w="0" w:type="dxa"/>
            <w:vAlign w:val="bottom"/>
          </w:tcPr>
          <w:p>
            <w:pPr>
              <w:spacing w:after="0"/>
              <w:rPr>
                <w:sz w:val="1"/>
                <w:szCs w:val="1"/>
                <w:color w:val="auto"/>
              </w:rPr>
            </w:pPr>
          </w:p>
        </w:tc>
      </w:tr>
      <w:tr>
        <w:trPr>
          <w:trHeight w:val="168"/>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80"/>
              <w:spacing w:after="0" w:line="168" w:lineRule="exact"/>
              <w:rPr>
                <w:sz w:val="20"/>
                <w:szCs w:val="20"/>
                <w:color w:val="auto"/>
              </w:rPr>
            </w:pPr>
            <w:r>
              <w:rPr>
                <w:rFonts w:ascii="Calibri" w:cs="Calibri" w:eastAsia="Calibri" w:hAnsi="Calibri"/>
                <w:sz w:val="14"/>
                <w:szCs w:val="14"/>
                <w:b w:val="1"/>
                <w:bCs w:val="1"/>
                <w:color w:val="auto"/>
              </w:rPr>
              <w:t>Consolidated</w:t>
            </w:r>
          </w:p>
        </w:tc>
        <w:tc>
          <w:tcPr>
            <w:tcW w:w="1200" w:type="dxa"/>
            <w:vAlign w:val="bottom"/>
            <w:gridSpan w:val="2"/>
          </w:tcPr>
          <w:p>
            <w:pPr>
              <w:ind w:left="60"/>
              <w:spacing w:after="0" w:line="168" w:lineRule="exact"/>
              <w:rPr>
                <w:sz w:val="20"/>
                <w:szCs w:val="20"/>
                <w:color w:val="auto"/>
              </w:rPr>
            </w:pPr>
            <w:r>
              <w:rPr>
                <w:rFonts w:ascii="Calibri" w:cs="Calibri" w:eastAsia="Calibri" w:hAnsi="Calibri"/>
                <w:sz w:val="14"/>
                <w:szCs w:val="14"/>
                <w:b w:val="1"/>
                <w:bCs w:val="1"/>
                <w:color w:val="auto"/>
              </w:rPr>
              <w:t>of Unconsolidated</w:t>
            </w: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1220" w:type="dxa"/>
            <w:vAlign w:val="bottom"/>
            <w:gridSpan w:val="3"/>
          </w:tcPr>
          <w:p>
            <w:pPr>
              <w:jc w:val="center"/>
              <w:ind w:right="60"/>
              <w:spacing w:after="0"/>
              <w:rPr>
                <w:sz w:val="20"/>
                <w:szCs w:val="20"/>
                <w:color w:val="auto"/>
              </w:rPr>
            </w:pPr>
            <w:r>
              <w:rPr>
                <w:rFonts w:ascii="Calibri" w:cs="Calibri" w:eastAsia="Calibri" w:hAnsi="Calibri"/>
                <w:sz w:val="14"/>
                <w:szCs w:val="14"/>
                <w:b w:val="1"/>
                <w:bCs w:val="1"/>
                <w:color w:val="auto"/>
              </w:rPr>
              <w:t>Joint Ventures (a)</w:t>
            </w:r>
          </w:p>
        </w:tc>
        <w:tc>
          <w:tcPr>
            <w:tcW w:w="120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Joint Ventures (b)</w:t>
            </w:r>
          </w:p>
        </w:tc>
        <w:tc>
          <w:tcPr>
            <w:tcW w:w="0" w:type="dxa"/>
            <w:vAlign w:val="bottom"/>
          </w:tcPr>
          <w:p>
            <w:pPr>
              <w:spacing w:after="0"/>
              <w:rPr>
                <w:sz w:val="1"/>
                <w:szCs w:val="1"/>
                <w:color w:val="auto"/>
              </w:rPr>
            </w:pPr>
          </w:p>
        </w:tc>
      </w:tr>
      <w:tr>
        <w:trPr>
          <w:trHeight w:val="61"/>
        </w:trPr>
        <w:tc>
          <w:tcPr>
            <w:tcW w:w="6580" w:type="dxa"/>
            <w:vAlign w:val="bottom"/>
            <w:vMerge w:val="restart"/>
          </w:tcPr>
          <w:p>
            <w:pPr>
              <w:ind w:left="60"/>
              <w:spacing w:after="0"/>
              <w:rPr>
                <w:sz w:val="20"/>
                <w:szCs w:val="20"/>
                <w:color w:val="auto"/>
              </w:rPr>
            </w:pPr>
            <w:r>
              <w:rPr>
                <w:rFonts w:ascii="Calibri" w:cs="Calibri" w:eastAsia="Calibri" w:hAnsi="Calibri"/>
                <w:sz w:val="18"/>
                <w:szCs w:val="18"/>
                <w:color w:val="auto"/>
              </w:rPr>
              <w:t>Revenues:</w:t>
            </w: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6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6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658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Leasing revenue</w:t>
            </w:r>
          </w:p>
        </w:tc>
        <w:tc>
          <w:tcPr>
            <w:tcW w:w="1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w:t>
            </w:r>
          </w:p>
        </w:tc>
        <w:tc>
          <w:tcPr>
            <w:tcW w:w="104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(1,417)</w:t>
            </w:r>
          </w:p>
        </w:tc>
        <w:tc>
          <w:tcPr>
            <w:tcW w:w="40" w:type="dxa"/>
            <w:vAlign w:val="bottom"/>
            <w:tcBorders>
              <w:bottom w:val="single" w:sz="8" w:color="F5F5F5"/>
            </w:tcBorders>
            <w:shd w:val="clear" w:color="auto" w:fill="F5F5F5"/>
          </w:tcPr>
          <w:p>
            <w:pPr>
              <w:spacing w:after="0"/>
              <w:rPr>
                <w:sz w:val="20"/>
                <w:szCs w:val="20"/>
                <w:color w:val="auto"/>
              </w:rPr>
            </w:pPr>
          </w:p>
        </w:tc>
        <w:tc>
          <w:tcPr>
            <w:tcW w:w="540" w:type="dxa"/>
            <w:vAlign w:val="bottom"/>
            <w:tcBorders>
              <w:bottom w:val="single" w:sz="8" w:color="F5F5F5"/>
            </w:tcBorders>
            <w:shd w:val="clear" w:color="auto" w:fill="F5F5F5"/>
          </w:tcPr>
          <w:p>
            <w:pPr>
              <w:ind w:left="60"/>
              <w:spacing w:after="0"/>
              <w:rPr>
                <w:sz w:val="20"/>
                <w:szCs w:val="20"/>
                <w:color w:val="auto"/>
              </w:rPr>
            </w:pPr>
            <w:r>
              <w:rPr>
                <w:rFonts w:ascii="Calibri" w:cs="Calibri" w:eastAsia="Calibri" w:hAnsi="Calibri"/>
                <w:sz w:val="18"/>
                <w:szCs w:val="18"/>
                <w:color w:val="auto"/>
              </w:rPr>
              <w:t>$</w:t>
            </w:r>
          </w:p>
        </w:tc>
        <w:tc>
          <w:tcPr>
            <w:tcW w:w="66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71,961</w:t>
            </w:r>
          </w:p>
        </w:tc>
        <w:tc>
          <w:tcPr>
            <w:tcW w:w="0" w:type="dxa"/>
            <w:vAlign w:val="bottom"/>
          </w:tcPr>
          <w:p>
            <w:pPr>
              <w:spacing w:after="0"/>
              <w:rPr>
                <w:sz w:val="1"/>
                <w:szCs w:val="1"/>
                <w:color w:val="auto"/>
              </w:rPr>
            </w:pPr>
          </w:p>
        </w:tc>
      </w:tr>
      <w:tr>
        <w:trPr>
          <w:trHeight w:val="215"/>
        </w:trPr>
        <w:tc>
          <w:tcPr>
            <w:tcW w:w="6580" w:type="dxa"/>
            <w:vAlign w:val="bottom"/>
          </w:tcPr>
          <w:p>
            <w:pPr>
              <w:ind w:left="60"/>
              <w:spacing w:after="0" w:line="215" w:lineRule="exact"/>
              <w:rPr>
                <w:sz w:val="20"/>
                <w:szCs w:val="20"/>
                <w:color w:val="auto"/>
              </w:rPr>
            </w:pPr>
            <w:r>
              <w:rPr>
                <w:rFonts w:ascii="Calibri" w:cs="Calibri" w:eastAsia="Calibri" w:hAnsi="Calibri"/>
                <w:sz w:val="18"/>
                <w:szCs w:val="18"/>
                <w:color w:val="auto"/>
              </w:rPr>
              <w:t>Other income</w:t>
            </w:r>
          </w:p>
        </w:tc>
        <w:tc>
          <w:tcPr>
            <w:tcW w:w="14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(928)</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(6,804)</w:t>
            </w:r>
          </w:p>
        </w:tc>
        <w:tc>
          <w:tcPr>
            <w:tcW w:w="0" w:type="dxa"/>
            <w:vAlign w:val="bottom"/>
          </w:tcPr>
          <w:p>
            <w:pPr>
              <w:spacing w:after="0"/>
              <w:rPr>
                <w:sz w:val="1"/>
                <w:szCs w:val="1"/>
                <w:color w:val="auto"/>
              </w:rPr>
            </w:pPr>
          </w:p>
        </w:tc>
      </w:tr>
      <w:tr>
        <w:trPr>
          <w:trHeight w:val="42"/>
        </w:trPr>
        <w:tc>
          <w:tcPr>
            <w:tcW w:w="6580" w:type="dxa"/>
            <w:vAlign w:val="bottom"/>
            <w:tcBorders>
              <w:bottom w:val="single" w:sz="8" w:color="F5F5F5"/>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F5F5F5"/>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580" w:type="dxa"/>
            <w:vAlign w:val="bottom"/>
            <w:tcBorders>
              <w:bottom w:val="single" w:sz="8" w:color="F5F5F5"/>
            </w:tcBorders>
            <w:shd w:val="clear" w:color="auto" w:fill="F5F5F5"/>
          </w:tcPr>
          <w:p>
            <w:pPr>
              <w:ind w:left="620"/>
              <w:spacing w:after="0" w:line="195" w:lineRule="exact"/>
              <w:rPr>
                <w:sz w:val="20"/>
                <w:szCs w:val="20"/>
                <w:color w:val="auto"/>
              </w:rPr>
            </w:pPr>
            <w:r>
              <w:rPr>
                <w:rFonts w:ascii="Calibri" w:cs="Calibri" w:eastAsia="Calibri" w:hAnsi="Calibri"/>
                <w:sz w:val="18"/>
                <w:szCs w:val="18"/>
                <w:color w:val="auto"/>
              </w:rPr>
              <w:t>Total revenues</w:t>
            </w:r>
          </w:p>
        </w:tc>
        <w:tc>
          <w:tcPr>
            <w:tcW w:w="140" w:type="dxa"/>
            <w:vAlign w:val="bottom"/>
            <w:tcBorders>
              <w:bottom w:val="single" w:sz="8" w:color="F5F5F5"/>
            </w:tcBorders>
            <w:shd w:val="clear" w:color="auto" w:fill="F5F5F5"/>
          </w:tcPr>
          <w:p>
            <w:pPr>
              <w:spacing w:after="0"/>
              <w:rPr>
                <w:sz w:val="20"/>
                <w:szCs w:val="20"/>
                <w:color w:val="auto"/>
              </w:rPr>
            </w:pPr>
          </w:p>
        </w:tc>
        <w:tc>
          <w:tcPr>
            <w:tcW w:w="1040" w:type="dxa"/>
            <w:vAlign w:val="bottom"/>
            <w:tcBorders>
              <w:bottom w:val="single" w:sz="8" w:color="F5F5F5"/>
            </w:tcBorders>
            <w:shd w:val="clear" w:color="auto" w:fill="F5F5F5"/>
          </w:tcPr>
          <w:p>
            <w:pPr>
              <w:jc w:val="right"/>
              <w:spacing w:after="0" w:line="213" w:lineRule="exact"/>
              <w:rPr>
                <w:sz w:val="20"/>
                <w:szCs w:val="20"/>
                <w:color w:val="auto"/>
              </w:rPr>
            </w:pPr>
            <w:r>
              <w:rPr>
                <w:rFonts w:ascii="Calibri" w:cs="Calibri" w:eastAsia="Calibri" w:hAnsi="Calibri"/>
                <w:sz w:val="18"/>
                <w:szCs w:val="18"/>
                <w:color w:val="auto"/>
              </w:rPr>
              <w:t>(2,345)</w:t>
            </w:r>
          </w:p>
        </w:tc>
        <w:tc>
          <w:tcPr>
            <w:tcW w:w="40" w:type="dxa"/>
            <w:vAlign w:val="bottom"/>
            <w:tcBorders>
              <w:bottom w:val="single" w:sz="8" w:color="F5F5F5"/>
            </w:tcBorders>
            <w:shd w:val="clear" w:color="auto" w:fill="F5F5F5"/>
          </w:tcPr>
          <w:p>
            <w:pPr>
              <w:spacing w:after="0"/>
              <w:rPr>
                <w:sz w:val="20"/>
                <w:szCs w:val="20"/>
                <w:color w:val="auto"/>
              </w:rPr>
            </w:pPr>
          </w:p>
        </w:tc>
        <w:tc>
          <w:tcPr>
            <w:tcW w:w="540" w:type="dxa"/>
            <w:vAlign w:val="bottom"/>
            <w:tcBorders>
              <w:bottom w:val="single" w:sz="8" w:color="F5F5F5"/>
            </w:tcBorders>
            <w:shd w:val="clear" w:color="auto" w:fill="F5F5F5"/>
          </w:tcPr>
          <w:p>
            <w:pPr>
              <w:spacing w:after="0"/>
              <w:rPr>
                <w:sz w:val="20"/>
                <w:szCs w:val="20"/>
                <w:color w:val="auto"/>
              </w:rPr>
            </w:pPr>
          </w:p>
        </w:tc>
        <w:tc>
          <w:tcPr>
            <w:tcW w:w="660" w:type="dxa"/>
            <w:vAlign w:val="bottom"/>
            <w:tcBorders>
              <w:bottom w:val="single" w:sz="8" w:color="F5F5F5"/>
            </w:tcBorders>
            <w:shd w:val="clear" w:color="auto" w:fill="F5F5F5"/>
          </w:tcPr>
          <w:p>
            <w:pPr>
              <w:jc w:val="right"/>
              <w:spacing w:after="0" w:line="213" w:lineRule="exact"/>
              <w:rPr>
                <w:sz w:val="20"/>
                <w:szCs w:val="20"/>
                <w:color w:val="auto"/>
              </w:rPr>
            </w:pPr>
            <w:r>
              <w:rPr>
                <w:rFonts w:ascii="Calibri" w:cs="Calibri" w:eastAsia="Calibri" w:hAnsi="Calibri"/>
                <w:sz w:val="18"/>
                <w:szCs w:val="18"/>
                <w:color w:val="auto"/>
              </w:rPr>
              <w:t>65,157</w:t>
            </w:r>
          </w:p>
        </w:tc>
        <w:tc>
          <w:tcPr>
            <w:tcW w:w="0" w:type="dxa"/>
            <w:vAlign w:val="bottom"/>
          </w:tcPr>
          <w:p>
            <w:pPr>
              <w:spacing w:after="0"/>
              <w:rPr>
                <w:sz w:val="1"/>
                <w:szCs w:val="1"/>
                <w:color w:val="auto"/>
              </w:rPr>
            </w:pPr>
          </w:p>
        </w:tc>
      </w:tr>
      <w:tr>
        <w:trPr>
          <w:trHeight w:val="195"/>
        </w:trPr>
        <w:tc>
          <w:tcPr>
            <w:tcW w:w="6580" w:type="dxa"/>
            <w:vAlign w:val="bottom"/>
          </w:tcPr>
          <w:p>
            <w:pPr>
              <w:ind w:left="60"/>
              <w:spacing w:after="0" w:line="195" w:lineRule="exact"/>
              <w:rPr>
                <w:sz w:val="20"/>
                <w:szCs w:val="20"/>
                <w:color w:val="auto"/>
              </w:rPr>
            </w:pPr>
            <w:r>
              <w:rPr>
                <w:rFonts w:ascii="Calibri" w:cs="Calibri" w:eastAsia="Calibri" w:hAnsi="Calibri"/>
                <w:sz w:val="18"/>
                <w:szCs w:val="18"/>
                <w:color w:val="auto"/>
              </w:rPr>
              <w:t>Expenses:</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58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Shopping center and operatng expenses</w:t>
            </w:r>
          </w:p>
        </w:tc>
        <w:tc>
          <w:tcPr>
            <w:tcW w:w="140" w:type="dxa"/>
            <w:vAlign w:val="bottom"/>
            <w:tcBorders>
              <w:bottom w:val="single" w:sz="8" w:color="F5F5F5"/>
            </w:tcBorders>
            <w:shd w:val="clear" w:color="auto" w:fill="F5F5F5"/>
          </w:tcPr>
          <w:p>
            <w:pPr>
              <w:spacing w:after="0"/>
              <w:rPr>
                <w:sz w:val="20"/>
                <w:szCs w:val="20"/>
                <w:color w:val="auto"/>
              </w:rPr>
            </w:pPr>
          </w:p>
        </w:tc>
        <w:tc>
          <w:tcPr>
            <w:tcW w:w="104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(320)</w:t>
            </w:r>
          </w:p>
        </w:tc>
        <w:tc>
          <w:tcPr>
            <w:tcW w:w="40" w:type="dxa"/>
            <w:vAlign w:val="bottom"/>
            <w:tcBorders>
              <w:bottom w:val="single" w:sz="8" w:color="F5F5F5"/>
            </w:tcBorders>
            <w:shd w:val="clear" w:color="auto" w:fill="F5F5F5"/>
          </w:tcPr>
          <w:p>
            <w:pPr>
              <w:spacing w:after="0"/>
              <w:rPr>
                <w:sz w:val="20"/>
                <w:szCs w:val="20"/>
                <w:color w:val="auto"/>
              </w:rPr>
            </w:pPr>
          </w:p>
        </w:tc>
        <w:tc>
          <w:tcPr>
            <w:tcW w:w="540" w:type="dxa"/>
            <w:vAlign w:val="bottom"/>
            <w:tcBorders>
              <w:bottom w:val="single" w:sz="8" w:color="F5F5F5"/>
            </w:tcBorders>
            <w:shd w:val="clear" w:color="auto" w:fill="F5F5F5"/>
          </w:tcPr>
          <w:p>
            <w:pPr>
              <w:spacing w:after="0"/>
              <w:rPr>
                <w:sz w:val="20"/>
                <w:szCs w:val="20"/>
                <w:color w:val="auto"/>
              </w:rPr>
            </w:pPr>
          </w:p>
        </w:tc>
        <w:tc>
          <w:tcPr>
            <w:tcW w:w="66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24,578</w:t>
            </w:r>
          </w:p>
        </w:tc>
        <w:tc>
          <w:tcPr>
            <w:tcW w:w="0" w:type="dxa"/>
            <w:vAlign w:val="bottom"/>
          </w:tcPr>
          <w:p>
            <w:pPr>
              <w:spacing w:after="0"/>
              <w:rPr>
                <w:sz w:val="1"/>
                <w:szCs w:val="1"/>
                <w:color w:val="auto"/>
              </w:rPr>
            </w:pPr>
          </w:p>
        </w:tc>
      </w:tr>
      <w:tr>
        <w:trPr>
          <w:trHeight w:val="216"/>
        </w:trPr>
        <w:tc>
          <w:tcPr>
            <w:tcW w:w="6580" w:type="dxa"/>
            <w:vAlign w:val="bottom"/>
          </w:tcPr>
          <w:p>
            <w:pPr>
              <w:ind w:left="60"/>
              <w:spacing w:after="0" w:line="215" w:lineRule="exact"/>
              <w:rPr>
                <w:sz w:val="20"/>
                <w:szCs w:val="20"/>
                <w:color w:val="auto"/>
              </w:rPr>
            </w:pPr>
            <w:r>
              <w:rPr>
                <w:rFonts w:ascii="Calibri" w:cs="Calibri" w:eastAsia="Calibri" w:hAnsi="Calibri"/>
                <w:sz w:val="18"/>
                <w:szCs w:val="18"/>
                <w:color w:val="auto"/>
              </w:rPr>
              <w:t>Leasing expense</w:t>
            </w:r>
          </w:p>
        </w:tc>
        <w:tc>
          <w:tcPr>
            <w:tcW w:w="14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line="216" w:lineRule="exact"/>
              <w:rPr>
                <w:sz w:val="20"/>
                <w:szCs w:val="20"/>
                <w:color w:val="auto"/>
              </w:rPr>
            </w:pPr>
            <w:r>
              <w:rPr>
                <w:rFonts w:ascii="Calibri" w:cs="Calibri" w:eastAsia="Calibri" w:hAnsi="Calibri"/>
                <w:sz w:val="18"/>
                <w:szCs w:val="18"/>
                <w:color w:val="auto"/>
              </w:rPr>
              <w:t>1,009</w:t>
            </w:r>
          </w:p>
        </w:tc>
        <w:tc>
          <w:tcPr>
            <w:tcW w:w="0" w:type="dxa"/>
            <w:vAlign w:val="bottom"/>
          </w:tcPr>
          <w:p>
            <w:pPr>
              <w:spacing w:after="0"/>
              <w:rPr>
                <w:sz w:val="1"/>
                <w:szCs w:val="1"/>
                <w:color w:val="auto"/>
              </w:rPr>
            </w:pPr>
          </w:p>
        </w:tc>
      </w:tr>
      <w:tr>
        <w:trPr>
          <w:trHeight w:val="236"/>
        </w:trPr>
        <w:tc>
          <w:tcPr>
            <w:tcW w:w="658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Depreciaton and amortzaton</w:t>
            </w:r>
          </w:p>
        </w:tc>
        <w:tc>
          <w:tcPr>
            <w:tcW w:w="140" w:type="dxa"/>
            <w:vAlign w:val="bottom"/>
            <w:tcBorders>
              <w:bottom w:val="single" w:sz="8" w:color="F5F5F5"/>
            </w:tcBorders>
            <w:shd w:val="clear" w:color="auto" w:fill="F5F5F5"/>
          </w:tcPr>
          <w:p>
            <w:pPr>
              <w:spacing w:after="0"/>
              <w:rPr>
                <w:sz w:val="20"/>
                <w:szCs w:val="20"/>
                <w:color w:val="auto"/>
              </w:rPr>
            </w:pPr>
          </w:p>
        </w:tc>
        <w:tc>
          <w:tcPr>
            <w:tcW w:w="104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(567)</w:t>
            </w:r>
          </w:p>
        </w:tc>
        <w:tc>
          <w:tcPr>
            <w:tcW w:w="40" w:type="dxa"/>
            <w:vAlign w:val="bottom"/>
            <w:tcBorders>
              <w:bottom w:val="single" w:sz="8" w:color="F5F5F5"/>
            </w:tcBorders>
            <w:shd w:val="clear" w:color="auto" w:fill="F5F5F5"/>
          </w:tcPr>
          <w:p>
            <w:pPr>
              <w:spacing w:after="0"/>
              <w:rPr>
                <w:sz w:val="20"/>
                <w:szCs w:val="20"/>
                <w:color w:val="auto"/>
              </w:rPr>
            </w:pPr>
          </w:p>
        </w:tc>
        <w:tc>
          <w:tcPr>
            <w:tcW w:w="540" w:type="dxa"/>
            <w:vAlign w:val="bottom"/>
            <w:tcBorders>
              <w:bottom w:val="single" w:sz="8" w:color="F5F5F5"/>
            </w:tcBorders>
            <w:shd w:val="clear" w:color="auto" w:fill="F5F5F5"/>
          </w:tcPr>
          <w:p>
            <w:pPr>
              <w:spacing w:after="0"/>
              <w:rPr>
                <w:sz w:val="20"/>
                <w:szCs w:val="20"/>
                <w:color w:val="auto"/>
              </w:rPr>
            </w:pPr>
          </w:p>
        </w:tc>
        <w:tc>
          <w:tcPr>
            <w:tcW w:w="66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28,797</w:t>
            </w:r>
          </w:p>
        </w:tc>
        <w:tc>
          <w:tcPr>
            <w:tcW w:w="0" w:type="dxa"/>
            <w:vAlign w:val="bottom"/>
          </w:tcPr>
          <w:p>
            <w:pPr>
              <w:spacing w:after="0"/>
              <w:rPr>
                <w:sz w:val="1"/>
                <w:szCs w:val="1"/>
                <w:color w:val="auto"/>
              </w:rPr>
            </w:pPr>
          </w:p>
        </w:tc>
      </w:tr>
      <w:tr>
        <w:trPr>
          <w:trHeight w:val="233"/>
        </w:trPr>
        <w:tc>
          <w:tcPr>
            <w:tcW w:w="6580" w:type="dxa"/>
            <w:vAlign w:val="bottom"/>
          </w:tcPr>
          <w:p>
            <w:pPr>
              <w:ind w:left="60"/>
              <w:spacing w:after="0" w:line="215" w:lineRule="exact"/>
              <w:rPr>
                <w:sz w:val="20"/>
                <w:szCs w:val="20"/>
                <w:color w:val="auto"/>
              </w:rPr>
            </w:pPr>
            <w:r>
              <w:rPr>
                <w:rFonts w:ascii="Calibri" w:cs="Calibri" w:eastAsia="Calibri" w:hAnsi="Calibri"/>
                <w:sz w:val="18"/>
                <w:szCs w:val="18"/>
                <w:color w:val="auto"/>
              </w:rPr>
              <w:t>Interest expense</w:t>
            </w:r>
          </w:p>
        </w:tc>
        <w:tc>
          <w:tcPr>
            <w:tcW w:w="140" w:type="dxa"/>
            <w:vAlign w:val="bottom"/>
          </w:tcPr>
          <w:p>
            <w:pPr>
              <w:spacing w:after="0"/>
              <w:rPr>
                <w:sz w:val="20"/>
                <w:szCs w:val="20"/>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(372)</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19,918</w:t>
            </w:r>
          </w:p>
        </w:tc>
        <w:tc>
          <w:tcPr>
            <w:tcW w:w="0" w:type="dxa"/>
            <w:vAlign w:val="bottom"/>
          </w:tcPr>
          <w:p>
            <w:pPr>
              <w:spacing w:after="0"/>
              <w:rPr>
                <w:sz w:val="1"/>
                <w:szCs w:val="1"/>
                <w:color w:val="auto"/>
              </w:rPr>
            </w:pPr>
          </w:p>
        </w:tc>
      </w:tr>
      <w:tr>
        <w:trPr>
          <w:trHeight w:val="23"/>
        </w:trPr>
        <w:tc>
          <w:tcPr>
            <w:tcW w:w="6580" w:type="dxa"/>
            <w:vAlign w:val="bottom"/>
            <w:tcBorders>
              <w:bottom w:val="single" w:sz="8" w:color="F5F5F5"/>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F5F5F5"/>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80" w:type="dxa"/>
            <w:vAlign w:val="bottom"/>
            <w:tcBorders>
              <w:bottom w:val="single" w:sz="8" w:color="F5F5F5"/>
            </w:tcBorders>
            <w:shd w:val="clear" w:color="auto" w:fill="F5F5F5"/>
          </w:tcPr>
          <w:p>
            <w:pPr>
              <w:ind w:left="620"/>
              <w:spacing w:after="0" w:line="195" w:lineRule="exact"/>
              <w:rPr>
                <w:sz w:val="20"/>
                <w:szCs w:val="20"/>
                <w:color w:val="auto"/>
              </w:rPr>
            </w:pPr>
            <w:r>
              <w:rPr>
                <w:rFonts w:ascii="Calibri" w:cs="Calibri" w:eastAsia="Calibri" w:hAnsi="Calibri"/>
                <w:sz w:val="18"/>
                <w:szCs w:val="18"/>
                <w:color w:val="auto"/>
              </w:rPr>
              <w:t>Total expenses</w:t>
            </w:r>
          </w:p>
        </w:tc>
        <w:tc>
          <w:tcPr>
            <w:tcW w:w="140" w:type="dxa"/>
            <w:vAlign w:val="bottom"/>
            <w:tcBorders>
              <w:bottom w:val="single" w:sz="8" w:color="F5F5F5"/>
            </w:tcBorders>
            <w:shd w:val="clear" w:color="auto" w:fill="F5F5F5"/>
          </w:tcPr>
          <w:p>
            <w:pPr>
              <w:spacing w:after="0"/>
              <w:rPr>
                <w:sz w:val="18"/>
                <w:szCs w:val="18"/>
                <w:color w:val="auto"/>
              </w:rPr>
            </w:pPr>
          </w:p>
        </w:tc>
        <w:tc>
          <w:tcPr>
            <w:tcW w:w="1040" w:type="dxa"/>
            <w:vAlign w:val="bottom"/>
            <w:tcBorders>
              <w:bottom w:val="single" w:sz="8" w:color="F5F5F5"/>
            </w:tcBorders>
            <w:shd w:val="clear" w:color="auto" w:fill="F5F5F5"/>
          </w:tcPr>
          <w:p>
            <w:pPr>
              <w:jc w:val="right"/>
              <w:spacing w:after="0" w:line="213" w:lineRule="exact"/>
              <w:rPr>
                <w:sz w:val="20"/>
                <w:szCs w:val="20"/>
                <w:color w:val="auto"/>
              </w:rPr>
            </w:pPr>
            <w:r>
              <w:rPr>
                <w:rFonts w:ascii="Calibri" w:cs="Calibri" w:eastAsia="Calibri" w:hAnsi="Calibri"/>
                <w:sz w:val="18"/>
                <w:szCs w:val="18"/>
                <w:color w:val="auto"/>
              </w:rPr>
              <w:t>(1,278)</w:t>
            </w:r>
          </w:p>
        </w:tc>
        <w:tc>
          <w:tcPr>
            <w:tcW w:w="40" w:type="dxa"/>
            <w:vAlign w:val="bottom"/>
            <w:tcBorders>
              <w:bottom w:val="single" w:sz="8" w:color="F5F5F5"/>
            </w:tcBorders>
            <w:shd w:val="clear" w:color="auto" w:fill="F5F5F5"/>
          </w:tcPr>
          <w:p>
            <w:pPr>
              <w:spacing w:after="0"/>
              <w:rPr>
                <w:sz w:val="18"/>
                <w:szCs w:val="18"/>
                <w:color w:val="auto"/>
              </w:rPr>
            </w:pPr>
          </w:p>
        </w:tc>
        <w:tc>
          <w:tcPr>
            <w:tcW w:w="540" w:type="dxa"/>
            <w:vAlign w:val="bottom"/>
            <w:tcBorders>
              <w:bottom w:val="single" w:sz="8" w:color="F5F5F5"/>
            </w:tcBorders>
            <w:shd w:val="clear" w:color="auto" w:fill="F5F5F5"/>
          </w:tcPr>
          <w:p>
            <w:pPr>
              <w:spacing w:after="0"/>
              <w:rPr>
                <w:sz w:val="18"/>
                <w:szCs w:val="18"/>
                <w:color w:val="auto"/>
              </w:rPr>
            </w:pPr>
          </w:p>
        </w:tc>
        <w:tc>
          <w:tcPr>
            <w:tcW w:w="660" w:type="dxa"/>
            <w:vAlign w:val="bottom"/>
            <w:tcBorders>
              <w:bottom w:val="single" w:sz="8" w:color="F5F5F5"/>
            </w:tcBorders>
            <w:shd w:val="clear" w:color="auto" w:fill="F5F5F5"/>
          </w:tcPr>
          <w:p>
            <w:pPr>
              <w:jc w:val="right"/>
              <w:spacing w:after="0" w:line="213" w:lineRule="exact"/>
              <w:rPr>
                <w:sz w:val="20"/>
                <w:szCs w:val="20"/>
                <w:color w:val="auto"/>
              </w:rPr>
            </w:pPr>
            <w:r>
              <w:rPr>
                <w:rFonts w:ascii="Calibri" w:cs="Calibri" w:eastAsia="Calibri" w:hAnsi="Calibri"/>
                <w:sz w:val="18"/>
                <w:szCs w:val="18"/>
                <w:color w:val="auto"/>
              </w:rPr>
              <w:t>74,302</w:t>
            </w:r>
          </w:p>
        </w:tc>
        <w:tc>
          <w:tcPr>
            <w:tcW w:w="0" w:type="dxa"/>
            <w:vAlign w:val="bottom"/>
          </w:tcPr>
          <w:p>
            <w:pPr>
              <w:spacing w:after="0"/>
              <w:rPr>
                <w:sz w:val="1"/>
                <w:szCs w:val="1"/>
                <w:color w:val="auto"/>
              </w:rPr>
            </w:pPr>
          </w:p>
        </w:tc>
      </w:tr>
      <w:tr>
        <w:trPr>
          <w:trHeight w:val="233"/>
        </w:trPr>
        <w:tc>
          <w:tcPr>
            <w:tcW w:w="6580" w:type="dxa"/>
            <w:vAlign w:val="bottom"/>
          </w:tcPr>
          <w:p>
            <w:pPr>
              <w:ind w:left="60"/>
              <w:spacing w:after="0" w:line="215" w:lineRule="exact"/>
              <w:rPr>
                <w:sz w:val="20"/>
                <w:szCs w:val="20"/>
                <w:color w:val="auto"/>
              </w:rPr>
            </w:pPr>
            <w:r>
              <w:rPr>
                <w:rFonts w:ascii="Calibri" w:cs="Calibri" w:eastAsia="Calibri" w:hAnsi="Calibri"/>
                <w:sz w:val="18"/>
                <w:szCs w:val="18"/>
                <w:color w:val="auto"/>
              </w:rPr>
              <w:t>Equity in loss of unconsolidated joint ventures</w:t>
            </w: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9,866</w:t>
            </w: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58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Loss on sale or write down of assets, net</w:t>
            </w:r>
          </w:p>
        </w:tc>
        <w:tc>
          <w:tcPr>
            <w:tcW w:w="140" w:type="dxa"/>
            <w:vAlign w:val="bottom"/>
            <w:tcBorders>
              <w:bottom w:val="single" w:sz="8" w:color="F5F5F5"/>
            </w:tcBorders>
            <w:shd w:val="clear" w:color="auto" w:fill="F5F5F5"/>
          </w:tcPr>
          <w:p>
            <w:pPr>
              <w:spacing w:after="0"/>
              <w:rPr>
                <w:sz w:val="22"/>
                <w:szCs w:val="22"/>
                <w:color w:val="auto"/>
              </w:rPr>
            </w:pPr>
          </w:p>
        </w:tc>
        <w:tc>
          <w:tcPr>
            <w:tcW w:w="104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9</w:t>
            </w:r>
          </w:p>
        </w:tc>
        <w:tc>
          <w:tcPr>
            <w:tcW w:w="40" w:type="dxa"/>
            <w:vAlign w:val="bottom"/>
            <w:tcBorders>
              <w:bottom w:val="single" w:sz="8" w:color="F5F5F5"/>
            </w:tcBorders>
            <w:shd w:val="clear" w:color="auto" w:fill="F5F5F5"/>
          </w:tcPr>
          <w:p>
            <w:pPr>
              <w:spacing w:after="0"/>
              <w:rPr>
                <w:sz w:val="22"/>
                <w:szCs w:val="22"/>
                <w:color w:val="auto"/>
              </w:rPr>
            </w:pPr>
          </w:p>
        </w:tc>
        <w:tc>
          <w:tcPr>
            <w:tcW w:w="540" w:type="dxa"/>
            <w:vAlign w:val="bottom"/>
            <w:tcBorders>
              <w:bottom w:val="single" w:sz="8" w:color="F5F5F5"/>
            </w:tcBorders>
            <w:shd w:val="clear" w:color="auto" w:fill="F5F5F5"/>
          </w:tcPr>
          <w:p>
            <w:pPr>
              <w:spacing w:after="0"/>
              <w:rPr>
                <w:sz w:val="22"/>
                <w:szCs w:val="22"/>
                <w:color w:val="auto"/>
              </w:rPr>
            </w:pPr>
          </w:p>
        </w:tc>
        <w:tc>
          <w:tcPr>
            <w:tcW w:w="66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(721)</w:t>
            </w:r>
          </w:p>
        </w:tc>
        <w:tc>
          <w:tcPr>
            <w:tcW w:w="0" w:type="dxa"/>
            <w:vAlign w:val="bottom"/>
          </w:tcPr>
          <w:p>
            <w:pPr>
              <w:spacing w:after="0"/>
              <w:rPr>
                <w:sz w:val="1"/>
                <w:szCs w:val="1"/>
                <w:color w:val="auto"/>
              </w:rPr>
            </w:pPr>
          </w:p>
        </w:tc>
      </w:tr>
      <w:tr>
        <w:trPr>
          <w:trHeight w:val="213"/>
        </w:trPr>
        <w:tc>
          <w:tcPr>
            <w:tcW w:w="6580" w:type="dxa"/>
            <w:vAlign w:val="bottom"/>
          </w:tcPr>
          <w:p>
            <w:pPr>
              <w:ind w:left="60"/>
              <w:spacing w:after="0" w:line="195" w:lineRule="exact"/>
              <w:rPr>
                <w:sz w:val="20"/>
                <w:szCs w:val="20"/>
                <w:color w:val="auto"/>
              </w:rPr>
            </w:pPr>
            <w:r>
              <w:rPr>
                <w:rFonts w:ascii="Calibri" w:cs="Calibri" w:eastAsia="Calibri" w:hAnsi="Calibri"/>
                <w:sz w:val="18"/>
                <w:szCs w:val="18"/>
                <w:color w:val="auto"/>
              </w:rPr>
              <w:t>Net income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(1,058)</w:t>
            </w:r>
          </w:p>
        </w:tc>
        <w:tc>
          <w:tcPr>
            <w:tcW w:w="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58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Less net income atributable to noncontrolling interests</w:t>
            </w:r>
          </w:p>
        </w:tc>
        <w:tc>
          <w:tcPr>
            <w:tcW w:w="140" w:type="dxa"/>
            <w:vAlign w:val="bottom"/>
            <w:tcBorders>
              <w:bottom w:val="single" w:sz="8" w:color="F5F5F5"/>
            </w:tcBorders>
            <w:shd w:val="clear" w:color="auto" w:fill="F5F5F5"/>
          </w:tcPr>
          <w:p>
            <w:pPr>
              <w:spacing w:after="0"/>
              <w:rPr>
                <w:sz w:val="22"/>
                <w:szCs w:val="22"/>
                <w:color w:val="auto"/>
              </w:rPr>
            </w:pPr>
          </w:p>
        </w:tc>
        <w:tc>
          <w:tcPr>
            <w:tcW w:w="104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(1,058)</w:t>
            </w:r>
          </w:p>
        </w:tc>
        <w:tc>
          <w:tcPr>
            <w:tcW w:w="40" w:type="dxa"/>
            <w:vAlign w:val="bottom"/>
            <w:tcBorders>
              <w:bottom w:val="single" w:sz="8" w:color="F5F5F5"/>
            </w:tcBorders>
            <w:shd w:val="clear" w:color="auto" w:fill="F5F5F5"/>
          </w:tcPr>
          <w:p>
            <w:pPr>
              <w:spacing w:after="0"/>
              <w:rPr>
                <w:sz w:val="22"/>
                <w:szCs w:val="22"/>
                <w:color w:val="auto"/>
              </w:rPr>
            </w:pPr>
          </w:p>
        </w:tc>
        <w:tc>
          <w:tcPr>
            <w:tcW w:w="540" w:type="dxa"/>
            <w:vAlign w:val="bottom"/>
            <w:tcBorders>
              <w:bottom w:val="single" w:sz="8" w:color="F5F5F5"/>
            </w:tcBorders>
            <w:shd w:val="clear" w:color="auto" w:fill="F5F5F5"/>
          </w:tcPr>
          <w:p>
            <w:pPr>
              <w:spacing w:after="0"/>
              <w:rPr>
                <w:sz w:val="22"/>
                <w:szCs w:val="22"/>
                <w:color w:val="auto"/>
              </w:rPr>
            </w:pPr>
          </w:p>
        </w:tc>
        <w:tc>
          <w:tcPr>
            <w:tcW w:w="66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9"/>
        </w:trPr>
        <w:tc>
          <w:tcPr>
            <w:tcW w:w="6580" w:type="dxa"/>
            <w:vAlign w:val="bottom"/>
          </w:tcPr>
          <w:p>
            <w:pPr>
              <w:ind w:left="60"/>
              <w:spacing w:after="0" w:line="195" w:lineRule="exact"/>
              <w:rPr>
                <w:sz w:val="20"/>
                <w:szCs w:val="20"/>
                <w:color w:val="auto"/>
              </w:rPr>
            </w:pPr>
            <w:r>
              <w:rPr>
                <w:rFonts w:ascii="Calibri" w:cs="Calibri" w:eastAsia="Calibri" w:hAnsi="Calibri"/>
                <w:sz w:val="18"/>
                <w:szCs w:val="18"/>
                <w:color w:val="auto"/>
              </w:rPr>
              <w:t>Net income atributable to the Company</w:t>
            </w:r>
          </w:p>
        </w:tc>
        <w:tc>
          <w:tcPr>
            <w:tcW w:w="1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10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8"/>
                <w:szCs w:val="18"/>
                <w:color w:val="auto"/>
              </w:rPr>
            </w:pPr>
          </w:p>
        </w:tc>
        <w:tc>
          <w:tcPr>
            <w:tcW w:w="540" w:type="dxa"/>
            <w:vAlign w:val="bottom"/>
            <w:tcBorders>
              <w:top w:val="single" w:sz="8" w:color="auto"/>
              <w:bottom w:val="single" w:sz="8" w:color="auto"/>
            </w:tcBorders>
          </w:tcPr>
          <w:p>
            <w:pPr>
              <w:ind w:left="60"/>
              <w:spacing w:after="0" w:line="209" w:lineRule="exact"/>
              <w:rPr>
                <w:sz w:val="20"/>
                <w:szCs w:val="20"/>
                <w:color w:val="auto"/>
              </w:rPr>
            </w:pPr>
            <w:r>
              <w:rPr>
                <w:rFonts w:ascii="Calibri" w:cs="Calibri" w:eastAsia="Calibri" w:hAnsi="Calibri"/>
                <w:sz w:val="18"/>
                <w:szCs w:val="18"/>
                <w:color w:val="auto"/>
              </w:rPr>
              <w:t>$</w:t>
            </w:r>
          </w:p>
        </w:tc>
        <w:tc>
          <w:tcPr>
            <w:tcW w:w="6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00" w:hanging="396"/>
        <w:spacing w:after="0"/>
        <w:tabs>
          <w:tab w:leader="none" w:pos="40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Represents the Company’s partners’ share of consolidated joint ventures.</w:t>
      </w:r>
    </w:p>
    <w:p>
      <w:pPr>
        <w:spacing w:after="0" w:line="167" w:lineRule="exact"/>
        <w:rPr>
          <w:rFonts w:ascii="Calibri" w:cs="Calibri" w:eastAsia="Calibri" w:hAnsi="Calibri"/>
          <w:sz w:val="14"/>
          <w:szCs w:val="14"/>
          <w:color w:val="auto"/>
        </w:rPr>
      </w:pPr>
    </w:p>
    <w:p>
      <w:pPr>
        <w:ind w:left="400" w:right="479" w:hanging="396"/>
        <w:spacing w:after="0" w:line="245" w:lineRule="auto"/>
        <w:tabs>
          <w:tab w:leader="none" w:pos="40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For the three months ended March 31, 2026, other income includes a $9.5 million reducton to adjust to market the Company's share of non- real estate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b w:val="1"/>
          <w:bCs w:val="1"/>
          <w:color w:val="auto"/>
        </w:rPr>
        <w:t>THE MACERICH COMPANY</w:t>
      </w:r>
    </w:p>
    <w:p>
      <w:pPr>
        <w:jc w:val="center"/>
        <w:ind w:right="279"/>
        <w:spacing w:after="0" w:line="206" w:lineRule="auto"/>
        <w:rPr>
          <w:sz w:val="20"/>
          <w:szCs w:val="20"/>
          <w:color w:val="auto"/>
        </w:rPr>
      </w:pPr>
      <w:r>
        <w:rPr>
          <w:rFonts w:ascii="Calibri" w:cs="Calibri" w:eastAsia="Calibri" w:hAnsi="Calibri"/>
          <w:sz w:val="18"/>
          <w:szCs w:val="18"/>
          <w:b w:val="1"/>
          <w:bCs w:val="1"/>
          <w:color w:val="auto"/>
        </w:rPr>
        <w:t>NON-GAAP PRO RATA FINANCIAL INFORMATION (UNAUDITED)</w:t>
      </w:r>
    </w:p>
    <w:p>
      <w:pPr>
        <w:jc w:val="center"/>
        <w:ind w:right="179"/>
        <w:spacing w:after="0" w:line="221" w:lineRule="auto"/>
        <w:rPr>
          <w:sz w:val="20"/>
          <w:szCs w:val="20"/>
          <w:color w:val="auto"/>
        </w:rPr>
      </w:pPr>
      <w:r>
        <w:rPr>
          <w:rFonts w:ascii="Calibri" w:cs="Calibri" w:eastAsia="Calibri" w:hAnsi="Calibri"/>
          <w:sz w:val="18"/>
          <w:szCs w:val="18"/>
          <w:b w:val="1"/>
          <w:bCs w:val="1"/>
          <w:color w:val="auto"/>
        </w:rPr>
        <w:t>(DOLLARS IN THOUSANDS)</w:t>
      </w:r>
    </w:p>
    <w:p>
      <w:pPr>
        <w:sectPr>
          <w:pgSz w:w="11900" w:h="16838" w:orient="portrait"/>
          <w:cols w:equalWidth="0" w:num="1">
            <w:col w:w="9379"/>
          </w:cols>
          <w:pgMar w:left="1080" w:top="396" w:right="1440"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4"/>
          </w:tcPr>
          <w:p>
            <w:pPr>
              <w:jc w:val="right"/>
              <w:ind w:right="571"/>
              <w:spacing w:after="0"/>
              <w:rPr>
                <w:sz w:val="20"/>
                <w:szCs w:val="20"/>
                <w:color w:val="auto"/>
              </w:rPr>
            </w:pPr>
            <w:r>
              <w:rPr>
                <w:rFonts w:ascii="Calibri" w:cs="Calibri" w:eastAsia="Calibri" w:hAnsi="Calibri"/>
                <w:sz w:val="14"/>
                <w:szCs w:val="14"/>
                <w:b w:val="1"/>
                <w:bCs w:val="1"/>
                <w:color w:val="auto"/>
              </w:rPr>
              <w:t>As of March 31, 2026</w:t>
            </w:r>
          </w:p>
        </w:tc>
        <w:tc>
          <w:tcPr>
            <w:tcW w:w="0" w:type="dxa"/>
            <w:vAlign w:val="bottom"/>
          </w:tcPr>
          <w:p>
            <w:pPr>
              <w:spacing w:after="0"/>
              <w:rPr>
                <w:sz w:val="1"/>
                <w:szCs w:val="1"/>
                <w:color w:val="auto"/>
              </w:rPr>
            </w:pPr>
          </w:p>
        </w:tc>
      </w:tr>
      <w:tr>
        <w:trPr>
          <w:trHeight w:val="81"/>
        </w:trPr>
        <w:tc>
          <w:tcPr>
            <w:tcW w:w="67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2"/>
          </w:tcPr>
          <w:p>
            <w:pPr>
              <w:jc w:val="center"/>
              <w:ind w:right="220"/>
              <w:spacing w:after="0" w:line="61" w:lineRule="exact"/>
              <w:rPr>
                <w:sz w:val="20"/>
                <w:szCs w:val="20"/>
                <w:color w:val="auto"/>
              </w:rPr>
            </w:pPr>
            <w:r>
              <w:rPr>
                <w:rFonts w:ascii="Calibri" w:cs="Calibri" w:eastAsia="Calibri" w:hAnsi="Calibri"/>
                <w:sz w:val="6"/>
                <w:szCs w:val="6"/>
                <w:b w:val="1"/>
                <w:bCs w:val="1"/>
                <w:color w:val="auto"/>
              </w:rPr>
              <w:t>Noncontrolling</w:t>
            </w:r>
          </w:p>
        </w:tc>
        <w:tc>
          <w:tcPr>
            <w:tcW w:w="1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20"/>
              <w:spacing w:after="0" w:line="155" w:lineRule="exact"/>
              <w:rPr>
                <w:sz w:val="20"/>
                <w:szCs w:val="20"/>
                <w:color w:val="auto"/>
              </w:rPr>
            </w:pPr>
            <w:r>
              <w:rPr>
                <w:rFonts w:ascii="Calibri" w:cs="Calibri" w:eastAsia="Calibri" w:hAnsi="Calibri"/>
                <w:sz w:val="14"/>
                <w:szCs w:val="14"/>
                <w:b w:val="1"/>
                <w:bCs w:val="1"/>
                <w:color w:val="auto"/>
              </w:rPr>
              <w:t>Interests of</w:t>
            </w:r>
          </w:p>
        </w:tc>
        <w:tc>
          <w:tcPr>
            <w:tcW w:w="1260" w:type="dxa"/>
            <w:vAlign w:val="bottom"/>
            <w:gridSpan w:val="2"/>
          </w:tcPr>
          <w:p>
            <w:pPr>
              <w:jc w:val="center"/>
              <w:spacing w:after="0" w:line="155" w:lineRule="exact"/>
              <w:rPr>
                <w:sz w:val="20"/>
                <w:szCs w:val="20"/>
                <w:color w:val="auto"/>
              </w:rPr>
            </w:pPr>
            <w:r>
              <w:rPr>
                <w:rFonts w:ascii="Calibri" w:cs="Calibri" w:eastAsia="Calibri" w:hAnsi="Calibri"/>
                <w:sz w:val="14"/>
                <w:szCs w:val="14"/>
                <w:b w:val="1"/>
                <w:bCs w:val="1"/>
                <w:color w:val="auto"/>
              </w:rPr>
              <w:t>Company's Share</w:t>
            </w:r>
          </w:p>
        </w:tc>
        <w:tc>
          <w:tcPr>
            <w:tcW w:w="0" w:type="dxa"/>
            <w:vAlign w:val="bottom"/>
          </w:tcPr>
          <w:p>
            <w:pPr>
              <w:spacing w:after="0"/>
              <w:rPr>
                <w:sz w:val="1"/>
                <w:szCs w:val="1"/>
                <w:color w:val="auto"/>
              </w:rPr>
            </w:pPr>
          </w:p>
        </w:tc>
      </w:tr>
      <w:tr>
        <w:trPr>
          <w:trHeight w:val="136"/>
        </w:trPr>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40"/>
              <w:spacing w:after="0" w:line="136" w:lineRule="exact"/>
              <w:rPr>
                <w:sz w:val="20"/>
                <w:szCs w:val="20"/>
                <w:color w:val="auto"/>
              </w:rPr>
            </w:pPr>
            <w:r>
              <w:rPr>
                <w:rFonts w:ascii="Calibri" w:cs="Calibri" w:eastAsia="Calibri" w:hAnsi="Calibri"/>
                <w:sz w:val="14"/>
                <w:szCs w:val="14"/>
                <w:b w:val="1"/>
                <w:bCs w:val="1"/>
                <w:color w:val="auto"/>
              </w:rPr>
              <w:t>Consolidated</w:t>
            </w:r>
          </w:p>
        </w:tc>
        <w:tc>
          <w:tcPr>
            <w:tcW w:w="1260" w:type="dxa"/>
            <w:vAlign w:val="bottom"/>
            <w:gridSpan w:val="2"/>
          </w:tcPr>
          <w:p>
            <w:pPr>
              <w:jc w:val="center"/>
              <w:spacing w:after="0" w:line="136" w:lineRule="exact"/>
              <w:rPr>
                <w:sz w:val="20"/>
                <w:szCs w:val="20"/>
                <w:color w:val="auto"/>
              </w:rPr>
            </w:pPr>
            <w:r>
              <w:rPr>
                <w:rFonts w:ascii="Calibri" w:cs="Calibri" w:eastAsia="Calibri" w:hAnsi="Calibri"/>
                <w:sz w:val="14"/>
                <w:szCs w:val="14"/>
                <w:b w:val="1"/>
                <w:bCs w:val="1"/>
                <w:color w:val="auto"/>
              </w:rPr>
              <w:t>of Unconsolidated</w:t>
            </w:r>
          </w:p>
        </w:tc>
        <w:tc>
          <w:tcPr>
            <w:tcW w:w="0" w:type="dxa"/>
            <w:vAlign w:val="bottom"/>
          </w:tcPr>
          <w:p>
            <w:pPr>
              <w:spacing w:after="0"/>
              <w:rPr>
                <w:sz w:val="1"/>
                <w:szCs w:val="1"/>
                <w:color w:val="auto"/>
              </w:rPr>
            </w:pPr>
          </w:p>
        </w:tc>
      </w:tr>
      <w:tr>
        <w:trPr>
          <w:trHeight w:val="170"/>
        </w:trPr>
        <w:tc>
          <w:tcPr>
            <w:tcW w:w="6740" w:type="dxa"/>
            <w:vAlign w:val="bottom"/>
          </w:tcPr>
          <w:p>
            <w:pPr>
              <w:spacing w:after="0"/>
              <w:rPr>
                <w:sz w:val="14"/>
                <w:szCs w:val="14"/>
                <w:color w:val="auto"/>
              </w:rPr>
            </w:pPr>
          </w:p>
        </w:tc>
        <w:tc>
          <w:tcPr>
            <w:tcW w:w="1300" w:type="dxa"/>
            <w:vAlign w:val="bottom"/>
            <w:gridSpan w:val="3"/>
          </w:tcPr>
          <w:p>
            <w:pPr>
              <w:jc w:val="center"/>
              <w:ind w:right="60"/>
              <w:spacing w:after="0"/>
              <w:rPr>
                <w:sz w:val="20"/>
                <w:szCs w:val="20"/>
                <w:color w:val="auto"/>
              </w:rPr>
            </w:pPr>
            <w:r>
              <w:rPr>
                <w:rFonts w:ascii="Calibri" w:cs="Calibri" w:eastAsia="Calibri" w:hAnsi="Calibri"/>
                <w:sz w:val="14"/>
                <w:szCs w:val="14"/>
                <w:b w:val="1"/>
                <w:bCs w:val="1"/>
                <w:color w:val="auto"/>
              </w:rPr>
              <w:t>Joint Ventures (a)</w:t>
            </w:r>
          </w:p>
        </w:tc>
        <w:tc>
          <w:tcPr>
            <w:tcW w:w="180" w:type="dxa"/>
            <w:vAlign w:val="bottom"/>
          </w:tcPr>
          <w:p>
            <w:pPr>
              <w:spacing w:after="0"/>
              <w:rPr>
                <w:sz w:val="14"/>
                <w:szCs w:val="14"/>
                <w:color w:val="auto"/>
              </w:rPr>
            </w:pPr>
          </w:p>
        </w:tc>
        <w:tc>
          <w:tcPr>
            <w:tcW w:w="1080" w:type="dxa"/>
            <w:vAlign w:val="bottom"/>
          </w:tcPr>
          <w:p>
            <w:pPr>
              <w:jc w:val="center"/>
              <w:ind w:right="91"/>
              <w:spacing w:after="0"/>
              <w:rPr>
                <w:sz w:val="20"/>
                <w:szCs w:val="20"/>
                <w:color w:val="auto"/>
              </w:rPr>
            </w:pPr>
            <w:r>
              <w:rPr>
                <w:rFonts w:ascii="Calibri" w:cs="Calibri" w:eastAsia="Calibri" w:hAnsi="Calibri"/>
                <w:sz w:val="14"/>
                <w:szCs w:val="14"/>
                <w:b w:val="1"/>
                <w:bCs w:val="1"/>
                <w:color w:val="auto"/>
              </w:rPr>
              <w:t>Joint Ventures</w:t>
            </w:r>
          </w:p>
        </w:tc>
        <w:tc>
          <w:tcPr>
            <w:tcW w:w="0" w:type="dxa"/>
            <w:vAlign w:val="bottom"/>
          </w:tcPr>
          <w:p>
            <w:pPr>
              <w:spacing w:after="0"/>
              <w:rPr>
                <w:sz w:val="1"/>
                <w:szCs w:val="1"/>
                <w:color w:val="auto"/>
              </w:rPr>
            </w:pPr>
          </w:p>
        </w:tc>
      </w:tr>
      <w:tr>
        <w:trPr>
          <w:trHeight w:val="181"/>
        </w:trPr>
        <w:tc>
          <w:tcPr>
            <w:tcW w:w="6740" w:type="dxa"/>
            <w:vAlign w:val="bottom"/>
            <w:vMerge w:val="restart"/>
          </w:tcPr>
          <w:p>
            <w:pPr>
              <w:ind w:left="60"/>
              <w:spacing w:after="0"/>
              <w:rPr>
                <w:sz w:val="20"/>
                <w:szCs w:val="20"/>
                <w:color w:val="auto"/>
              </w:rPr>
            </w:pPr>
            <w:r>
              <w:rPr>
                <w:rFonts w:ascii="Calibri" w:cs="Calibri" w:eastAsia="Calibri" w:hAnsi="Calibri"/>
                <w:sz w:val="18"/>
                <w:szCs w:val="18"/>
                <w:color w:val="auto"/>
              </w:rPr>
              <w:t>ASSETS:</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6740" w:type="dxa"/>
            <w:vAlign w:val="bottom"/>
          </w:tcPr>
          <w:p>
            <w:pPr>
              <w:ind w:left="60"/>
              <w:spacing w:after="0"/>
              <w:rPr>
                <w:sz w:val="20"/>
                <w:szCs w:val="20"/>
                <w:color w:val="auto"/>
              </w:rPr>
            </w:pPr>
            <w:r>
              <w:rPr>
                <w:rFonts w:ascii="Calibri" w:cs="Calibri" w:eastAsia="Calibri" w:hAnsi="Calibri"/>
                <w:sz w:val="18"/>
                <w:szCs w:val="18"/>
                <w:color w:val="auto"/>
              </w:rPr>
              <w:t>Property, net (b)</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(18,593)</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1,988,167</w:t>
            </w:r>
          </w:p>
        </w:tc>
        <w:tc>
          <w:tcPr>
            <w:tcW w:w="0" w:type="dxa"/>
            <w:vAlign w:val="bottom"/>
          </w:tcPr>
          <w:p>
            <w:pPr>
              <w:spacing w:after="0"/>
              <w:rPr>
                <w:sz w:val="1"/>
                <w:szCs w:val="1"/>
                <w:color w:val="auto"/>
              </w:rPr>
            </w:pPr>
          </w:p>
        </w:tc>
      </w:tr>
      <w:tr>
        <w:trPr>
          <w:trHeight w:val="257"/>
        </w:trPr>
        <w:tc>
          <w:tcPr>
            <w:tcW w:w="6740" w:type="dxa"/>
            <w:vAlign w:val="bottom"/>
          </w:tcPr>
          <w:p>
            <w:pPr>
              <w:ind w:left="60"/>
              <w:spacing w:after="0"/>
              <w:rPr>
                <w:sz w:val="20"/>
                <w:szCs w:val="20"/>
                <w:color w:val="auto"/>
              </w:rPr>
            </w:pPr>
            <w:r>
              <w:rPr>
                <w:rFonts w:ascii="Calibri" w:cs="Calibri" w:eastAsia="Calibri" w:hAnsi="Calibri"/>
                <w:sz w:val="18"/>
                <w:szCs w:val="18"/>
                <w:color w:val="auto"/>
              </w:rPr>
              <w:t>Cash and cash equivalents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(1,534)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51,128</w:t>
            </w:r>
          </w:p>
        </w:tc>
        <w:tc>
          <w:tcPr>
            <w:tcW w:w="0" w:type="dxa"/>
            <w:vAlign w:val="bottom"/>
          </w:tcPr>
          <w:p>
            <w:pPr>
              <w:spacing w:after="0"/>
              <w:rPr>
                <w:sz w:val="1"/>
                <w:szCs w:val="1"/>
                <w:color w:val="auto"/>
              </w:rPr>
            </w:pPr>
          </w:p>
        </w:tc>
      </w:tr>
      <w:tr>
        <w:trPr>
          <w:trHeight w:val="257"/>
        </w:trPr>
        <w:tc>
          <w:tcPr>
            <w:tcW w:w="6740" w:type="dxa"/>
            <w:vAlign w:val="bottom"/>
          </w:tcPr>
          <w:p>
            <w:pPr>
              <w:ind w:left="60"/>
              <w:spacing w:after="0"/>
              <w:rPr>
                <w:sz w:val="20"/>
                <w:szCs w:val="20"/>
                <w:color w:val="auto"/>
              </w:rPr>
            </w:pPr>
            <w:r>
              <w:rPr>
                <w:rFonts w:ascii="Calibri" w:cs="Calibri" w:eastAsia="Calibri" w:hAnsi="Calibri"/>
                <w:sz w:val="18"/>
                <w:szCs w:val="18"/>
                <w:color w:val="auto"/>
              </w:rPr>
              <w:t>Restricted cash</w:t>
            </w:r>
          </w:p>
        </w:tc>
        <w:tc>
          <w:tcPr>
            <w:tcW w:w="16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15,367</w:t>
            </w:r>
          </w:p>
        </w:tc>
        <w:tc>
          <w:tcPr>
            <w:tcW w:w="0" w:type="dxa"/>
            <w:vAlign w:val="bottom"/>
          </w:tcPr>
          <w:p>
            <w:pPr>
              <w:spacing w:after="0"/>
              <w:rPr>
                <w:sz w:val="1"/>
                <w:szCs w:val="1"/>
                <w:color w:val="auto"/>
              </w:rPr>
            </w:pPr>
          </w:p>
        </w:tc>
      </w:tr>
      <w:tr>
        <w:trPr>
          <w:trHeight w:val="256"/>
        </w:trPr>
        <w:tc>
          <w:tcPr>
            <w:tcW w:w="6740" w:type="dxa"/>
            <w:vAlign w:val="bottom"/>
          </w:tcPr>
          <w:p>
            <w:pPr>
              <w:ind w:left="60"/>
              <w:spacing w:after="0"/>
              <w:rPr>
                <w:sz w:val="20"/>
                <w:szCs w:val="20"/>
                <w:color w:val="auto"/>
              </w:rPr>
            </w:pPr>
            <w:r>
              <w:rPr>
                <w:rFonts w:ascii="Calibri" w:cs="Calibri" w:eastAsia="Calibri" w:hAnsi="Calibri"/>
                <w:sz w:val="18"/>
                <w:szCs w:val="18"/>
                <w:color w:val="auto"/>
              </w:rPr>
              <w:t>Tenant and other receivables, net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(209)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53,453</w:t>
            </w:r>
          </w:p>
        </w:tc>
        <w:tc>
          <w:tcPr>
            <w:tcW w:w="0" w:type="dxa"/>
            <w:vAlign w:val="bottom"/>
          </w:tcPr>
          <w:p>
            <w:pPr>
              <w:spacing w:after="0"/>
              <w:rPr>
                <w:sz w:val="1"/>
                <w:szCs w:val="1"/>
                <w:color w:val="auto"/>
              </w:rPr>
            </w:pPr>
          </w:p>
        </w:tc>
      </w:tr>
      <w:tr>
        <w:trPr>
          <w:trHeight w:val="257"/>
        </w:trPr>
        <w:tc>
          <w:tcPr>
            <w:tcW w:w="6740" w:type="dxa"/>
            <w:vAlign w:val="bottom"/>
          </w:tcPr>
          <w:p>
            <w:pPr>
              <w:ind w:left="60"/>
              <w:spacing w:after="0"/>
              <w:rPr>
                <w:sz w:val="20"/>
                <w:szCs w:val="20"/>
                <w:color w:val="auto"/>
              </w:rPr>
            </w:pPr>
            <w:r>
              <w:rPr>
                <w:rFonts w:ascii="Calibri" w:cs="Calibri" w:eastAsia="Calibri" w:hAnsi="Calibri"/>
                <w:sz w:val="18"/>
                <w:szCs w:val="18"/>
                <w:color w:val="auto"/>
              </w:rPr>
              <w:t>Right-of-use assets, net</w:t>
            </w:r>
          </w:p>
        </w:tc>
        <w:tc>
          <w:tcPr>
            <w:tcW w:w="16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65,209</w:t>
            </w:r>
          </w:p>
        </w:tc>
        <w:tc>
          <w:tcPr>
            <w:tcW w:w="0" w:type="dxa"/>
            <w:vAlign w:val="bottom"/>
          </w:tcPr>
          <w:p>
            <w:pPr>
              <w:spacing w:after="0"/>
              <w:rPr>
                <w:sz w:val="1"/>
                <w:szCs w:val="1"/>
                <w:color w:val="auto"/>
              </w:rPr>
            </w:pPr>
          </w:p>
        </w:tc>
      </w:tr>
      <w:tr>
        <w:trPr>
          <w:trHeight w:val="257"/>
        </w:trPr>
        <w:tc>
          <w:tcPr>
            <w:tcW w:w="6740" w:type="dxa"/>
            <w:vAlign w:val="bottom"/>
          </w:tcPr>
          <w:p>
            <w:pPr>
              <w:ind w:left="60"/>
              <w:spacing w:after="0"/>
              <w:rPr>
                <w:sz w:val="20"/>
                <w:szCs w:val="20"/>
                <w:color w:val="auto"/>
              </w:rPr>
            </w:pPr>
            <w:r>
              <w:rPr>
                <w:rFonts w:ascii="Calibri" w:cs="Calibri" w:eastAsia="Calibri" w:hAnsi="Calibri"/>
                <w:sz w:val="18"/>
                <w:szCs w:val="18"/>
                <w:color w:val="auto"/>
              </w:rPr>
              <w:t>Deferred charges and other assets, net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(720)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36,119</w:t>
            </w:r>
          </w:p>
        </w:tc>
        <w:tc>
          <w:tcPr>
            <w:tcW w:w="0" w:type="dxa"/>
            <w:vAlign w:val="bottom"/>
          </w:tcPr>
          <w:p>
            <w:pPr>
              <w:spacing w:after="0"/>
              <w:rPr>
                <w:sz w:val="1"/>
                <w:szCs w:val="1"/>
                <w:color w:val="auto"/>
              </w:rPr>
            </w:pPr>
          </w:p>
        </w:tc>
      </w:tr>
      <w:tr>
        <w:trPr>
          <w:trHeight w:val="257"/>
        </w:trPr>
        <w:tc>
          <w:tcPr>
            <w:tcW w:w="6740" w:type="dxa"/>
            <w:vAlign w:val="bottom"/>
          </w:tcPr>
          <w:p>
            <w:pPr>
              <w:ind w:left="60"/>
              <w:spacing w:after="0"/>
              <w:rPr>
                <w:sz w:val="20"/>
                <w:szCs w:val="20"/>
                <w:color w:val="auto"/>
              </w:rPr>
            </w:pPr>
            <w:r>
              <w:rPr>
                <w:rFonts w:ascii="Calibri" w:cs="Calibri" w:eastAsia="Calibri" w:hAnsi="Calibri"/>
                <w:sz w:val="18"/>
                <w:szCs w:val="18"/>
                <w:color w:val="auto"/>
              </w:rPr>
              <w:t>Due from afliates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43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(1,886)</w:t>
            </w:r>
          </w:p>
        </w:tc>
        <w:tc>
          <w:tcPr>
            <w:tcW w:w="0" w:type="dxa"/>
            <w:vAlign w:val="bottom"/>
          </w:tcPr>
          <w:p>
            <w:pPr>
              <w:spacing w:after="0"/>
              <w:rPr>
                <w:sz w:val="1"/>
                <w:szCs w:val="1"/>
                <w:color w:val="auto"/>
              </w:rPr>
            </w:pPr>
          </w:p>
        </w:tc>
      </w:tr>
      <w:tr>
        <w:trPr>
          <w:trHeight w:val="256"/>
        </w:trPr>
        <w:tc>
          <w:tcPr>
            <w:tcW w:w="6740" w:type="dxa"/>
            <w:vAlign w:val="bottom"/>
          </w:tcPr>
          <w:p>
            <w:pPr>
              <w:ind w:left="60"/>
              <w:spacing w:after="0"/>
              <w:rPr>
                <w:sz w:val="20"/>
                <w:szCs w:val="20"/>
                <w:color w:val="auto"/>
              </w:rPr>
            </w:pPr>
            <w:r>
              <w:rPr>
                <w:rFonts w:ascii="Calibri" w:cs="Calibri" w:eastAsia="Calibri" w:hAnsi="Calibri"/>
                <w:sz w:val="18"/>
                <w:szCs w:val="18"/>
                <w:color w:val="auto"/>
              </w:rPr>
              <w:t>Investments in unconsolidated joint ventures, at equity</w:t>
            </w:r>
          </w:p>
        </w:tc>
        <w:tc>
          <w:tcPr>
            <w:tcW w:w="16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(699,632)</w:t>
            </w:r>
          </w:p>
        </w:tc>
        <w:tc>
          <w:tcPr>
            <w:tcW w:w="0" w:type="dxa"/>
            <w:vAlign w:val="bottom"/>
          </w:tcPr>
          <w:p>
            <w:pPr>
              <w:spacing w:after="0"/>
              <w:rPr>
                <w:sz w:val="1"/>
                <w:szCs w:val="1"/>
                <w:color w:val="auto"/>
              </w:rPr>
            </w:pPr>
          </w:p>
        </w:tc>
      </w:tr>
      <w:tr>
        <w:trPr>
          <w:trHeight w:val="257"/>
        </w:trPr>
        <w:tc>
          <w:tcPr>
            <w:tcW w:w="6740" w:type="dxa"/>
            <w:vAlign w:val="bottom"/>
          </w:tcPr>
          <w:p>
            <w:pPr>
              <w:ind w:left="700"/>
              <w:spacing w:after="0"/>
              <w:rPr>
                <w:sz w:val="20"/>
                <w:szCs w:val="20"/>
                <w:color w:val="auto"/>
              </w:rPr>
            </w:pPr>
            <w:r>
              <w:rPr>
                <w:rFonts w:ascii="Calibri" w:cs="Calibri" w:eastAsia="Calibri" w:hAnsi="Calibri"/>
                <w:sz w:val="18"/>
                <w:szCs w:val="18"/>
                <w:color w:val="auto"/>
              </w:rPr>
              <w:t>Total assets</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(21,013)</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1,507,925</w:t>
            </w:r>
          </w:p>
        </w:tc>
        <w:tc>
          <w:tcPr>
            <w:tcW w:w="0" w:type="dxa"/>
            <w:vAlign w:val="bottom"/>
          </w:tcPr>
          <w:p>
            <w:pPr>
              <w:spacing w:after="0"/>
              <w:rPr>
                <w:sz w:val="1"/>
                <w:szCs w:val="1"/>
                <w:color w:val="auto"/>
              </w:rPr>
            </w:pPr>
          </w:p>
        </w:tc>
      </w:tr>
      <w:tr>
        <w:trPr>
          <w:trHeight w:val="118"/>
        </w:trPr>
        <w:tc>
          <w:tcPr>
            <w:tcW w:w="6740" w:type="dxa"/>
            <w:vAlign w:val="bottom"/>
            <w:vMerge w:val="restart"/>
          </w:tcPr>
          <w:p>
            <w:pPr>
              <w:ind w:left="60"/>
              <w:spacing w:after="0"/>
              <w:rPr>
                <w:sz w:val="20"/>
                <w:szCs w:val="20"/>
                <w:color w:val="auto"/>
              </w:rPr>
            </w:pPr>
            <w:r>
              <w:rPr>
                <w:rFonts w:ascii="Calibri" w:cs="Calibri" w:eastAsia="Calibri" w:hAnsi="Calibri"/>
                <w:sz w:val="18"/>
                <w:szCs w:val="18"/>
                <w:color w:val="auto"/>
              </w:rPr>
              <w:t>LIABILITIES AND EQUITY:</w:t>
            </w: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67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740" w:type="dxa"/>
            <w:vAlign w:val="bottom"/>
          </w:tcPr>
          <w:p>
            <w:pPr>
              <w:ind w:left="60"/>
              <w:spacing w:after="0"/>
              <w:rPr>
                <w:sz w:val="20"/>
                <w:szCs w:val="20"/>
                <w:color w:val="auto"/>
              </w:rPr>
            </w:pPr>
            <w:r>
              <w:rPr>
                <w:rFonts w:ascii="Calibri" w:cs="Calibri" w:eastAsia="Calibri" w:hAnsi="Calibri"/>
                <w:sz w:val="18"/>
                <w:szCs w:val="18"/>
                <w:color w:val="auto"/>
              </w:rPr>
              <w:t>Mortgage notes payable</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(33,084)</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1,552,246</w:t>
            </w:r>
          </w:p>
        </w:tc>
        <w:tc>
          <w:tcPr>
            <w:tcW w:w="0" w:type="dxa"/>
            <w:vAlign w:val="bottom"/>
          </w:tcPr>
          <w:p>
            <w:pPr>
              <w:spacing w:after="0"/>
              <w:rPr>
                <w:sz w:val="1"/>
                <w:szCs w:val="1"/>
                <w:color w:val="auto"/>
              </w:rPr>
            </w:pPr>
          </w:p>
        </w:tc>
      </w:tr>
      <w:tr>
        <w:trPr>
          <w:trHeight w:val="257"/>
        </w:trPr>
        <w:tc>
          <w:tcPr>
            <w:tcW w:w="6740" w:type="dxa"/>
            <w:vAlign w:val="bottom"/>
          </w:tcPr>
          <w:p>
            <w:pPr>
              <w:ind w:left="60"/>
              <w:spacing w:after="0"/>
              <w:rPr>
                <w:sz w:val="20"/>
                <w:szCs w:val="20"/>
                <w:color w:val="auto"/>
              </w:rPr>
            </w:pPr>
            <w:r>
              <w:rPr>
                <w:rFonts w:ascii="Calibri" w:cs="Calibri" w:eastAsia="Calibri" w:hAnsi="Calibri"/>
                <w:sz w:val="18"/>
                <w:szCs w:val="18"/>
                <w:color w:val="auto"/>
              </w:rPr>
              <w:t>Accounts payable and accrued expenses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(430)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30,413</w:t>
            </w:r>
          </w:p>
        </w:tc>
        <w:tc>
          <w:tcPr>
            <w:tcW w:w="0" w:type="dxa"/>
            <w:vAlign w:val="bottom"/>
          </w:tcPr>
          <w:p>
            <w:pPr>
              <w:spacing w:after="0"/>
              <w:rPr>
                <w:sz w:val="1"/>
                <w:szCs w:val="1"/>
                <w:color w:val="auto"/>
              </w:rPr>
            </w:pPr>
          </w:p>
        </w:tc>
      </w:tr>
      <w:tr>
        <w:trPr>
          <w:trHeight w:val="256"/>
        </w:trPr>
        <w:tc>
          <w:tcPr>
            <w:tcW w:w="6740" w:type="dxa"/>
            <w:vAlign w:val="bottom"/>
          </w:tcPr>
          <w:p>
            <w:pPr>
              <w:ind w:left="60"/>
              <w:spacing w:after="0"/>
              <w:rPr>
                <w:sz w:val="20"/>
                <w:szCs w:val="20"/>
                <w:color w:val="auto"/>
              </w:rPr>
            </w:pPr>
            <w:r>
              <w:rPr>
                <w:rFonts w:ascii="Calibri" w:cs="Calibri" w:eastAsia="Calibri" w:hAnsi="Calibri"/>
                <w:sz w:val="18"/>
                <w:szCs w:val="18"/>
                <w:color w:val="auto"/>
              </w:rPr>
              <w:t>Lease liabilites</w:t>
            </w:r>
          </w:p>
        </w:tc>
        <w:tc>
          <w:tcPr>
            <w:tcW w:w="16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63,573</w:t>
            </w:r>
          </w:p>
        </w:tc>
        <w:tc>
          <w:tcPr>
            <w:tcW w:w="0" w:type="dxa"/>
            <w:vAlign w:val="bottom"/>
          </w:tcPr>
          <w:p>
            <w:pPr>
              <w:spacing w:after="0"/>
              <w:rPr>
                <w:sz w:val="1"/>
                <w:szCs w:val="1"/>
                <w:color w:val="auto"/>
              </w:rPr>
            </w:pPr>
          </w:p>
        </w:tc>
      </w:tr>
      <w:tr>
        <w:trPr>
          <w:trHeight w:val="257"/>
        </w:trPr>
        <w:tc>
          <w:tcPr>
            <w:tcW w:w="6740" w:type="dxa"/>
            <w:vAlign w:val="bottom"/>
          </w:tcPr>
          <w:p>
            <w:pPr>
              <w:ind w:left="60"/>
              <w:spacing w:after="0"/>
              <w:rPr>
                <w:sz w:val="20"/>
                <w:szCs w:val="20"/>
                <w:color w:val="auto"/>
              </w:rPr>
            </w:pPr>
            <w:r>
              <w:rPr>
                <w:rFonts w:ascii="Calibri" w:cs="Calibri" w:eastAsia="Calibri" w:hAnsi="Calibri"/>
                <w:sz w:val="18"/>
                <w:szCs w:val="18"/>
                <w:color w:val="auto"/>
              </w:rPr>
              <w:t>Other accrued liabilites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(19,456)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61,577</w:t>
            </w:r>
          </w:p>
        </w:tc>
        <w:tc>
          <w:tcPr>
            <w:tcW w:w="0" w:type="dxa"/>
            <w:vAlign w:val="bottom"/>
          </w:tcPr>
          <w:p>
            <w:pPr>
              <w:spacing w:after="0"/>
              <w:rPr>
                <w:sz w:val="1"/>
                <w:szCs w:val="1"/>
                <w:color w:val="auto"/>
              </w:rPr>
            </w:pPr>
          </w:p>
        </w:tc>
      </w:tr>
      <w:tr>
        <w:trPr>
          <w:trHeight w:val="257"/>
        </w:trPr>
        <w:tc>
          <w:tcPr>
            <w:tcW w:w="6740" w:type="dxa"/>
            <w:vAlign w:val="bottom"/>
          </w:tcPr>
          <w:p>
            <w:pPr>
              <w:ind w:left="60"/>
              <w:spacing w:after="0"/>
              <w:rPr>
                <w:sz w:val="20"/>
                <w:szCs w:val="20"/>
                <w:color w:val="auto"/>
              </w:rPr>
            </w:pPr>
            <w:r>
              <w:rPr>
                <w:rFonts w:ascii="Calibri" w:cs="Calibri" w:eastAsia="Calibri" w:hAnsi="Calibri"/>
                <w:sz w:val="18"/>
                <w:szCs w:val="18"/>
                <w:color w:val="auto"/>
              </w:rPr>
              <w:t>Distributons in excess of investments in unconsolidated joint ventures</w:t>
            </w:r>
          </w:p>
        </w:tc>
        <w:tc>
          <w:tcPr>
            <w:tcW w:w="16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(199,884)</w:t>
            </w:r>
          </w:p>
        </w:tc>
        <w:tc>
          <w:tcPr>
            <w:tcW w:w="0" w:type="dxa"/>
            <w:vAlign w:val="bottom"/>
          </w:tcPr>
          <w:p>
            <w:pPr>
              <w:spacing w:after="0"/>
              <w:rPr>
                <w:sz w:val="1"/>
                <w:szCs w:val="1"/>
                <w:color w:val="auto"/>
              </w:rPr>
            </w:pPr>
          </w:p>
        </w:tc>
      </w:tr>
      <w:tr>
        <w:trPr>
          <w:trHeight w:val="257"/>
        </w:trPr>
        <w:tc>
          <w:tcPr>
            <w:tcW w:w="6740" w:type="dxa"/>
            <w:vAlign w:val="bottom"/>
          </w:tcPr>
          <w:p>
            <w:pPr>
              <w:ind w:left="700"/>
              <w:spacing w:after="0"/>
              <w:rPr>
                <w:sz w:val="20"/>
                <w:szCs w:val="20"/>
                <w:color w:val="auto"/>
              </w:rPr>
            </w:pPr>
            <w:r>
              <w:rPr>
                <w:rFonts w:ascii="Calibri" w:cs="Calibri" w:eastAsia="Calibri" w:hAnsi="Calibri"/>
                <w:sz w:val="18"/>
                <w:szCs w:val="18"/>
                <w:color w:val="auto"/>
              </w:rPr>
              <w:t>Total liabilites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(52,970)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1,507,925</w:t>
            </w:r>
          </w:p>
        </w:tc>
        <w:tc>
          <w:tcPr>
            <w:tcW w:w="0" w:type="dxa"/>
            <w:vAlign w:val="bottom"/>
          </w:tcPr>
          <w:p>
            <w:pPr>
              <w:spacing w:after="0"/>
              <w:rPr>
                <w:sz w:val="1"/>
                <w:szCs w:val="1"/>
                <w:color w:val="auto"/>
              </w:rPr>
            </w:pPr>
          </w:p>
        </w:tc>
      </w:tr>
      <w:tr>
        <w:trPr>
          <w:trHeight w:val="145"/>
        </w:trPr>
        <w:tc>
          <w:tcPr>
            <w:tcW w:w="6740" w:type="dxa"/>
            <w:vAlign w:val="bottom"/>
            <w:vMerge w:val="restart"/>
          </w:tcPr>
          <w:p>
            <w:pPr>
              <w:ind w:left="60"/>
              <w:spacing w:after="0"/>
              <w:rPr>
                <w:sz w:val="20"/>
                <w:szCs w:val="20"/>
                <w:color w:val="auto"/>
              </w:rPr>
            </w:pPr>
            <w:r>
              <w:rPr>
                <w:rFonts w:ascii="Calibri" w:cs="Calibri" w:eastAsia="Calibri" w:hAnsi="Calibri"/>
                <w:sz w:val="18"/>
                <w:szCs w:val="18"/>
                <w:color w:val="auto"/>
              </w:rPr>
              <w:t>Equity:</w:t>
            </w: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6740" w:type="dxa"/>
            <w:vAlign w:val="bottom"/>
          </w:tcPr>
          <w:p>
            <w:pPr>
              <w:ind w:left="500"/>
              <w:spacing w:after="0"/>
              <w:rPr>
                <w:sz w:val="20"/>
                <w:szCs w:val="20"/>
                <w:color w:val="auto"/>
              </w:rPr>
            </w:pPr>
            <w:r>
              <w:rPr>
                <w:rFonts w:ascii="Calibri" w:cs="Calibri" w:eastAsia="Calibri" w:hAnsi="Calibri"/>
                <w:sz w:val="18"/>
                <w:szCs w:val="18"/>
                <w:color w:val="auto"/>
              </w:rPr>
              <w:t>Stockholders' equity</w:t>
            </w:r>
          </w:p>
        </w:tc>
        <w:tc>
          <w:tcPr>
            <w:tcW w:w="16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tcPr>
          <w:p>
            <w:pPr>
              <w:ind w:left="500"/>
              <w:spacing w:after="0"/>
              <w:rPr>
                <w:sz w:val="20"/>
                <w:szCs w:val="20"/>
                <w:color w:val="auto"/>
              </w:rPr>
            </w:pPr>
            <w:r>
              <w:rPr>
                <w:rFonts w:ascii="Calibri" w:cs="Calibri" w:eastAsia="Calibri" w:hAnsi="Calibri"/>
                <w:sz w:val="18"/>
                <w:szCs w:val="18"/>
                <w:color w:val="auto"/>
              </w:rPr>
              <w:t>Noncontrolling interests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31,957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57"/>
        </w:trPr>
        <w:tc>
          <w:tcPr>
            <w:tcW w:w="6740" w:type="dxa"/>
            <w:vAlign w:val="bottom"/>
          </w:tcPr>
          <w:p>
            <w:pPr>
              <w:ind w:left="900"/>
              <w:spacing w:after="0"/>
              <w:rPr>
                <w:sz w:val="20"/>
                <w:szCs w:val="20"/>
                <w:color w:val="auto"/>
              </w:rPr>
            </w:pPr>
            <w:r>
              <w:rPr>
                <w:rFonts w:ascii="Calibri" w:cs="Calibri" w:eastAsia="Calibri" w:hAnsi="Calibri"/>
                <w:sz w:val="18"/>
                <w:szCs w:val="18"/>
                <w:color w:val="auto"/>
              </w:rPr>
              <w:t>Total equity</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31,957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56"/>
        </w:trPr>
        <w:tc>
          <w:tcPr>
            <w:tcW w:w="6740" w:type="dxa"/>
            <w:vAlign w:val="bottom"/>
          </w:tcPr>
          <w:p>
            <w:pPr>
              <w:ind w:left="900"/>
              <w:spacing w:after="0"/>
              <w:rPr>
                <w:sz w:val="20"/>
                <w:szCs w:val="20"/>
                <w:color w:val="auto"/>
              </w:rPr>
            </w:pPr>
            <w:r>
              <w:rPr>
                <w:rFonts w:ascii="Calibri" w:cs="Calibri" w:eastAsia="Calibri" w:hAnsi="Calibri"/>
                <w:sz w:val="18"/>
                <w:szCs w:val="18"/>
                <w:color w:val="auto"/>
              </w:rPr>
              <w:t>Total liabilites and equity</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(21,013)</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1,507,925</w:t>
            </w:r>
          </w:p>
        </w:tc>
        <w:tc>
          <w:tcPr>
            <w:tcW w:w="0" w:type="dxa"/>
            <w:vAlign w:val="bottom"/>
          </w:tcPr>
          <w:p>
            <w:pPr>
              <w:spacing w:after="0"/>
              <w:rPr>
                <w:sz w:val="1"/>
                <w:szCs w:val="1"/>
                <w:color w:val="auto"/>
              </w:rPr>
            </w:pPr>
          </w:p>
        </w:tc>
      </w:tr>
      <w:tr>
        <w:trPr>
          <w:trHeight w:val="118"/>
        </w:trPr>
        <w:tc>
          <w:tcPr>
            <w:tcW w:w="67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420" w:hanging="396"/>
        <w:spacing w:after="0"/>
        <w:tabs>
          <w:tab w:leader="none" w:pos="420" w:val="left"/>
        </w:tabs>
        <w:numPr>
          <w:ilvl w:val="0"/>
          <w:numId w:val="7"/>
        </w:numPr>
        <w:rPr>
          <w:rFonts w:ascii="Calibri" w:cs="Calibri" w:eastAsia="Calibri" w:hAnsi="Calibri"/>
          <w:sz w:val="14"/>
          <w:szCs w:val="14"/>
          <w:color w:val="auto"/>
        </w:rPr>
      </w:pPr>
      <w:r>
        <w:rPr>
          <w:rFonts w:ascii="Calibri" w:cs="Calibri" w:eastAsia="Calibri" w:hAnsi="Calibri"/>
          <w:sz w:val="14"/>
          <w:szCs w:val="14"/>
          <w:color w:val="auto"/>
        </w:rPr>
        <w:t>Represents the Company's partners' share of consolidated joint ventures.</w:t>
      </w:r>
    </w:p>
    <w:p>
      <w:pPr>
        <w:spacing w:after="0" w:line="167" w:lineRule="exact"/>
        <w:rPr>
          <w:rFonts w:ascii="Calibri" w:cs="Calibri" w:eastAsia="Calibri" w:hAnsi="Calibri"/>
          <w:sz w:val="14"/>
          <w:szCs w:val="14"/>
          <w:color w:val="auto"/>
        </w:rPr>
      </w:pPr>
    </w:p>
    <w:p>
      <w:pPr>
        <w:ind w:left="420" w:right="259" w:hanging="396"/>
        <w:spacing w:after="0" w:line="245" w:lineRule="auto"/>
        <w:tabs>
          <w:tab w:leader="none" w:pos="420" w:val="left"/>
        </w:tabs>
        <w:numPr>
          <w:ilvl w:val="0"/>
          <w:numId w:val="7"/>
        </w:numPr>
        <w:rPr>
          <w:rFonts w:ascii="Calibri" w:cs="Calibri" w:eastAsia="Calibri" w:hAnsi="Calibri"/>
          <w:sz w:val="14"/>
          <w:szCs w:val="14"/>
          <w:color w:val="auto"/>
        </w:rPr>
      </w:pPr>
      <w:r>
        <w:rPr>
          <w:rFonts w:ascii="Calibri" w:cs="Calibri" w:eastAsia="Calibri" w:hAnsi="Calibri"/>
          <w:sz w:val="14"/>
          <w:szCs w:val="14"/>
          <w:color w:val="auto"/>
        </w:rPr>
        <w:t>This includes $24 of constructon in progress relatng to the Company's partners' share from consolidated joint ventures and $155,764 of constructon in progress relatng to the Company's share from unconsolidated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60"/>
        <w:spacing w:after="0"/>
        <w:rPr>
          <w:sz w:val="20"/>
          <w:szCs w:val="20"/>
          <w:color w:val="auto"/>
        </w:rPr>
      </w:pPr>
      <w:r>
        <w:rPr>
          <w:rFonts w:ascii="Calibri" w:cs="Calibri" w:eastAsia="Calibri" w:hAnsi="Calibri"/>
          <w:sz w:val="18"/>
          <w:szCs w:val="18"/>
          <w:b w:val="1"/>
          <w:bCs w:val="1"/>
          <w:color w:val="auto"/>
        </w:rPr>
        <w:t>THE MACERICH COMPANY</w:t>
      </w:r>
    </w:p>
    <w:p>
      <w:pPr>
        <w:jc w:val="center"/>
        <w:ind w:right="-160"/>
        <w:spacing w:after="0" w:line="206" w:lineRule="auto"/>
        <w:rPr>
          <w:sz w:val="20"/>
          <w:szCs w:val="20"/>
          <w:color w:val="auto"/>
        </w:rPr>
      </w:pPr>
      <w:r>
        <w:rPr>
          <w:rFonts w:ascii="Calibri" w:cs="Calibri" w:eastAsia="Calibri" w:hAnsi="Calibri"/>
          <w:sz w:val="18"/>
          <w:szCs w:val="18"/>
          <w:b w:val="1"/>
          <w:bCs w:val="1"/>
          <w:color w:val="auto"/>
        </w:rPr>
        <w:t>NON GAAP PRO RATA SCHEDULE OF LEASING REVENUE (unaudited)</w:t>
      </w:r>
    </w:p>
    <w:p>
      <w:pPr>
        <w:jc w:val="center"/>
        <w:ind w:right="-280"/>
        <w:spacing w:after="0" w:line="221" w:lineRule="auto"/>
        <w:rPr>
          <w:sz w:val="20"/>
          <w:szCs w:val="20"/>
          <w:color w:val="auto"/>
        </w:rPr>
      </w:pPr>
      <w:r>
        <w:rPr>
          <w:rFonts w:ascii="Calibri" w:cs="Calibri" w:eastAsia="Calibri" w:hAnsi="Calibri"/>
          <w:sz w:val="18"/>
          <w:szCs w:val="18"/>
          <w:b w:val="1"/>
          <w:bCs w:val="1"/>
          <w:color w:val="auto"/>
        </w:rPr>
        <w:t>(Dollars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400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alibri" w:cs="Calibri" w:eastAsia="Calibri" w:hAnsi="Calibri"/>
                <w:sz w:val="14"/>
                <w:szCs w:val="14"/>
                <w:b w:val="1"/>
                <w:bCs w:val="1"/>
                <w:color w:val="auto"/>
              </w:rPr>
              <w:t>Company's</w:t>
            </w:r>
          </w:p>
        </w:tc>
        <w:tc>
          <w:tcPr>
            <w:tcW w:w="820" w:type="dxa"/>
            <w:vAlign w:val="bottom"/>
          </w:tcPr>
          <w:p>
            <w:pPr>
              <w:spacing w:after="0"/>
              <w:rPr>
                <w:sz w:val="14"/>
                <w:szCs w:val="14"/>
                <w:color w:val="auto"/>
              </w:rPr>
            </w:pPr>
          </w:p>
        </w:tc>
      </w:tr>
      <w:tr>
        <w:trPr>
          <w:trHeight w:val="175"/>
        </w:trPr>
        <w:tc>
          <w:tcPr>
            <w:tcW w:w="9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w w:val="97"/>
              </w:rPr>
              <w:t>Non-</w:t>
            </w: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Company's</w:t>
            </w:r>
          </w:p>
        </w:tc>
        <w:tc>
          <w:tcPr>
            <w:tcW w:w="1240" w:type="dxa"/>
            <w:vAlign w:val="bottom"/>
          </w:tcPr>
          <w:p>
            <w:pPr>
              <w:jc w:val="center"/>
              <w:spacing w:after="0"/>
              <w:rPr>
                <w:sz w:val="20"/>
                <w:szCs w:val="20"/>
                <w:color w:val="auto"/>
              </w:rPr>
            </w:pPr>
            <w:r>
              <w:rPr>
                <w:rFonts w:ascii="Calibri" w:cs="Calibri" w:eastAsia="Calibri" w:hAnsi="Calibri"/>
                <w:sz w:val="14"/>
                <w:szCs w:val="14"/>
                <w:b w:val="1"/>
                <w:bCs w:val="1"/>
                <w:color w:val="auto"/>
              </w:rPr>
              <w:t>Share of</w:t>
            </w:r>
          </w:p>
        </w:tc>
        <w:tc>
          <w:tcPr>
            <w:tcW w:w="820" w:type="dxa"/>
            <w:vAlign w:val="bottom"/>
          </w:tcPr>
          <w:p>
            <w:pPr>
              <w:jc w:val="center"/>
              <w:ind w:left="108"/>
              <w:spacing w:after="0"/>
              <w:rPr>
                <w:sz w:val="20"/>
                <w:szCs w:val="20"/>
                <w:color w:val="auto"/>
              </w:rPr>
            </w:pPr>
            <w:r>
              <w:rPr>
                <w:rFonts w:ascii="Calibri" w:cs="Calibri" w:eastAsia="Calibri" w:hAnsi="Calibri"/>
                <w:sz w:val="14"/>
                <w:szCs w:val="14"/>
                <w:b w:val="1"/>
                <w:bCs w:val="1"/>
                <w:color w:val="auto"/>
              </w:rPr>
              <w:t>Company's</w:t>
            </w:r>
          </w:p>
        </w:tc>
      </w:tr>
      <w:tr>
        <w:trPr>
          <w:trHeight w:val="168"/>
        </w:trPr>
        <w:tc>
          <w:tcPr>
            <w:tcW w:w="960" w:type="dxa"/>
            <w:vAlign w:val="bottom"/>
          </w:tcPr>
          <w:p>
            <w:pPr>
              <w:spacing w:after="0"/>
              <w:rPr>
                <w:sz w:val="14"/>
                <w:szCs w:val="14"/>
                <w:color w:val="auto"/>
              </w:rPr>
            </w:pPr>
          </w:p>
        </w:tc>
        <w:tc>
          <w:tcPr>
            <w:tcW w:w="110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Controlling</w:t>
            </w:r>
          </w:p>
        </w:tc>
        <w:tc>
          <w:tcPr>
            <w:tcW w:w="112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Consolidated</w:t>
            </w:r>
          </w:p>
        </w:tc>
        <w:tc>
          <w:tcPr>
            <w:tcW w:w="124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Unconsolidated</w:t>
            </w:r>
          </w:p>
        </w:tc>
        <w:tc>
          <w:tcPr>
            <w:tcW w:w="820" w:type="dxa"/>
            <w:vAlign w:val="bottom"/>
          </w:tcPr>
          <w:p>
            <w:pPr>
              <w:jc w:val="center"/>
              <w:ind w:left="88"/>
              <w:spacing w:after="0" w:line="168" w:lineRule="exact"/>
              <w:rPr>
                <w:sz w:val="20"/>
                <w:szCs w:val="20"/>
                <w:color w:val="auto"/>
              </w:rPr>
            </w:pPr>
            <w:r>
              <w:rPr>
                <w:rFonts w:ascii="Calibri" w:cs="Calibri" w:eastAsia="Calibri" w:hAnsi="Calibri"/>
                <w:sz w:val="14"/>
                <w:szCs w:val="14"/>
                <w:b w:val="1"/>
                <w:bCs w:val="1"/>
                <w:color w:val="auto"/>
              </w:rPr>
              <w:t>Total</w:t>
            </w:r>
          </w:p>
        </w:tc>
      </w:tr>
      <w:tr>
        <w:trPr>
          <w:trHeight w:val="170"/>
        </w:trPr>
        <w:tc>
          <w:tcPr>
            <w:tcW w:w="960" w:type="dxa"/>
            <w:vAlign w:val="bottom"/>
          </w:tcPr>
          <w:p>
            <w:pPr>
              <w:spacing w:after="0"/>
              <w:rPr>
                <w:sz w:val="20"/>
                <w:szCs w:val="20"/>
                <w:color w:val="auto"/>
              </w:rPr>
            </w:pPr>
            <w:r>
              <w:rPr>
                <w:rFonts w:ascii="Calibri" w:cs="Calibri" w:eastAsia="Calibri" w:hAnsi="Calibri"/>
                <w:sz w:val="14"/>
                <w:szCs w:val="14"/>
                <w:b w:val="1"/>
                <w:bCs w:val="1"/>
                <w:color w:val="auto"/>
              </w:rPr>
              <w:t>Consolidated</w:t>
            </w:r>
          </w:p>
        </w:tc>
        <w:tc>
          <w:tcPr>
            <w:tcW w:w="1100" w:type="dxa"/>
            <w:vAlign w:val="bottom"/>
          </w:tcPr>
          <w:p>
            <w:pPr>
              <w:jc w:val="center"/>
              <w:spacing w:after="0"/>
              <w:rPr>
                <w:sz w:val="20"/>
                <w:szCs w:val="20"/>
                <w:color w:val="auto"/>
              </w:rPr>
            </w:pPr>
            <w:r>
              <w:rPr>
                <w:rFonts w:ascii="Calibri" w:cs="Calibri" w:eastAsia="Calibri" w:hAnsi="Calibri"/>
                <w:sz w:val="14"/>
                <w:szCs w:val="14"/>
                <w:b w:val="1"/>
                <w:bCs w:val="1"/>
                <w:color w:val="auto"/>
              </w:rPr>
              <w:t>Interests (a)</w:t>
            </w:r>
          </w:p>
        </w:tc>
        <w:tc>
          <w:tcPr>
            <w:tcW w:w="1120" w:type="dxa"/>
            <w:vAlign w:val="bottom"/>
          </w:tcPr>
          <w:p>
            <w:pPr>
              <w:jc w:val="center"/>
              <w:spacing w:after="0"/>
              <w:rPr>
                <w:sz w:val="20"/>
                <w:szCs w:val="20"/>
                <w:color w:val="auto"/>
              </w:rPr>
            </w:pPr>
            <w:r>
              <w:rPr>
                <w:rFonts w:ascii="Calibri" w:cs="Calibri" w:eastAsia="Calibri" w:hAnsi="Calibri"/>
                <w:sz w:val="14"/>
                <w:szCs w:val="14"/>
                <w:b w:val="1"/>
                <w:bCs w:val="1"/>
                <w:color w:val="auto"/>
              </w:rPr>
              <w:t>Share</w:t>
            </w:r>
          </w:p>
        </w:tc>
        <w:tc>
          <w:tcPr>
            <w:tcW w:w="124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Joint Ventures</w:t>
            </w:r>
          </w:p>
        </w:tc>
        <w:tc>
          <w:tcPr>
            <w:tcW w:w="820" w:type="dxa"/>
            <w:vAlign w:val="bottom"/>
          </w:tcPr>
          <w:p>
            <w:pPr>
              <w:jc w:val="center"/>
              <w:ind w:left="108"/>
              <w:spacing w:after="0"/>
              <w:rPr>
                <w:sz w:val="20"/>
                <w:szCs w:val="20"/>
                <w:color w:val="auto"/>
              </w:rPr>
            </w:pPr>
            <w:r>
              <w:rPr>
                <w:rFonts w:ascii="Calibri" w:cs="Calibri" w:eastAsia="Calibri" w:hAnsi="Calibri"/>
                <w:sz w:val="14"/>
                <w:szCs w:val="14"/>
                <w:b w:val="1"/>
                <w:bCs w:val="1"/>
                <w:color w:val="auto"/>
                <w:w w:val="96"/>
              </w:rPr>
              <w:t>Share</w:t>
            </w:r>
          </w:p>
        </w:tc>
      </w:tr>
    </w:tbl>
    <w:p>
      <w:pPr>
        <w:spacing w:after="0" w:line="52" w:lineRule="exact"/>
        <w:rPr>
          <w:sz w:val="20"/>
          <w:szCs w:val="20"/>
          <w:color w:val="auto"/>
        </w:rPr>
      </w:pPr>
    </w:p>
    <w:p>
      <w:pPr>
        <w:sectPr>
          <w:pgSz w:w="11900" w:h="16838" w:orient="portrait"/>
          <w:cols w:equalWidth="0" w:num="1">
            <w:col w:w="9399"/>
          </w:cols>
          <w:pgMar w:left="1060" w:top="117" w:right="1440" w:bottom="0" w:gutter="0" w:footer="0" w:header="0"/>
        </w:sectPr>
      </w:pPr>
    </w:p>
    <w:p>
      <w:pPr>
        <w:ind w:left="580"/>
        <w:spacing w:after="0"/>
        <w:rPr>
          <w:sz w:val="20"/>
          <w:szCs w:val="20"/>
          <w:color w:val="auto"/>
        </w:rPr>
      </w:pPr>
      <w:r>
        <w:rPr>
          <w:rFonts w:ascii="Calibri" w:cs="Calibri" w:eastAsia="Calibri" w:hAnsi="Calibri"/>
          <w:sz w:val="17"/>
          <w:szCs w:val="17"/>
          <w:color w:val="auto"/>
        </w:rPr>
        <w:t>Revenues:</w:t>
      </w:r>
    </w:p>
    <w:p>
      <w:pPr>
        <w:sectPr>
          <w:pgSz w:w="11900" w:h="16838" w:orient="portrait"/>
          <w:cols w:equalWidth="0" w:num="1">
            <w:col w:w="9399"/>
          </w:cols>
          <w:pgMar w:left="1060" w:top="117" w:right="1440" w:bottom="0" w:gutter="0" w:footer="0" w:header="0"/>
          <w:type w:val="continuous"/>
        </w:sectPr>
      </w:pPr>
    </w:p>
    <w:bookmarkStart w:id="18" w:name="page19"/>
    <w:bookmarkEnd w:id="18"/>
    <w:tbl>
      <w:tblPr>
        <w:tblLayout w:type="fixed"/>
        <w:tblInd w:w="520" w:type="dxa"/>
        <w:tblCellMar>
          <w:top w:w="0" w:type="dxa"/>
          <w:left w:w="0" w:type="dxa"/>
          <w:bottom w:w="0" w:type="dxa"/>
          <w:right w:w="0" w:type="dxa"/>
        </w:tblCellMar>
      </w:tblPr>
      <w:tr>
        <w:trPr>
          <w:trHeight w:val="220"/>
        </w:trPr>
        <w:tc>
          <w:tcPr>
            <w:tcW w:w="3340" w:type="dxa"/>
            <w:vAlign w:val="bottom"/>
          </w:tcPr>
          <w:p>
            <w:pPr>
              <w:ind w:left="480"/>
              <w:spacing w:after="0"/>
              <w:rPr>
                <w:sz w:val="20"/>
                <w:szCs w:val="20"/>
                <w:color w:val="auto"/>
              </w:rPr>
            </w:pPr>
            <w:r>
              <w:rPr>
                <w:rFonts w:ascii="Calibri" w:cs="Calibri" w:eastAsia="Calibri" w:hAnsi="Calibri"/>
                <w:sz w:val="18"/>
                <w:szCs w:val="18"/>
                <w:color w:val="auto"/>
              </w:rPr>
              <w:t>Minimum rents (b)</w:t>
            </w:r>
          </w:p>
        </w:tc>
        <w:tc>
          <w:tcPr>
            <w:tcW w:w="280" w:type="dxa"/>
            <w:vAlign w:val="bottom"/>
            <w:vMerge w:val="restart"/>
          </w:tcPr>
          <w:p>
            <w:pPr>
              <w:jc w:val="right"/>
              <w:ind w:right="50"/>
              <w:spacing w:after="0"/>
              <w:rPr>
                <w:sz w:val="20"/>
                <w:szCs w:val="20"/>
                <w:color w:val="auto"/>
              </w:rPr>
            </w:pPr>
            <w:r>
              <w:rPr>
                <w:rFonts w:ascii="Calibri" w:cs="Calibri" w:eastAsia="Calibri" w:hAnsi="Calibri"/>
                <w:sz w:val="18"/>
                <w:szCs w:val="18"/>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18"/>
                <w:szCs w:val="18"/>
                <w:color w:val="auto"/>
              </w:rPr>
              <w:t>150,451</w:t>
            </w:r>
          </w:p>
        </w:tc>
        <w:tc>
          <w:tcPr>
            <w:tcW w:w="60" w:type="dxa"/>
            <w:vAlign w:val="bottom"/>
          </w:tcPr>
          <w:p>
            <w:pPr>
              <w:spacing w:after="0"/>
              <w:rPr>
                <w:sz w:val="19"/>
                <w:szCs w:val="19"/>
                <w:color w:val="auto"/>
              </w:rPr>
            </w:pPr>
          </w:p>
        </w:tc>
        <w:tc>
          <w:tcPr>
            <w:tcW w:w="240" w:type="dxa"/>
            <w:vAlign w:val="bottom"/>
            <w:vMerge w:val="restart"/>
          </w:tcPr>
          <w:p>
            <w:pPr>
              <w:jc w:val="right"/>
              <w:ind w:right="10"/>
              <w:spacing w:after="0"/>
              <w:rPr>
                <w:sz w:val="20"/>
                <w:szCs w:val="20"/>
                <w:color w:val="auto"/>
              </w:rPr>
            </w:pPr>
            <w:r>
              <w:rPr>
                <w:rFonts w:ascii="Calibri" w:cs="Calibri" w:eastAsia="Calibri" w:hAnsi="Calibri"/>
                <w:sz w:val="18"/>
                <w:szCs w:val="18"/>
                <w:color w:val="auto"/>
              </w:rPr>
              <w:t>$</w:t>
            </w:r>
          </w:p>
        </w:tc>
        <w:tc>
          <w:tcPr>
            <w:tcW w:w="870" w:type="dxa"/>
            <w:vAlign w:val="bottom"/>
          </w:tcPr>
          <w:p>
            <w:pPr>
              <w:jc w:val="right"/>
              <w:spacing w:after="0"/>
              <w:rPr>
                <w:sz w:val="20"/>
                <w:szCs w:val="20"/>
                <w:color w:val="auto"/>
              </w:rPr>
            </w:pPr>
            <w:r>
              <w:rPr>
                <w:rFonts w:ascii="Calibri" w:cs="Calibri" w:eastAsia="Calibri" w:hAnsi="Calibri"/>
                <w:sz w:val="18"/>
                <w:szCs w:val="18"/>
                <w:color w:val="auto"/>
              </w:rPr>
              <w:t>(1,031)</w:t>
            </w:r>
          </w:p>
        </w:tc>
        <w:tc>
          <w:tcPr>
            <w:tcW w:w="31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vMerge w:val="restart"/>
          </w:tcPr>
          <w:p>
            <w:pPr>
              <w:jc w:val="right"/>
              <w:ind w:right="50"/>
              <w:spacing w:after="0"/>
              <w:rPr>
                <w:sz w:val="20"/>
                <w:szCs w:val="20"/>
                <w:color w:val="auto"/>
              </w:rPr>
            </w:pPr>
            <w:r>
              <w:rPr>
                <w:rFonts w:ascii="Calibri" w:cs="Calibri" w:eastAsia="Calibri" w:hAnsi="Calibri"/>
                <w:sz w:val="18"/>
                <w:szCs w:val="18"/>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18"/>
                <w:szCs w:val="18"/>
                <w:color w:val="auto"/>
              </w:rPr>
              <w:t>200,262</w:t>
            </w: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160" w:type="dxa"/>
            <w:vAlign w:val="bottom"/>
            <w:gridSpan w:val="5"/>
          </w:tcPr>
          <w:p>
            <w:pPr>
              <w:jc w:val="right"/>
              <w:ind w:right="50"/>
              <w:spacing w:after="0" w:line="41" w:lineRule="exact"/>
              <w:rPr>
                <w:sz w:val="20"/>
                <w:szCs w:val="20"/>
                <w:color w:val="auto"/>
              </w:rPr>
            </w:pPr>
            <w:r>
              <w:rPr>
                <w:rFonts w:ascii="Calibri" w:cs="Calibri" w:eastAsia="Calibri" w:hAnsi="Calibri"/>
                <w:sz w:val="4"/>
                <w:szCs w:val="4"/>
                <w:b w:val="1"/>
                <w:bCs w:val="1"/>
                <w:color w:val="auto"/>
              </w:rPr>
              <w:t>For the Three Months</w:t>
            </w:r>
            <w:r>
              <w:rPr>
                <w:rFonts w:ascii="Calibri" w:cs="Calibri" w:eastAsia="Calibri" w:hAnsi="Calibri"/>
                <w:sz w:val="4"/>
                <w:szCs w:val="4"/>
                <w:color w:val="auto"/>
              </w:rPr>
              <w:t>$149,420</w:t>
            </w:r>
            <w:r>
              <w:rPr>
                <w:rFonts w:ascii="Calibri" w:cs="Calibri" w:eastAsia="Calibri" w:hAnsi="Calibri"/>
                <w:sz w:val="4"/>
                <w:szCs w:val="4"/>
                <w:b w:val="1"/>
                <w:bCs w:val="1"/>
                <w:color w:val="auto"/>
              </w:rPr>
              <w:t>EndedMarch</w:t>
            </w:r>
            <w:r>
              <w:rPr>
                <w:rFonts w:ascii="Calibri" w:cs="Calibri" w:eastAsia="Calibri" w:hAnsi="Calibri"/>
                <w:sz w:val="4"/>
                <w:szCs w:val="4"/>
                <w:color w:val="auto"/>
              </w:rPr>
              <w:t>$</w:t>
            </w:r>
            <w:r>
              <w:rPr>
                <w:rFonts w:ascii="Calibri" w:cs="Calibri" w:eastAsia="Calibri" w:hAnsi="Calibri"/>
                <w:sz w:val="4"/>
                <w:szCs w:val="4"/>
                <w:b w:val="1"/>
                <w:bCs w:val="1"/>
                <w:color w:val="auto"/>
              </w:rPr>
              <w:t xml:space="preserve"> 31, 2026</w:t>
            </w:r>
            <w:r>
              <w:rPr>
                <w:rFonts w:ascii="Calibri" w:cs="Calibri" w:eastAsia="Calibri" w:hAnsi="Calibri"/>
                <w:sz w:val="4"/>
                <w:szCs w:val="4"/>
                <w:color w:val="auto"/>
              </w:rPr>
              <w:t>50,842</w:t>
            </w:r>
          </w:p>
        </w:tc>
        <w:tc>
          <w:tcPr>
            <w:tcW w:w="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3340" w:type="dxa"/>
            <w:vAlign w:val="bottom"/>
          </w:tcPr>
          <w:p>
            <w:pPr>
              <w:ind w:left="480"/>
              <w:spacing w:after="0" w:line="194" w:lineRule="exact"/>
              <w:rPr>
                <w:sz w:val="20"/>
                <w:szCs w:val="20"/>
                <w:color w:val="auto"/>
              </w:rPr>
            </w:pPr>
            <w:r>
              <w:rPr>
                <w:rFonts w:ascii="Calibri" w:cs="Calibri" w:eastAsia="Calibri" w:hAnsi="Calibri"/>
                <w:sz w:val="18"/>
                <w:szCs w:val="18"/>
                <w:color w:val="auto"/>
              </w:rPr>
              <w:t>Percentage rents</w:t>
            </w:r>
          </w:p>
        </w:tc>
        <w:tc>
          <w:tcPr>
            <w:tcW w:w="28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Calibri" w:cs="Calibri" w:eastAsia="Calibri" w:hAnsi="Calibri"/>
                <w:sz w:val="18"/>
                <w:szCs w:val="18"/>
                <w:color w:val="auto"/>
              </w:rPr>
              <w:t>5,937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0" w:type="dxa"/>
            <w:vAlign w:val="bottom"/>
          </w:tcPr>
          <w:p>
            <w:pPr>
              <w:jc w:val="right"/>
              <w:spacing w:after="0" w:line="194" w:lineRule="exact"/>
              <w:rPr>
                <w:sz w:val="20"/>
                <w:szCs w:val="20"/>
                <w:color w:val="auto"/>
              </w:rPr>
            </w:pPr>
            <w:r>
              <w:rPr>
                <w:rFonts w:ascii="Calibri" w:cs="Calibri" w:eastAsia="Calibri" w:hAnsi="Calibri"/>
                <w:sz w:val="18"/>
                <w:szCs w:val="18"/>
                <w:color w:val="auto"/>
              </w:rPr>
              <w:t>(24)</w:t>
            </w:r>
          </w:p>
        </w:tc>
        <w:tc>
          <w:tcPr>
            <w:tcW w:w="310" w:type="dxa"/>
            <w:vAlign w:val="bottom"/>
          </w:tcPr>
          <w:p>
            <w:pPr>
              <w:spacing w:after="0"/>
              <w:rPr>
                <w:sz w:val="16"/>
                <w:szCs w:val="16"/>
                <w:color w:val="auto"/>
              </w:rPr>
            </w:pPr>
          </w:p>
        </w:tc>
        <w:tc>
          <w:tcPr>
            <w:tcW w:w="820" w:type="dxa"/>
            <w:vAlign w:val="bottom"/>
          </w:tcPr>
          <w:p>
            <w:pPr>
              <w:jc w:val="right"/>
              <w:ind w:right="10"/>
              <w:spacing w:after="0" w:line="194" w:lineRule="exact"/>
              <w:rPr>
                <w:sz w:val="20"/>
                <w:szCs w:val="20"/>
                <w:color w:val="auto"/>
              </w:rPr>
            </w:pPr>
            <w:r>
              <w:rPr>
                <w:rFonts w:ascii="Calibri" w:cs="Calibri" w:eastAsia="Calibri" w:hAnsi="Calibri"/>
                <w:sz w:val="18"/>
                <w:szCs w:val="18"/>
                <w:color w:val="auto"/>
              </w:rPr>
              <w:t>5,913</w:t>
            </w:r>
          </w:p>
        </w:tc>
        <w:tc>
          <w:tcPr>
            <w:tcW w:w="360" w:type="dxa"/>
            <w:vAlign w:val="bottom"/>
          </w:tcPr>
          <w:p>
            <w:pPr>
              <w:spacing w:after="0"/>
              <w:rPr>
                <w:sz w:val="16"/>
                <w:szCs w:val="16"/>
                <w:color w:val="auto"/>
              </w:rPr>
            </w:pPr>
          </w:p>
        </w:tc>
        <w:tc>
          <w:tcPr>
            <w:tcW w:w="800" w:type="dxa"/>
            <w:vAlign w:val="bottom"/>
          </w:tcPr>
          <w:p>
            <w:pPr>
              <w:jc w:val="right"/>
              <w:ind w:right="30"/>
              <w:spacing w:after="0" w:line="194" w:lineRule="exact"/>
              <w:rPr>
                <w:sz w:val="20"/>
                <w:szCs w:val="20"/>
                <w:color w:val="auto"/>
              </w:rPr>
            </w:pPr>
            <w:r>
              <w:rPr>
                <w:rFonts w:ascii="Calibri" w:cs="Calibri" w:eastAsia="Calibri" w:hAnsi="Calibri"/>
                <w:sz w:val="18"/>
                <w:szCs w:val="18"/>
                <w:color w:val="auto"/>
              </w:rPr>
              <w:t>1,338</w:t>
            </w:r>
          </w:p>
        </w:tc>
        <w:tc>
          <w:tcPr>
            <w:tcW w:w="28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Calibri" w:cs="Calibri" w:eastAsia="Calibri" w:hAnsi="Calibri"/>
                <w:sz w:val="18"/>
                <w:szCs w:val="18"/>
                <w:color w:val="auto"/>
              </w:rPr>
              <w:t>7,251</w:t>
            </w:r>
          </w:p>
        </w:tc>
        <w:tc>
          <w:tcPr>
            <w:tcW w:w="0" w:type="dxa"/>
            <w:vAlign w:val="bottom"/>
          </w:tcPr>
          <w:p>
            <w:pPr>
              <w:spacing w:after="0"/>
              <w:rPr>
                <w:sz w:val="1"/>
                <w:szCs w:val="1"/>
                <w:color w:val="auto"/>
              </w:rPr>
            </w:pPr>
          </w:p>
        </w:tc>
      </w:tr>
      <w:tr>
        <w:trPr>
          <w:trHeight w:val="242"/>
        </w:trPr>
        <w:tc>
          <w:tcPr>
            <w:tcW w:w="3340" w:type="dxa"/>
            <w:vAlign w:val="bottom"/>
          </w:tcPr>
          <w:p>
            <w:pPr>
              <w:ind w:left="480"/>
              <w:spacing w:after="0" w:line="215" w:lineRule="exact"/>
              <w:rPr>
                <w:sz w:val="20"/>
                <w:szCs w:val="20"/>
                <w:color w:val="auto"/>
              </w:rPr>
            </w:pPr>
            <w:r>
              <w:rPr>
                <w:rFonts w:ascii="Calibri" w:cs="Calibri" w:eastAsia="Calibri" w:hAnsi="Calibri"/>
                <w:sz w:val="18"/>
                <w:szCs w:val="18"/>
                <w:color w:val="auto"/>
              </w:rPr>
              <w:t>Tenant recoveries</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18"/>
                <w:szCs w:val="18"/>
                <w:color w:val="auto"/>
              </w:rPr>
              <w:t>65,419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70" w:type="dxa"/>
            <w:vAlign w:val="bottom"/>
          </w:tcPr>
          <w:p>
            <w:pPr>
              <w:jc w:val="right"/>
              <w:spacing w:after="0" w:line="215" w:lineRule="exact"/>
              <w:rPr>
                <w:sz w:val="20"/>
                <w:szCs w:val="20"/>
                <w:color w:val="auto"/>
              </w:rPr>
            </w:pPr>
            <w:r>
              <w:rPr>
                <w:rFonts w:ascii="Calibri" w:cs="Calibri" w:eastAsia="Calibri" w:hAnsi="Calibri"/>
                <w:sz w:val="18"/>
                <w:szCs w:val="18"/>
                <w:color w:val="auto"/>
              </w:rPr>
              <w:t>(335)</w:t>
            </w:r>
          </w:p>
        </w:tc>
        <w:tc>
          <w:tcPr>
            <w:tcW w:w="31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Calibri" w:cs="Calibri" w:eastAsia="Calibri" w:hAnsi="Calibri"/>
                <w:sz w:val="18"/>
                <w:szCs w:val="18"/>
                <w:color w:val="auto"/>
              </w:rPr>
              <w:t>65,084</w:t>
            </w:r>
          </w:p>
        </w:tc>
        <w:tc>
          <w:tcPr>
            <w:tcW w:w="3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Calibri" w:cs="Calibri" w:eastAsia="Calibri" w:hAnsi="Calibri"/>
                <w:sz w:val="18"/>
                <w:szCs w:val="18"/>
                <w:color w:val="auto"/>
              </w:rPr>
              <w:t>18,451</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18"/>
                <w:szCs w:val="18"/>
                <w:color w:val="auto"/>
              </w:rPr>
              <w:t>83,535</w:t>
            </w:r>
          </w:p>
        </w:tc>
        <w:tc>
          <w:tcPr>
            <w:tcW w:w="0" w:type="dxa"/>
            <w:vAlign w:val="bottom"/>
          </w:tcPr>
          <w:p>
            <w:pPr>
              <w:spacing w:after="0"/>
              <w:rPr>
                <w:sz w:val="1"/>
                <w:szCs w:val="1"/>
                <w:color w:val="auto"/>
              </w:rPr>
            </w:pPr>
          </w:p>
        </w:tc>
      </w:tr>
      <w:tr>
        <w:trPr>
          <w:trHeight w:val="257"/>
        </w:trPr>
        <w:tc>
          <w:tcPr>
            <w:tcW w:w="3340" w:type="dxa"/>
            <w:vAlign w:val="bottom"/>
          </w:tcPr>
          <w:p>
            <w:pPr>
              <w:ind w:left="480"/>
              <w:spacing w:after="0"/>
              <w:rPr>
                <w:sz w:val="20"/>
                <w:szCs w:val="20"/>
                <w:color w:val="auto"/>
              </w:rPr>
            </w:pPr>
            <w:r>
              <w:rPr>
                <w:rFonts w:ascii="Calibri" w:cs="Calibri" w:eastAsia="Calibri" w:hAnsi="Calibri"/>
                <w:sz w:val="18"/>
                <w:szCs w:val="18"/>
                <w:color w:val="auto"/>
              </w:rPr>
              <w:t>Other</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18"/>
                <w:szCs w:val="18"/>
                <w:color w:val="auto"/>
              </w:rPr>
              <w:t>5,380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70" w:type="dxa"/>
            <w:vAlign w:val="bottom"/>
          </w:tcPr>
          <w:p>
            <w:pPr>
              <w:jc w:val="right"/>
              <w:spacing w:after="0"/>
              <w:rPr>
                <w:sz w:val="20"/>
                <w:szCs w:val="20"/>
                <w:color w:val="auto"/>
              </w:rPr>
            </w:pPr>
            <w:r>
              <w:rPr>
                <w:rFonts w:ascii="Calibri" w:cs="Calibri" w:eastAsia="Calibri" w:hAnsi="Calibri"/>
                <w:sz w:val="18"/>
                <w:szCs w:val="18"/>
                <w:color w:val="auto"/>
              </w:rPr>
              <w:t>(28)</w:t>
            </w:r>
          </w:p>
        </w:tc>
        <w:tc>
          <w:tcPr>
            <w:tcW w:w="31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Calibri" w:cs="Calibri" w:eastAsia="Calibri" w:hAnsi="Calibri"/>
                <w:sz w:val="18"/>
                <w:szCs w:val="18"/>
                <w:color w:val="auto"/>
              </w:rPr>
              <w:t>5,352</w:t>
            </w:r>
          </w:p>
        </w:tc>
        <w:tc>
          <w:tcPr>
            <w:tcW w:w="36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Calibri" w:cs="Calibri" w:eastAsia="Calibri" w:hAnsi="Calibri"/>
                <w:sz w:val="18"/>
                <w:szCs w:val="18"/>
                <w:color w:val="auto"/>
              </w:rPr>
              <w:t>1,616</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18"/>
                <w:szCs w:val="18"/>
                <w:color w:val="auto"/>
              </w:rPr>
              <w:t>6,968</w:t>
            </w:r>
          </w:p>
        </w:tc>
        <w:tc>
          <w:tcPr>
            <w:tcW w:w="0" w:type="dxa"/>
            <w:vAlign w:val="bottom"/>
          </w:tcPr>
          <w:p>
            <w:pPr>
              <w:spacing w:after="0"/>
              <w:rPr>
                <w:sz w:val="1"/>
                <w:szCs w:val="1"/>
                <w:color w:val="auto"/>
              </w:rPr>
            </w:pPr>
          </w:p>
        </w:tc>
      </w:tr>
      <w:tr>
        <w:trPr>
          <w:trHeight w:val="257"/>
        </w:trPr>
        <w:tc>
          <w:tcPr>
            <w:tcW w:w="3340" w:type="dxa"/>
            <w:vAlign w:val="bottom"/>
          </w:tcPr>
          <w:p>
            <w:pPr>
              <w:ind w:left="480"/>
              <w:spacing w:after="0"/>
              <w:rPr>
                <w:sz w:val="20"/>
                <w:szCs w:val="20"/>
                <w:color w:val="auto"/>
              </w:rPr>
            </w:pPr>
            <w:r>
              <w:rPr>
                <w:rFonts w:ascii="Calibri" w:cs="Calibri" w:eastAsia="Calibri" w:hAnsi="Calibri"/>
                <w:sz w:val="18"/>
                <w:szCs w:val="18"/>
                <w:color w:val="auto"/>
              </w:rPr>
              <w:t>Bad debt expense</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18"/>
                <w:szCs w:val="18"/>
                <w:color w:val="auto"/>
              </w:rPr>
              <w:t>(1,211)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70" w:type="dxa"/>
            <w:vAlign w:val="bottom"/>
          </w:tcPr>
          <w:p>
            <w:pPr>
              <w:jc w:val="right"/>
              <w:ind w:right="10"/>
              <w:spacing w:after="0"/>
              <w:rPr>
                <w:sz w:val="20"/>
                <w:szCs w:val="20"/>
                <w:color w:val="auto"/>
              </w:rPr>
            </w:pPr>
            <w:r>
              <w:rPr>
                <w:rFonts w:ascii="Calibri" w:cs="Calibri" w:eastAsia="Calibri" w:hAnsi="Calibri"/>
                <w:sz w:val="18"/>
                <w:szCs w:val="18"/>
                <w:color w:val="auto"/>
              </w:rPr>
              <w:t>1</w:t>
            </w:r>
          </w:p>
        </w:tc>
        <w:tc>
          <w:tcPr>
            <w:tcW w:w="31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(1,210)</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18"/>
                <w:szCs w:val="18"/>
                <w:color w:val="auto"/>
              </w:rPr>
              <w:t>(286)</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alibri" w:cs="Calibri" w:eastAsia="Calibri" w:hAnsi="Calibri"/>
                <w:sz w:val="18"/>
                <w:szCs w:val="18"/>
                <w:color w:val="auto"/>
              </w:rPr>
              <w:t>(1,496)</w:t>
            </w:r>
          </w:p>
        </w:tc>
        <w:tc>
          <w:tcPr>
            <w:tcW w:w="0" w:type="dxa"/>
            <w:vAlign w:val="bottom"/>
          </w:tcPr>
          <w:p>
            <w:pPr>
              <w:spacing w:after="0"/>
              <w:rPr>
                <w:sz w:val="1"/>
                <w:szCs w:val="1"/>
                <w:color w:val="auto"/>
              </w:rPr>
            </w:pPr>
          </w:p>
        </w:tc>
      </w:tr>
      <w:tr>
        <w:trPr>
          <w:trHeight w:val="256"/>
        </w:trPr>
        <w:tc>
          <w:tcPr>
            <w:tcW w:w="3340" w:type="dxa"/>
            <w:vAlign w:val="bottom"/>
          </w:tcPr>
          <w:p>
            <w:pPr>
              <w:ind w:left="920"/>
              <w:spacing w:after="0"/>
              <w:rPr>
                <w:sz w:val="20"/>
                <w:szCs w:val="20"/>
                <w:color w:val="auto"/>
              </w:rPr>
            </w:pPr>
            <w:r>
              <w:rPr>
                <w:rFonts w:ascii="Calibri" w:cs="Calibri" w:eastAsia="Calibri" w:hAnsi="Calibri"/>
                <w:sz w:val="18"/>
                <w:szCs w:val="18"/>
                <w:color w:val="auto"/>
              </w:rPr>
              <w:t>Total leasing revenue</w:t>
            </w:r>
          </w:p>
        </w:tc>
        <w:tc>
          <w:tcPr>
            <w:tcW w:w="28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color w:val="auto"/>
              </w:rPr>
              <w:t>225,976</w:t>
            </w:r>
          </w:p>
        </w:tc>
        <w:tc>
          <w:tcPr>
            <w:tcW w:w="6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870" w:type="dxa"/>
            <w:vAlign w:val="bottom"/>
          </w:tcPr>
          <w:p>
            <w:pPr>
              <w:jc w:val="right"/>
              <w:spacing w:after="0"/>
              <w:rPr>
                <w:sz w:val="20"/>
                <w:szCs w:val="20"/>
                <w:color w:val="auto"/>
              </w:rPr>
            </w:pPr>
            <w:r>
              <w:rPr>
                <w:rFonts w:ascii="Calibri" w:cs="Calibri" w:eastAsia="Calibri" w:hAnsi="Calibri"/>
                <w:sz w:val="18"/>
                <w:szCs w:val="18"/>
                <w:color w:val="auto"/>
              </w:rPr>
              <w:t>(1,417)</w:t>
            </w:r>
          </w:p>
        </w:tc>
        <w:tc>
          <w:tcPr>
            <w:tcW w:w="31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10"/>
              <w:spacing w:after="0"/>
              <w:rPr>
                <w:sz w:val="20"/>
                <w:szCs w:val="20"/>
                <w:color w:val="auto"/>
              </w:rPr>
            </w:pPr>
            <w:r>
              <w:rPr>
                <w:rFonts w:ascii="Calibri" w:cs="Calibri" w:eastAsia="Calibri" w:hAnsi="Calibri"/>
                <w:sz w:val="18"/>
                <w:szCs w:val="18"/>
                <w:color w:val="auto"/>
              </w:rPr>
              <w:t>224,559</w:t>
            </w:r>
          </w:p>
        </w:tc>
        <w:tc>
          <w:tcPr>
            <w:tcW w:w="360" w:type="dxa"/>
            <w:vAlign w:val="bottom"/>
          </w:tcPr>
          <w:p>
            <w:pPr>
              <w:jc w:val="right"/>
              <w:ind w:right="110"/>
              <w:spacing w:after="0"/>
              <w:rPr>
                <w:sz w:val="20"/>
                <w:szCs w:val="20"/>
                <w:color w:val="auto"/>
              </w:rPr>
            </w:pPr>
            <w:r>
              <w:rPr>
                <w:rFonts w:ascii="Calibri" w:cs="Calibri" w:eastAsia="Calibri" w:hAnsi="Calibri"/>
                <w:sz w:val="18"/>
                <w:szCs w:val="18"/>
                <w:color w:val="auto"/>
              </w:rPr>
              <w:t>$</w:t>
            </w:r>
          </w:p>
        </w:tc>
        <w:tc>
          <w:tcPr>
            <w:tcW w:w="800" w:type="dxa"/>
            <w:vAlign w:val="bottom"/>
          </w:tcPr>
          <w:p>
            <w:pPr>
              <w:jc w:val="right"/>
              <w:ind w:right="50"/>
              <w:spacing w:after="0"/>
              <w:rPr>
                <w:sz w:val="20"/>
                <w:szCs w:val="20"/>
                <w:color w:val="auto"/>
              </w:rPr>
            </w:pPr>
            <w:r>
              <w:rPr>
                <w:rFonts w:ascii="Calibri" w:cs="Calibri" w:eastAsia="Calibri" w:hAnsi="Calibri"/>
                <w:sz w:val="18"/>
                <w:szCs w:val="18"/>
                <w:color w:val="auto"/>
              </w:rPr>
              <w:t>71,961</w:t>
            </w:r>
          </w:p>
        </w:tc>
        <w:tc>
          <w:tcPr>
            <w:tcW w:w="28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00" w:type="dxa"/>
            <w:vAlign w:val="bottom"/>
          </w:tcPr>
          <w:p>
            <w:pPr>
              <w:jc w:val="right"/>
              <w:spacing w:after="0"/>
              <w:rPr>
                <w:sz w:val="20"/>
                <w:szCs w:val="20"/>
                <w:color w:val="auto"/>
              </w:rPr>
            </w:pPr>
            <w:r>
              <w:rPr>
                <w:rFonts w:ascii="Calibri" w:cs="Calibri" w:eastAsia="Calibri" w:hAnsi="Calibri"/>
                <w:sz w:val="18"/>
                <w:szCs w:val="18"/>
                <w:color w:val="auto"/>
              </w:rPr>
              <w:t>296,520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-858520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58" w:lineRule="exact"/>
        <w:rPr>
          <w:sz w:val="20"/>
          <w:szCs w:val="20"/>
          <w:color w:val="auto"/>
        </w:rPr>
      </w:pPr>
    </w:p>
    <w:p>
      <w:pPr>
        <w:ind w:left="940" w:hanging="410"/>
        <w:spacing w:after="0"/>
        <w:tabs>
          <w:tab w:leader="none" w:pos="940" w:val="left"/>
        </w:tabs>
        <w:numPr>
          <w:ilvl w:val="0"/>
          <w:numId w:val="8"/>
        </w:numPr>
        <w:rPr>
          <w:rFonts w:ascii="Calibri" w:cs="Calibri" w:eastAsia="Calibri" w:hAnsi="Calibri"/>
          <w:sz w:val="14"/>
          <w:szCs w:val="14"/>
          <w:color w:val="auto"/>
        </w:rPr>
      </w:pPr>
      <w:r>
        <w:rPr>
          <w:rFonts w:ascii="Calibri" w:cs="Calibri" w:eastAsia="Calibri" w:hAnsi="Calibri"/>
          <w:sz w:val="14"/>
          <w:szCs w:val="14"/>
          <w:color w:val="auto"/>
        </w:rPr>
        <w:t>Represents the Company’s partners’ share of consolidated joint ventures.</w:t>
      </w:r>
    </w:p>
    <w:p>
      <w:pPr>
        <w:spacing w:after="0" w:line="166" w:lineRule="exact"/>
        <w:rPr>
          <w:rFonts w:ascii="Calibri" w:cs="Calibri" w:eastAsia="Calibri" w:hAnsi="Calibri"/>
          <w:sz w:val="14"/>
          <w:szCs w:val="14"/>
          <w:color w:val="auto"/>
        </w:rPr>
      </w:pPr>
    </w:p>
    <w:p>
      <w:pPr>
        <w:ind w:left="940" w:hanging="410"/>
        <w:spacing w:after="0"/>
        <w:tabs>
          <w:tab w:leader="none" w:pos="940" w:val="left"/>
        </w:tabs>
        <w:numPr>
          <w:ilvl w:val="0"/>
          <w:numId w:val="8"/>
        </w:numPr>
        <w:rPr>
          <w:rFonts w:ascii="Calibri" w:cs="Calibri" w:eastAsia="Calibri" w:hAnsi="Calibri"/>
          <w:sz w:val="14"/>
          <w:szCs w:val="14"/>
          <w:color w:val="auto"/>
        </w:rPr>
      </w:pPr>
      <w:r>
        <w:rPr>
          <w:rFonts w:ascii="Calibri" w:cs="Calibri" w:eastAsia="Calibri" w:hAnsi="Calibri"/>
          <w:sz w:val="14"/>
          <w:szCs w:val="14"/>
          <w:color w:val="auto"/>
        </w:rPr>
        <w:t>Includes lease terminaton income, straight-line rental income and above/below market adjustments to minimum rents.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20"/>
        <w:spacing w:after="0"/>
        <w:rPr>
          <w:sz w:val="20"/>
          <w:szCs w:val="20"/>
          <w:color w:val="auto"/>
        </w:rPr>
      </w:pPr>
      <w:r>
        <w:rPr>
          <w:rFonts w:ascii="Calibri" w:cs="Calibri" w:eastAsia="Calibri" w:hAnsi="Calibri"/>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99"/>
        <w:spacing w:after="0"/>
        <w:rPr>
          <w:sz w:val="20"/>
          <w:szCs w:val="20"/>
          <w:color w:val="auto"/>
        </w:rPr>
      </w:pPr>
      <w:r>
        <w:rPr>
          <w:rFonts w:ascii="Calibri" w:cs="Calibri" w:eastAsia="Calibri" w:hAnsi="Calibri"/>
          <w:sz w:val="18"/>
          <w:szCs w:val="18"/>
          <w:b w:val="1"/>
          <w:bCs w:val="1"/>
          <w:color w:val="auto"/>
        </w:rPr>
        <w:t>The Macerich Company</w:t>
      </w:r>
    </w:p>
    <w:p>
      <w:pPr>
        <w:jc w:val="center"/>
        <w:ind w:right="-219"/>
        <w:spacing w:after="0" w:line="206" w:lineRule="auto"/>
        <w:rPr>
          <w:sz w:val="20"/>
          <w:szCs w:val="20"/>
          <w:color w:val="auto"/>
        </w:rPr>
      </w:pPr>
      <w:r>
        <w:rPr>
          <w:rFonts w:ascii="Calibri" w:cs="Calibri" w:eastAsia="Calibri" w:hAnsi="Calibri"/>
          <w:sz w:val="18"/>
          <w:szCs w:val="18"/>
          <w:b w:val="1"/>
          <w:bCs w:val="1"/>
          <w:color w:val="auto"/>
        </w:rPr>
        <w:t>Supplemental Financial and Operatng Informaton (unaudited)</w:t>
      </w:r>
    </w:p>
    <w:p>
      <w:pPr>
        <w:jc w:val="center"/>
        <w:ind w:right="-279"/>
        <w:spacing w:after="0" w:line="221" w:lineRule="auto"/>
        <w:rPr>
          <w:sz w:val="20"/>
          <w:szCs w:val="20"/>
          <w:color w:val="auto"/>
        </w:rPr>
      </w:pPr>
      <w:r>
        <w:rPr>
          <w:rFonts w:ascii="Calibri" w:cs="Calibri" w:eastAsia="Calibri" w:hAnsi="Calibri"/>
          <w:sz w:val="18"/>
          <w:szCs w:val="18"/>
          <w:b w:val="1"/>
          <w:bCs w:val="1"/>
          <w:color w:val="auto"/>
        </w:rPr>
        <w:t>Supplemental FFO Informaton(a)</w:t>
      </w:r>
    </w:p>
    <w:p>
      <w:pPr>
        <w:jc w:val="center"/>
        <w:ind w:right="-299"/>
        <w:spacing w:after="0" w:line="221" w:lineRule="auto"/>
        <w:rPr>
          <w:sz w:val="20"/>
          <w:szCs w:val="20"/>
          <w:color w:val="auto"/>
        </w:rPr>
      </w:pPr>
      <w:r>
        <w:rPr>
          <w:rFonts w:ascii="Calibri" w:cs="Calibri" w:eastAsia="Calibri" w:hAnsi="Calibri"/>
          <w:sz w:val="18"/>
          <w:szCs w:val="18"/>
          <w:b w:val="1"/>
          <w:bCs w:val="1"/>
          <w:color w:val="auto"/>
        </w:rPr>
        <w:t>(Dollars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4"/>
          </w:tcPr>
          <w:p>
            <w:pPr>
              <w:jc w:val="right"/>
              <w:ind w:right="496"/>
              <w:spacing w:after="0"/>
              <w:rPr>
                <w:sz w:val="20"/>
                <w:szCs w:val="20"/>
                <w:color w:val="auto"/>
              </w:rPr>
            </w:pPr>
            <w:r>
              <w:rPr>
                <w:rFonts w:ascii="Calibri" w:cs="Calibri" w:eastAsia="Calibri" w:hAnsi="Calibri"/>
                <w:sz w:val="14"/>
                <w:szCs w:val="14"/>
                <w:b w:val="1"/>
                <w:bCs w:val="1"/>
                <w:color w:val="auto"/>
              </w:rPr>
              <w:t>As of March 31,</w:t>
            </w:r>
          </w:p>
        </w:tc>
        <w:tc>
          <w:tcPr>
            <w:tcW w:w="0" w:type="dxa"/>
            <w:vAlign w:val="bottom"/>
          </w:tcPr>
          <w:p>
            <w:pPr>
              <w:spacing w:after="0"/>
              <w:rPr>
                <w:sz w:val="1"/>
                <w:szCs w:val="1"/>
                <w:color w:val="auto"/>
              </w:rPr>
            </w:pPr>
          </w:p>
        </w:tc>
      </w:tr>
      <w:tr>
        <w:trPr>
          <w:trHeight w:val="47"/>
        </w:trPr>
        <w:tc>
          <w:tcPr>
            <w:tcW w:w="7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7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58"/>
              <w:spacing w:after="0" w:line="164" w:lineRule="exact"/>
              <w:rPr>
                <w:sz w:val="20"/>
                <w:szCs w:val="20"/>
                <w:color w:val="auto"/>
              </w:rPr>
            </w:pPr>
            <w:r>
              <w:rPr>
                <w:rFonts w:ascii="Calibri" w:cs="Calibri" w:eastAsia="Calibri" w:hAnsi="Calibri"/>
                <w:sz w:val="14"/>
                <w:szCs w:val="14"/>
                <w:b w:val="1"/>
                <w:bCs w:val="1"/>
                <w:color w:val="auto"/>
              </w:rPr>
              <w:t>2026</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96"/>
              <w:spacing w:after="0" w:line="164" w:lineRule="exact"/>
              <w:rPr>
                <w:sz w:val="20"/>
                <w:szCs w:val="20"/>
                <w:color w:val="auto"/>
              </w:rPr>
            </w:pPr>
            <w:r>
              <w:rPr>
                <w:rFonts w:ascii="Calibri" w:cs="Calibri" w:eastAsia="Calibri" w:hAnsi="Calibri"/>
                <w:sz w:val="14"/>
                <w:szCs w:val="14"/>
                <w:b w:val="1"/>
                <w:bCs w:val="1"/>
                <w:color w:val="auto"/>
              </w:rPr>
              <w:t>2025</w:t>
            </w:r>
          </w:p>
        </w:tc>
        <w:tc>
          <w:tcPr>
            <w:tcW w:w="0" w:type="dxa"/>
            <w:vAlign w:val="bottom"/>
          </w:tcPr>
          <w:p>
            <w:pPr>
              <w:spacing w:after="0"/>
              <w:rPr>
                <w:sz w:val="1"/>
                <w:szCs w:val="1"/>
                <w:color w:val="auto"/>
              </w:rPr>
            </w:pPr>
          </w:p>
        </w:tc>
      </w:tr>
      <w:tr>
        <w:trPr>
          <w:trHeight w:val="46"/>
        </w:trPr>
        <w:tc>
          <w:tcPr>
            <w:tcW w:w="7180" w:type="dxa"/>
            <w:vAlign w:val="bottom"/>
            <w:vMerge w:val="restart"/>
          </w:tcPr>
          <w:p>
            <w:pPr>
              <w:spacing w:after="0"/>
              <w:rPr>
                <w:sz w:val="20"/>
                <w:szCs w:val="20"/>
                <w:color w:val="auto"/>
              </w:rPr>
            </w:pPr>
            <w:r>
              <w:rPr>
                <w:rFonts w:ascii="Calibri" w:cs="Calibri" w:eastAsia="Calibri" w:hAnsi="Calibri"/>
                <w:sz w:val="18"/>
                <w:szCs w:val="18"/>
                <w:color w:val="auto"/>
              </w:rPr>
              <w:t>Straight-line rent receivable</w:t>
            </w: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7180" w:type="dxa"/>
            <w:vAlign w:val="bottom"/>
            <w:vMerge w:val="continue"/>
          </w:tcPr>
          <w:p>
            <w:pPr>
              <w:spacing w:after="0"/>
              <w:rPr>
                <w:sz w:val="23"/>
                <w:szCs w:val="23"/>
                <w:color w:val="auto"/>
              </w:rPr>
            </w:pPr>
          </w:p>
        </w:tc>
        <w:tc>
          <w:tcPr>
            <w:tcW w:w="26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139.1</w:t>
            </w:r>
          </w:p>
        </w:tc>
        <w:tc>
          <w:tcPr>
            <w:tcW w:w="6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134.5</w:t>
            </w:r>
          </w:p>
        </w:tc>
        <w:tc>
          <w:tcPr>
            <w:tcW w:w="0" w:type="dxa"/>
            <w:vAlign w:val="bottom"/>
          </w:tcPr>
          <w:p>
            <w:pPr>
              <w:spacing w:after="0"/>
              <w:rPr>
                <w:sz w:val="1"/>
                <w:szCs w:val="1"/>
                <w:color w:val="auto"/>
              </w:rPr>
            </w:pPr>
          </w:p>
        </w:tc>
      </w:tr>
      <w:tr>
        <w:trPr>
          <w:trHeight w:val="895"/>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38"/>
              <w:spacing w:after="0"/>
              <w:rPr>
                <w:sz w:val="20"/>
                <w:szCs w:val="20"/>
                <w:color w:val="auto"/>
              </w:rPr>
            </w:pPr>
            <w:r>
              <w:rPr>
                <w:rFonts w:ascii="Calibri" w:cs="Calibri" w:eastAsia="Calibri" w:hAnsi="Calibri"/>
                <w:sz w:val="14"/>
                <w:szCs w:val="14"/>
                <w:b w:val="1"/>
                <w:bCs w:val="1"/>
                <w:color w:val="auto"/>
              </w:rPr>
              <w:t>2026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276"/>
              <w:spacing w:after="0"/>
              <w:rPr>
                <w:sz w:val="20"/>
                <w:szCs w:val="20"/>
                <w:color w:val="auto"/>
              </w:rPr>
            </w:pPr>
            <w:r>
              <w:rPr>
                <w:rFonts w:ascii="Calibri" w:cs="Calibri" w:eastAsia="Calibri" w:hAnsi="Calibri"/>
                <w:sz w:val="14"/>
                <w:szCs w:val="14"/>
                <w:b w:val="1"/>
                <w:bCs w:val="1"/>
                <w:color w:val="auto"/>
              </w:rPr>
              <w:t>2025</w:t>
            </w:r>
          </w:p>
        </w:tc>
        <w:tc>
          <w:tcPr>
            <w:tcW w:w="0" w:type="dxa"/>
            <w:vAlign w:val="bottom"/>
          </w:tcPr>
          <w:p>
            <w:pPr>
              <w:spacing w:after="0"/>
              <w:rPr>
                <w:sz w:val="1"/>
                <w:szCs w:val="1"/>
                <w:color w:val="auto"/>
              </w:rPr>
            </w:pPr>
          </w:p>
        </w:tc>
      </w:tr>
      <w:tr>
        <w:trPr>
          <w:trHeight w:val="280"/>
        </w:trPr>
        <w:tc>
          <w:tcPr>
            <w:tcW w:w="7180" w:type="dxa"/>
            <w:vAlign w:val="bottom"/>
          </w:tcPr>
          <w:p>
            <w:pPr>
              <w:spacing w:after="0"/>
              <w:rPr>
                <w:sz w:val="20"/>
                <w:szCs w:val="20"/>
                <w:color w:val="auto"/>
              </w:rPr>
            </w:pPr>
            <w:r>
              <w:rPr>
                <w:rFonts w:ascii="Calibri" w:cs="Calibri" w:eastAsia="Calibri" w:hAnsi="Calibri"/>
                <w:sz w:val="18"/>
                <w:szCs w:val="18"/>
                <w:color w:val="auto"/>
              </w:rPr>
              <w:t>Lease terminaton income (b)</w:t>
            </w:r>
          </w:p>
        </w:tc>
        <w:tc>
          <w:tcPr>
            <w:tcW w:w="2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0.2</w:t>
            </w:r>
          </w:p>
        </w:tc>
        <w:tc>
          <w:tcPr>
            <w:tcW w:w="6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0" w:type="dxa"/>
            <w:vAlign w:val="bottom"/>
          </w:tcPr>
          <w:p>
            <w:pPr>
              <w:spacing w:after="0"/>
              <w:rPr>
                <w:sz w:val="1"/>
                <w:szCs w:val="1"/>
                <w:color w:val="auto"/>
              </w:rPr>
            </w:pPr>
          </w:p>
        </w:tc>
      </w:tr>
      <w:tr>
        <w:trPr>
          <w:trHeight w:val="256"/>
        </w:trPr>
        <w:tc>
          <w:tcPr>
            <w:tcW w:w="7180" w:type="dxa"/>
            <w:vAlign w:val="bottom"/>
          </w:tcPr>
          <w:p>
            <w:pPr>
              <w:spacing w:after="0"/>
              <w:rPr>
                <w:sz w:val="20"/>
                <w:szCs w:val="20"/>
                <w:color w:val="auto"/>
              </w:rPr>
            </w:pPr>
            <w:r>
              <w:rPr>
                <w:rFonts w:ascii="Calibri" w:cs="Calibri" w:eastAsia="Calibri" w:hAnsi="Calibri"/>
                <w:sz w:val="18"/>
                <w:szCs w:val="18"/>
                <w:color w:val="auto"/>
              </w:rPr>
              <w:t>Straight-line rental income (expense) (b)</w:t>
            </w:r>
          </w:p>
        </w:tc>
        <w:tc>
          <w:tcPr>
            <w:tcW w:w="2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2.3</w:t>
            </w:r>
          </w:p>
        </w:tc>
        <w:tc>
          <w:tcPr>
            <w:tcW w:w="6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(0.2)</w:t>
            </w:r>
          </w:p>
        </w:tc>
        <w:tc>
          <w:tcPr>
            <w:tcW w:w="0" w:type="dxa"/>
            <w:vAlign w:val="bottom"/>
          </w:tcPr>
          <w:p>
            <w:pPr>
              <w:spacing w:after="0"/>
              <w:rPr>
                <w:sz w:val="1"/>
                <w:szCs w:val="1"/>
                <w:color w:val="auto"/>
              </w:rPr>
            </w:pPr>
          </w:p>
        </w:tc>
      </w:tr>
      <w:tr>
        <w:trPr>
          <w:trHeight w:val="256"/>
        </w:trPr>
        <w:tc>
          <w:tcPr>
            <w:tcW w:w="7180" w:type="dxa"/>
            <w:vAlign w:val="bottom"/>
          </w:tcPr>
          <w:p>
            <w:pPr>
              <w:spacing w:after="0"/>
              <w:rPr>
                <w:sz w:val="20"/>
                <w:szCs w:val="20"/>
                <w:color w:val="auto"/>
              </w:rPr>
            </w:pPr>
            <w:r>
              <w:rPr>
                <w:rFonts w:ascii="Calibri" w:cs="Calibri" w:eastAsia="Calibri" w:hAnsi="Calibri"/>
                <w:sz w:val="18"/>
                <w:szCs w:val="18"/>
                <w:color w:val="auto"/>
              </w:rPr>
              <w:t>Business development and parking income (c)</w:t>
            </w:r>
          </w:p>
        </w:tc>
        <w:tc>
          <w:tcPr>
            <w:tcW w:w="2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00" w:type="dxa"/>
            <w:vAlign w:val="bottom"/>
          </w:tcPr>
          <w:p>
            <w:pPr>
              <w:jc w:val="right"/>
              <w:spacing w:after="0"/>
              <w:rPr>
                <w:sz w:val="20"/>
                <w:szCs w:val="20"/>
                <w:color w:val="auto"/>
              </w:rPr>
            </w:pPr>
            <w:r>
              <w:rPr>
                <w:rFonts w:ascii="Calibri" w:cs="Calibri" w:eastAsia="Calibri" w:hAnsi="Calibri"/>
                <w:sz w:val="18"/>
                <w:szCs w:val="18"/>
                <w:color w:val="auto"/>
              </w:rPr>
              <w:t>11.8</w:t>
            </w:r>
          </w:p>
        </w:tc>
        <w:tc>
          <w:tcPr>
            <w:tcW w:w="6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rPr>
                <w:sz w:val="20"/>
                <w:szCs w:val="20"/>
                <w:color w:val="auto"/>
              </w:rPr>
            </w:pPr>
            <w:r>
              <w:rPr>
                <w:rFonts w:ascii="Calibri" w:cs="Calibri" w:eastAsia="Calibri" w:hAnsi="Calibri"/>
                <w:sz w:val="18"/>
                <w:szCs w:val="18"/>
                <w:color w:val="auto"/>
              </w:rPr>
              <w:t>12.8</w:t>
            </w:r>
          </w:p>
        </w:tc>
        <w:tc>
          <w:tcPr>
            <w:tcW w:w="0" w:type="dxa"/>
            <w:vAlign w:val="bottom"/>
          </w:tcPr>
          <w:p>
            <w:pPr>
              <w:spacing w:after="0"/>
              <w:rPr>
                <w:sz w:val="1"/>
                <w:szCs w:val="1"/>
                <w:color w:val="auto"/>
              </w:rPr>
            </w:pPr>
          </w:p>
        </w:tc>
      </w:tr>
    </w:tbl>
    <w:p>
      <w:pPr>
        <w:sectPr>
          <w:pgSz w:w="11900" w:h="16838" w:orient="portrait"/>
          <w:cols w:equalWidth="0" w:num="1">
            <w:col w:w="9480"/>
          </w:cols>
          <w:pgMar w:left="1040" w:top="28" w:right="1379" w:bottom="0" w:gutter="0" w:footer="0" w:header="0"/>
        </w:sectPr>
      </w:pPr>
    </w:p>
    <w:bookmarkStart w:id="19" w:name="page20"/>
    <w:bookmarkEnd w:id="1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7280" w:type="dxa"/>
            <w:vAlign w:val="bottom"/>
          </w:tcPr>
          <w:p>
            <w:pPr>
              <w:ind w:left="60"/>
              <w:spacing w:after="0"/>
              <w:rPr>
                <w:sz w:val="20"/>
                <w:szCs w:val="20"/>
                <w:color w:val="auto"/>
              </w:rPr>
            </w:pPr>
            <w:r>
              <w:rPr>
                <w:rFonts w:ascii="Calibri" w:cs="Calibri" w:eastAsia="Calibri" w:hAnsi="Calibri"/>
                <w:sz w:val="18"/>
                <w:szCs w:val="18"/>
                <w:color w:val="auto"/>
              </w:rPr>
              <w:t>Gain on sales or write down of undepreciated assets</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gridSpan w:val="2"/>
          </w:tcPr>
          <w:p>
            <w:pPr>
              <w:spacing w:after="0"/>
              <w:rPr>
                <w:sz w:val="20"/>
                <w:szCs w:val="20"/>
                <w:color w:val="auto"/>
              </w:rPr>
            </w:pPr>
            <w:r>
              <w:rPr>
                <w:rFonts w:ascii="Calibri" w:cs="Calibri" w:eastAsia="Calibri" w:hAnsi="Calibri"/>
                <w:sz w:val="14"/>
                <w:szCs w:val="14"/>
                <w:b w:val="1"/>
                <w:bCs w:val="1"/>
                <w:color w:val="auto"/>
                <w:w w:val="76"/>
              </w:rPr>
              <w:t>For the</w:t>
            </w:r>
            <w:r>
              <w:rPr>
                <w:rFonts w:ascii="Calibri" w:cs="Calibri" w:eastAsia="Calibri" w:hAnsi="Calibri"/>
                <w:sz w:val="17"/>
                <w:szCs w:val="17"/>
                <w:color w:val="auto"/>
                <w:w w:val="76"/>
              </w:rPr>
              <w:t>10</w:t>
            </w:r>
            <w:r>
              <w:rPr>
                <w:rFonts w:ascii="Calibri" w:cs="Calibri" w:eastAsia="Calibri" w:hAnsi="Calibri"/>
                <w:sz w:val="14"/>
                <w:szCs w:val="14"/>
                <w:b w:val="1"/>
                <w:bCs w:val="1"/>
                <w:color w:val="auto"/>
                <w:w w:val="76"/>
              </w:rPr>
              <w:t>Three</w:t>
            </w:r>
            <w:r>
              <w:rPr>
                <w:rFonts w:ascii="Calibri" w:cs="Calibri" w:eastAsia="Calibri" w:hAnsi="Calibri"/>
                <w:sz w:val="17"/>
                <w:szCs w:val="17"/>
                <w:color w:val="auto"/>
                <w:w w:val="76"/>
              </w:rPr>
              <w:t>.1</w:t>
            </w:r>
          </w:p>
        </w:tc>
        <w:tc>
          <w:tcPr>
            <w:tcW w:w="500" w:type="dxa"/>
            <w:vAlign w:val="bottom"/>
          </w:tcPr>
          <w:p>
            <w:pPr>
              <w:ind w:left="20"/>
              <w:spacing w:after="0"/>
              <w:rPr>
                <w:sz w:val="20"/>
                <w:szCs w:val="20"/>
                <w:color w:val="auto"/>
              </w:rPr>
            </w:pPr>
            <w:r>
              <w:rPr>
                <w:rFonts w:ascii="Calibri" w:cs="Calibri" w:eastAsia="Calibri" w:hAnsi="Calibri"/>
                <w:sz w:val="14"/>
                <w:szCs w:val="14"/>
                <w:b w:val="1"/>
                <w:bCs w:val="1"/>
                <w:color w:val="auto"/>
                <w:w w:val="85"/>
              </w:rPr>
              <w:t>Months</w:t>
            </w:r>
            <w:r>
              <w:rPr>
                <w:rFonts w:ascii="Calibri" w:cs="Calibri" w:eastAsia="Calibri" w:hAnsi="Calibri"/>
                <w:sz w:val="17"/>
                <w:szCs w:val="17"/>
                <w:color w:val="auto"/>
                <w:w w:val="85"/>
              </w:rPr>
              <w:t>$</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w w:val="82"/>
              </w:rPr>
              <w:t>Ended</w:t>
            </w:r>
            <w:r>
              <w:rPr>
                <w:rFonts w:ascii="Calibri" w:cs="Calibri" w:eastAsia="Calibri" w:hAnsi="Calibri"/>
                <w:sz w:val="17"/>
                <w:szCs w:val="17"/>
                <w:color w:val="auto"/>
                <w:w w:val="82"/>
              </w:rPr>
              <w:t>0.7</w:t>
            </w:r>
          </w:p>
        </w:tc>
        <w:tc>
          <w:tcPr>
            <w:tcW w:w="0" w:type="dxa"/>
            <w:vAlign w:val="bottom"/>
          </w:tcPr>
          <w:p>
            <w:pPr>
              <w:spacing w:after="0"/>
              <w:rPr>
                <w:sz w:val="1"/>
                <w:szCs w:val="1"/>
                <w:color w:val="auto"/>
              </w:rPr>
            </w:pPr>
          </w:p>
        </w:tc>
      </w:tr>
      <w:tr>
        <w:trPr>
          <w:trHeight w:val="81"/>
        </w:trPr>
        <w:tc>
          <w:tcPr>
            <w:tcW w:w="7280" w:type="dxa"/>
            <w:vAlign w:val="bottom"/>
          </w:tcPr>
          <w:p>
            <w:pPr>
              <w:ind w:left="60"/>
              <w:spacing w:after="0" w:line="81" w:lineRule="exact"/>
              <w:rPr>
                <w:sz w:val="20"/>
                <w:szCs w:val="20"/>
                <w:color w:val="auto"/>
              </w:rPr>
            </w:pPr>
            <w:r>
              <w:rPr>
                <w:rFonts w:ascii="Calibri" w:cs="Calibri" w:eastAsia="Calibri" w:hAnsi="Calibri"/>
                <w:sz w:val="8"/>
                <w:szCs w:val="8"/>
                <w:color w:val="auto"/>
              </w:rPr>
              <w:t>Amortzaton of acquired above and below-market leases, net revenue (b)</w:t>
            </w:r>
          </w:p>
        </w:tc>
        <w:tc>
          <w:tcPr>
            <w:tcW w:w="160" w:type="dxa"/>
            <w:vAlign w:val="bottom"/>
          </w:tcPr>
          <w:p>
            <w:pPr>
              <w:jc w:val="right"/>
              <w:spacing w:after="0" w:line="81" w:lineRule="exact"/>
              <w:rPr>
                <w:sz w:val="20"/>
                <w:szCs w:val="20"/>
                <w:color w:val="auto"/>
              </w:rPr>
            </w:pPr>
            <w:r>
              <w:rPr>
                <w:rFonts w:ascii="Calibri" w:cs="Calibri" w:eastAsia="Calibri" w:hAnsi="Calibri"/>
                <w:sz w:val="8"/>
                <w:szCs w:val="8"/>
                <w:color w:val="auto"/>
              </w:rPr>
              <w:t>$</w:t>
            </w:r>
          </w:p>
        </w:tc>
        <w:tc>
          <w:tcPr>
            <w:tcW w:w="760" w:type="dxa"/>
            <w:vAlign w:val="bottom"/>
          </w:tcPr>
          <w:p>
            <w:pPr>
              <w:jc w:val="right"/>
              <w:spacing w:after="0" w:line="81" w:lineRule="exact"/>
              <w:rPr>
                <w:sz w:val="20"/>
                <w:szCs w:val="20"/>
                <w:color w:val="auto"/>
              </w:rPr>
            </w:pPr>
            <w:r>
              <w:rPr>
                <w:rFonts w:ascii="Calibri" w:cs="Calibri" w:eastAsia="Calibri" w:hAnsi="Calibri"/>
                <w:sz w:val="8"/>
                <w:szCs w:val="8"/>
                <w:color w:val="auto"/>
              </w:rPr>
              <w:t>1.4</w:t>
            </w:r>
          </w:p>
        </w:tc>
        <w:tc>
          <w:tcPr>
            <w:tcW w:w="60" w:type="dxa"/>
            <w:vAlign w:val="bottom"/>
          </w:tcPr>
          <w:p>
            <w:pPr>
              <w:spacing w:after="0"/>
              <w:rPr>
                <w:sz w:val="7"/>
                <w:szCs w:val="7"/>
                <w:color w:val="auto"/>
              </w:rPr>
            </w:pPr>
          </w:p>
        </w:tc>
        <w:tc>
          <w:tcPr>
            <w:tcW w:w="500" w:type="dxa"/>
            <w:vAlign w:val="bottom"/>
          </w:tcPr>
          <w:p>
            <w:pPr>
              <w:ind w:left="40"/>
              <w:spacing w:after="0" w:line="81" w:lineRule="exact"/>
              <w:rPr>
                <w:sz w:val="20"/>
                <w:szCs w:val="20"/>
                <w:color w:val="auto"/>
              </w:rPr>
            </w:pPr>
            <w:r>
              <w:rPr>
                <w:rFonts w:ascii="Calibri" w:cs="Calibri" w:eastAsia="Calibri" w:hAnsi="Calibri"/>
                <w:sz w:val="8"/>
                <w:szCs w:val="8"/>
                <w:color w:val="auto"/>
              </w:rPr>
              <w:t>$</w:t>
            </w:r>
          </w:p>
        </w:tc>
        <w:tc>
          <w:tcPr>
            <w:tcW w:w="560" w:type="dxa"/>
            <w:vAlign w:val="bottom"/>
          </w:tcPr>
          <w:p>
            <w:pPr>
              <w:jc w:val="right"/>
              <w:spacing w:after="0" w:line="81" w:lineRule="exact"/>
              <w:rPr>
                <w:sz w:val="20"/>
                <w:szCs w:val="20"/>
                <w:color w:val="auto"/>
              </w:rPr>
            </w:pPr>
            <w:r>
              <w:rPr>
                <w:rFonts w:ascii="Calibri" w:cs="Calibri" w:eastAsia="Calibri" w:hAnsi="Calibri"/>
                <w:sz w:val="8"/>
                <w:szCs w:val="8"/>
                <w:color w:val="auto"/>
              </w:rPr>
              <w:t>1.2</w:t>
            </w:r>
          </w:p>
        </w:tc>
        <w:tc>
          <w:tcPr>
            <w:tcW w:w="0" w:type="dxa"/>
            <w:vAlign w:val="bottom"/>
          </w:tcPr>
          <w:p>
            <w:pPr>
              <w:spacing w:after="0"/>
              <w:rPr>
                <w:sz w:val="1"/>
                <w:szCs w:val="1"/>
                <w:color w:val="auto"/>
              </w:rPr>
            </w:pPr>
          </w:p>
        </w:tc>
      </w:tr>
      <w:tr>
        <w:trPr>
          <w:trHeight w:val="135"/>
        </w:trPr>
        <w:tc>
          <w:tcPr>
            <w:tcW w:w="7280" w:type="dxa"/>
            <w:vAlign w:val="bottom"/>
            <w:vMerge w:val="restart"/>
          </w:tcPr>
          <w:p>
            <w:pPr>
              <w:ind w:left="60"/>
              <w:spacing w:after="0"/>
              <w:rPr>
                <w:sz w:val="20"/>
                <w:szCs w:val="20"/>
                <w:color w:val="auto"/>
              </w:rPr>
            </w:pPr>
            <w:r>
              <w:rPr>
                <w:rFonts w:ascii="Calibri" w:cs="Calibri" w:eastAsia="Calibri" w:hAnsi="Calibri"/>
                <w:sz w:val="18"/>
                <w:szCs w:val="18"/>
                <w:color w:val="auto"/>
              </w:rPr>
              <w:t>Amortzaton of debt discounts, net (d)</w:t>
            </w: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ind w:left="560"/>
              <w:spacing w:after="0" w:line="135" w:lineRule="exact"/>
              <w:rPr>
                <w:sz w:val="20"/>
                <w:szCs w:val="20"/>
                <w:color w:val="auto"/>
              </w:rPr>
            </w:pPr>
            <w:r>
              <w:rPr>
                <w:rFonts w:ascii="Calibri" w:cs="Calibri" w:eastAsia="Calibri" w:hAnsi="Calibri"/>
                <w:sz w:val="14"/>
                <w:szCs w:val="14"/>
                <w:b w:val="1"/>
                <w:bCs w:val="1"/>
                <w:color w:val="auto"/>
              </w:rPr>
              <w:t>March 31,</w:t>
            </w: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280" w:type="dxa"/>
            <w:vAlign w:val="bottom"/>
            <w:vMerge w:val="continue"/>
          </w:tcPr>
          <w:p>
            <w:pPr>
              <w:spacing w:after="0"/>
              <w:rPr>
                <w:sz w:val="16"/>
                <w:szCs w:val="16"/>
                <w:color w:val="auto"/>
              </w:rPr>
            </w:pPr>
          </w:p>
        </w:tc>
        <w:tc>
          <w:tcPr>
            <w:tcW w:w="160" w:type="dxa"/>
            <w:vAlign w:val="bottom"/>
          </w:tcPr>
          <w:p>
            <w:pPr>
              <w:jc w:val="right"/>
              <w:spacing w:after="0" w:line="187"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187" w:lineRule="exact"/>
              <w:rPr>
                <w:sz w:val="20"/>
                <w:szCs w:val="20"/>
                <w:color w:val="auto"/>
              </w:rPr>
            </w:pPr>
            <w:r>
              <w:rPr>
                <w:rFonts w:ascii="Calibri" w:cs="Calibri" w:eastAsia="Calibri" w:hAnsi="Calibri"/>
                <w:sz w:val="18"/>
                <w:szCs w:val="18"/>
                <w:color w:val="auto"/>
              </w:rPr>
              <w:t>(4.2)</w:t>
            </w:r>
          </w:p>
        </w:tc>
        <w:tc>
          <w:tcPr>
            <w:tcW w:w="60" w:type="dxa"/>
            <w:vAlign w:val="bottom"/>
          </w:tcPr>
          <w:p>
            <w:pPr>
              <w:spacing w:after="0"/>
              <w:rPr>
                <w:sz w:val="16"/>
                <w:szCs w:val="16"/>
                <w:color w:val="auto"/>
              </w:rPr>
            </w:pPr>
          </w:p>
        </w:tc>
        <w:tc>
          <w:tcPr>
            <w:tcW w:w="500" w:type="dxa"/>
            <w:vAlign w:val="bottom"/>
          </w:tcPr>
          <w:p>
            <w:pPr>
              <w:ind w:left="40"/>
              <w:spacing w:after="0" w:line="187"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187" w:lineRule="exact"/>
              <w:rPr>
                <w:sz w:val="20"/>
                <w:szCs w:val="20"/>
                <w:color w:val="auto"/>
              </w:rPr>
            </w:pPr>
            <w:r>
              <w:rPr>
                <w:rFonts w:ascii="Calibri" w:cs="Calibri" w:eastAsia="Calibri" w:hAnsi="Calibri"/>
                <w:sz w:val="18"/>
                <w:szCs w:val="18"/>
                <w:color w:val="auto"/>
              </w:rPr>
              <w:t>(9.1)</w:t>
            </w:r>
          </w:p>
        </w:tc>
        <w:tc>
          <w:tcPr>
            <w:tcW w:w="0" w:type="dxa"/>
            <w:vAlign w:val="bottom"/>
          </w:tcPr>
          <w:p>
            <w:pPr>
              <w:spacing w:after="0"/>
              <w:rPr>
                <w:sz w:val="1"/>
                <w:szCs w:val="1"/>
                <w:color w:val="auto"/>
              </w:rPr>
            </w:pPr>
          </w:p>
        </w:tc>
      </w:tr>
      <w:tr>
        <w:trPr>
          <w:trHeight w:val="49"/>
        </w:trPr>
        <w:tc>
          <w:tcPr>
            <w:tcW w:w="7280" w:type="dxa"/>
            <w:vAlign w:val="bottom"/>
            <w:vMerge w:val="restart"/>
          </w:tcPr>
          <w:p>
            <w:pPr>
              <w:ind w:left="60"/>
              <w:spacing w:after="0" w:line="215" w:lineRule="exact"/>
              <w:rPr>
                <w:sz w:val="20"/>
                <w:szCs w:val="20"/>
                <w:color w:val="auto"/>
              </w:rPr>
            </w:pPr>
            <w:r>
              <w:rPr>
                <w:rFonts w:ascii="Calibri" w:cs="Calibri" w:eastAsia="Calibri" w:hAnsi="Calibri"/>
                <w:sz w:val="18"/>
                <w:szCs w:val="18"/>
                <w:color w:val="auto"/>
              </w:rPr>
              <w:t>Bad debt expense (b)</w:t>
            </w: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7280" w:type="dxa"/>
            <w:vAlign w:val="bottom"/>
            <w:vMerge w:val="continue"/>
          </w:tcPr>
          <w:p>
            <w:pPr>
              <w:spacing w:after="0"/>
              <w:rPr>
                <w:sz w:val="18"/>
                <w:szCs w:val="18"/>
                <w:color w:val="auto"/>
              </w:rPr>
            </w:pPr>
          </w:p>
        </w:tc>
        <w:tc>
          <w:tcPr>
            <w:tcW w:w="16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08" w:lineRule="exact"/>
              <w:rPr>
                <w:sz w:val="20"/>
                <w:szCs w:val="20"/>
                <w:color w:val="auto"/>
              </w:rPr>
            </w:pPr>
            <w:r>
              <w:rPr>
                <w:rFonts w:ascii="Calibri" w:cs="Calibri" w:eastAsia="Calibri" w:hAnsi="Calibri"/>
                <w:sz w:val="18"/>
                <w:szCs w:val="18"/>
                <w:color w:val="auto"/>
              </w:rPr>
              <w:t>1.5</w:t>
            </w:r>
          </w:p>
        </w:tc>
        <w:tc>
          <w:tcPr>
            <w:tcW w:w="60" w:type="dxa"/>
            <w:vAlign w:val="bottom"/>
            <w:vMerge w:val="continue"/>
          </w:tcPr>
          <w:p>
            <w:pPr>
              <w:spacing w:after="0"/>
              <w:rPr>
                <w:sz w:val="18"/>
                <w:szCs w:val="18"/>
                <w:color w:val="auto"/>
              </w:rPr>
            </w:pPr>
          </w:p>
        </w:tc>
        <w:tc>
          <w:tcPr>
            <w:tcW w:w="500" w:type="dxa"/>
            <w:vAlign w:val="bottom"/>
          </w:tcPr>
          <w:p>
            <w:pPr>
              <w:ind w:left="40"/>
              <w:spacing w:after="0" w:line="208"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08" w:lineRule="exact"/>
              <w:rPr>
                <w:sz w:val="20"/>
                <w:szCs w:val="20"/>
                <w:color w:val="auto"/>
              </w:rPr>
            </w:pPr>
            <w:r>
              <w:rPr>
                <w:rFonts w:ascii="Calibri" w:cs="Calibri" w:eastAsia="Calibri" w:hAnsi="Calibri"/>
                <w:sz w:val="18"/>
                <w:szCs w:val="18"/>
                <w:color w:val="auto"/>
              </w:rPr>
              <w:t>1.6</w:t>
            </w:r>
          </w:p>
        </w:tc>
        <w:tc>
          <w:tcPr>
            <w:tcW w:w="0" w:type="dxa"/>
            <w:vAlign w:val="bottom"/>
          </w:tcPr>
          <w:p>
            <w:pPr>
              <w:spacing w:after="0"/>
              <w:rPr>
                <w:sz w:val="1"/>
                <w:szCs w:val="1"/>
                <w:color w:val="auto"/>
              </w:rPr>
            </w:pPr>
          </w:p>
        </w:tc>
      </w:tr>
      <w:tr>
        <w:trPr>
          <w:trHeight w:val="28"/>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Leasing expense</w:t>
            </w:r>
          </w:p>
        </w:tc>
        <w:tc>
          <w:tcPr>
            <w:tcW w:w="16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14.8</w:t>
            </w:r>
          </w:p>
        </w:tc>
        <w:tc>
          <w:tcPr>
            <w:tcW w:w="60" w:type="dxa"/>
            <w:vAlign w:val="bottom"/>
            <w:tcBorders>
              <w:bottom w:val="single" w:sz="8" w:color="F5F5F5"/>
            </w:tcBorders>
            <w:shd w:val="clear" w:color="auto" w:fill="F5F5F5"/>
          </w:tcPr>
          <w:p>
            <w:pPr>
              <w:spacing w:after="0"/>
              <w:rPr>
                <w:sz w:val="20"/>
                <w:szCs w:val="20"/>
                <w:color w:val="auto"/>
              </w:rPr>
            </w:pPr>
          </w:p>
        </w:tc>
        <w:tc>
          <w:tcPr>
            <w:tcW w:w="500" w:type="dxa"/>
            <w:vAlign w:val="bottom"/>
            <w:tcBorders>
              <w:bottom w:val="single" w:sz="8" w:color="F5F5F5"/>
            </w:tcBorders>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12.0</w:t>
            </w:r>
          </w:p>
        </w:tc>
        <w:tc>
          <w:tcPr>
            <w:tcW w:w="0" w:type="dxa"/>
            <w:vAlign w:val="bottom"/>
          </w:tcPr>
          <w:p>
            <w:pPr>
              <w:spacing w:after="0"/>
              <w:rPr>
                <w:sz w:val="1"/>
                <w:szCs w:val="1"/>
                <w:color w:val="auto"/>
              </w:rPr>
            </w:pPr>
          </w:p>
        </w:tc>
      </w:tr>
      <w:tr>
        <w:trPr>
          <w:trHeight w:val="215"/>
        </w:trPr>
        <w:tc>
          <w:tcPr>
            <w:tcW w:w="7280" w:type="dxa"/>
            <w:vAlign w:val="bottom"/>
          </w:tcPr>
          <w:p>
            <w:pPr>
              <w:ind w:left="60"/>
              <w:spacing w:after="0" w:line="215" w:lineRule="exact"/>
              <w:rPr>
                <w:sz w:val="20"/>
                <w:szCs w:val="20"/>
                <w:color w:val="auto"/>
              </w:rPr>
            </w:pPr>
            <w:r>
              <w:rPr>
                <w:rFonts w:ascii="Calibri" w:cs="Calibri" w:eastAsia="Calibri" w:hAnsi="Calibri"/>
                <w:sz w:val="18"/>
                <w:szCs w:val="18"/>
                <w:color w:val="auto"/>
              </w:rPr>
              <w:t>Interest capitalized (d)</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5.2</w:t>
            </w:r>
          </w:p>
        </w:tc>
        <w:tc>
          <w:tcPr>
            <w:tcW w:w="60" w:type="dxa"/>
            <w:vAlign w:val="bottom"/>
          </w:tcPr>
          <w:p>
            <w:pPr>
              <w:spacing w:after="0"/>
              <w:rPr>
                <w:sz w:val="18"/>
                <w:szCs w:val="18"/>
                <w:color w:val="auto"/>
              </w:rPr>
            </w:pPr>
          </w:p>
        </w:tc>
        <w:tc>
          <w:tcPr>
            <w:tcW w:w="500" w:type="dxa"/>
            <w:vAlign w:val="bottom"/>
          </w:tcPr>
          <w:p>
            <w:pPr>
              <w:ind w:left="4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6.4</w:t>
            </w:r>
          </w:p>
        </w:tc>
        <w:tc>
          <w:tcPr>
            <w:tcW w:w="0" w:type="dxa"/>
            <w:vAlign w:val="bottom"/>
          </w:tcPr>
          <w:p>
            <w:pPr>
              <w:spacing w:after="0"/>
              <w:rPr>
                <w:sz w:val="1"/>
                <w:szCs w:val="1"/>
                <w:color w:val="auto"/>
              </w:rPr>
            </w:pPr>
          </w:p>
        </w:tc>
      </w:tr>
      <w:tr>
        <w:trPr>
          <w:trHeight w:val="42"/>
        </w:trPr>
        <w:tc>
          <w:tcPr>
            <w:tcW w:w="7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280" w:type="dxa"/>
            <w:vAlign w:val="bottom"/>
            <w:tcBorders>
              <w:bottom w:val="single" w:sz="8" w:color="F5F5F5"/>
            </w:tcBorders>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Employee severance costs (e)</w:t>
            </w:r>
          </w:p>
        </w:tc>
        <w:tc>
          <w:tcPr>
            <w:tcW w:w="16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F5F5F5"/>
            </w:tcBorders>
            <w:gridSpan w:val="2"/>
            <w:shd w:val="clear" w:color="auto" w:fill="F5F5F5"/>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Borders>
              <w:bottom w:val="single" w:sz="8" w:color="F5F5F5"/>
            </w:tcBorders>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F5F5F5"/>
            </w:tcBorders>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1.8</w:t>
            </w:r>
          </w:p>
        </w:tc>
        <w:tc>
          <w:tcPr>
            <w:tcW w:w="0" w:type="dxa"/>
            <w:vAlign w:val="bottom"/>
          </w:tcPr>
          <w:p>
            <w:pPr>
              <w:spacing w:after="0"/>
              <w:rPr>
                <w:sz w:val="1"/>
                <w:szCs w:val="1"/>
                <w:color w:val="auto"/>
              </w:rPr>
            </w:pPr>
          </w:p>
        </w:tc>
      </w:tr>
      <w:tr>
        <w:trPr>
          <w:trHeight w:val="215"/>
        </w:trPr>
        <w:tc>
          <w:tcPr>
            <w:tcW w:w="7280" w:type="dxa"/>
            <w:vAlign w:val="bottom"/>
          </w:tcPr>
          <w:p>
            <w:pPr>
              <w:ind w:left="60"/>
              <w:spacing w:after="0" w:line="215" w:lineRule="exact"/>
              <w:rPr>
                <w:sz w:val="20"/>
                <w:szCs w:val="20"/>
                <w:color w:val="auto"/>
              </w:rPr>
            </w:pPr>
            <w:r>
              <w:rPr>
                <w:rFonts w:ascii="Calibri" w:cs="Calibri" w:eastAsia="Calibri" w:hAnsi="Calibri"/>
                <w:sz w:val="18"/>
                <w:szCs w:val="18"/>
                <w:color w:val="auto"/>
              </w:rPr>
              <w:t>Legal claims setlement (expense) income, net (f)</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(0.4)</w:t>
            </w:r>
          </w:p>
        </w:tc>
        <w:tc>
          <w:tcPr>
            <w:tcW w:w="60" w:type="dxa"/>
            <w:vAlign w:val="bottom"/>
          </w:tcPr>
          <w:p>
            <w:pPr>
              <w:spacing w:after="0"/>
              <w:rPr>
                <w:sz w:val="18"/>
                <w:szCs w:val="18"/>
                <w:color w:val="auto"/>
              </w:rPr>
            </w:pPr>
          </w:p>
        </w:tc>
        <w:tc>
          <w:tcPr>
            <w:tcW w:w="500" w:type="dxa"/>
            <w:vAlign w:val="bottom"/>
          </w:tcPr>
          <w:p>
            <w:pPr>
              <w:ind w:left="4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-1181735</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95" w:lineRule="exact"/>
        <w:rPr>
          <w:sz w:val="20"/>
          <w:szCs w:val="20"/>
          <w:color w:val="auto"/>
        </w:rPr>
      </w:pPr>
    </w:p>
    <w:p>
      <w:pPr>
        <w:ind w:left="20"/>
        <w:spacing w:after="0"/>
        <w:tabs>
          <w:tab w:leader="none" w:pos="420" w:val="left"/>
        </w:tabs>
        <w:rPr>
          <w:sz w:val="20"/>
          <w:szCs w:val="20"/>
          <w:color w:val="auto"/>
        </w:rPr>
      </w:pPr>
      <w:r>
        <w:rPr>
          <w:rFonts w:ascii="Calibri" w:cs="Calibri" w:eastAsia="Calibri" w:hAnsi="Calibri"/>
          <w:sz w:val="14"/>
          <w:szCs w:val="14"/>
          <w:color w:val="auto"/>
        </w:rPr>
        <w:t>(a)</w:t>
      </w:r>
      <w:r>
        <w:rPr>
          <w:sz w:val="20"/>
          <w:szCs w:val="20"/>
          <w:color w:val="auto"/>
        </w:rPr>
        <w:tab/>
      </w:r>
      <w:r>
        <w:rPr>
          <w:rFonts w:ascii="Calibri" w:cs="Calibri" w:eastAsia="Calibri" w:hAnsi="Calibri"/>
          <w:sz w:val="14"/>
          <w:szCs w:val="14"/>
          <w:color w:val="auto"/>
        </w:rPr>
        <w:t>All joint venture amounts included at pro rata.</w:t>
      </w:r>
    </w:p>
    <w:p>
      <w:pPr>
        <w:spacing w:after="0" w:line="180" w:lineRule="exact"/>
        <w:rPr>
          <w:sz w:val="20"/>
          <w:szCs w:val="20"/>
          <w:color w:val="auto"/>
        </w:rPr>
      </w:pPr>
    </w:p>
    <w:p>
      <w:pPr>
        <w:ind w:left="20"/>
        <w:spacing w:after="0"/>
        <w:tabs>
          <w:tab w:leader="none" w:pos="420" w:val="left"/>
        </w:tabs>
        <w:rPr>
          <w:sz w:val="20"/>
          <w:szCs w:val="20"/>
          <w:color w:val="auto"/>
        </w:rPr>
      </w:pPr>
      <w:r>
        <w:rPr>
          <w:rFonts w:ascii="Calibri" w:cs="Calibri" w:eastAsia="Calibri" w:hAnsi="Calibri"/>
          <w:sz w:val="14"/>
          <w:szCs w:val="14"/>
          <w:color w:val="auto"/>
        </w:rPr>
        <w:t>(b)</w:t>
      </w:r>
      <w:r>
        <w:rPr>
          <w:sz w:val="20"/>
          <w:szCs w:val="20"/>
          <w:color w:val="auto"/>
        </w:rPr>
        <w:tab/>
      </w:r>
      <w:r>
        <w:rPr>
          <w:rFonts w:ascii="Calibri" w:cs="Calibri" w:eastAsia="Calibri" w:hAnsi="Calibri"/>
          <w:sz w:val="14"/>
          <w:szCs w:val="14"/>
          <w:color w:val="auto"/>
        </w:rPr>
        <w:t>Included in leasing revenue.</w:t>
      </w:r>
    </w:p>
    <w:p>
      <w:pPr>
        <w:spacing w:after="0" w:line="167" w:lineRule="exact"/>
        <w:rPr>
          <w:sz w:val="20"/>
          <w:szCs w:val="20"/>
          <w:color w:val="auto"/>
        </w:rPr>
      </w:pPr>
    </w:p>
    <w:p>
      <w:pPr>
        <w:ind w:left="20"/>
        <w:spacing w:after="0"/>
        <w:tabs>
          <w:tab w:leader="none" w:pos="420" w:val="left"/>
        </w:tabs>
        <w:rPr>
          <w:sz w:val="20"/>
          <w:szCs w:val="20"/>
          <w:color w:val="auto"/>
        </w:rPr>
      </w:pPr>
      <w:r>
        <w:rPr>
          <w:rFonts w:ascii="Calibri" w:cs="Calibri" w:eastAsia="Calibri" w:hAnsi="Calibri"/>
          <w:sz w:val="14"/>
          <w:szCs w:val="14"/>
          <w:color w:val="auto"/>
        </w:rPr>
        <w:t>(c)</w:t>
      </w:r>
      <w:r>
        <w:rPr>
          <w:sz w:val="20"/>
          <w:szCs w:val="20"/>
          <w:color w:val="auto"/>
        </w:rPr>
        <w:tab/>
      </w:r>
      <w:r>
        <w:rPr>
          <w:rFonts w:ascii="Calibri" w:cs="Calibri" w:eastAsia="Calibri" w:hAnsi="Calibri"/>
          <w:sz w:val="14"/>
          <w:szCs w:val="14"/>
          <w:color w:val="auto"/>
        </w:rPr>
        <w:t>Included in leasing revenue and other income.</w:t>
      </w:r>
    </w:p>
    <w:p>
      <w:pPr>
        <w:spacing w:after="0" w:line="180" w:lineRule="exact"/>
        <w:rPr>
          <w:sz w:val="20"/>
          <w:szCs w:val="20"/>
          <w:color w:val="auto"/>
        </w:rPr>
      </w:pPr>
    </w:p>
    <w:p>
      <w:pPr>
        <w:ind w:left="20"/>
        <w:spacing w:after="0"/>
        <w:tabs>
          <w:tab w:leader="none" w:pos="420" w:val="left"/>
        </w:tabs>
        <w:rPr>
          <w:sz w:val="20"/>
          <w:szCs w:val="20"/>
          <w:color w:val="auto"/>
        </w:rPr>
      </w:pPr>
      <w:r>
        <w:rPr>
          <w:rFonts w:ascii="Calibri" w:cs="Calibri" w:eastAsia="Calibri" w:hAnsi="Calibri"/>
          <w:sz w:val="14"/>
          <w:szCs w:val="14"/>
          <w:color w:val="auto"/>
        </w:rPr>
        <w:t>(d)</w:t>
      </w:r>
      <w:r>
        <w:rPr>
          <w:sz w:val="20"/>
          <w:szCs w:val="20"/>
          <w:color w:val="auto"/>
        </w:rPr>
        <w:tab/>
      </w:r>
      <w:r>
        <w:rPr>
          <w:rFonts w:ascii="Calibri" w:cs="Calibri" w:eastAsia="Calibri" w:hAnsi="Calibri"/>
          <w:sz w:val="14"/>
          <w:szCs w:val="14"/>
          <w:color w:val="auto"/>
        </w:rPr>
        <w:t>Included in interest expense.</w:t>
      </w:r>
    </w:p>
    <w:p>
      <w:pPr>
        <w:spacing w:after="0" w:line="180" w:lineRule="exact"/>
        <w:rPr>
          <w:sz w:val="20"/>
          <w:szCs w:val="20"/>
          <w:color w:val="auto"/>
        </w:rPr>
      </w:pPr>
    </w:p>
    <w:p>
      <w:pPr>
        <w:ind w:left="440" w:hanging="413"/>
        <w:spacing w:after="0"/>
        <w:tabs>
          <w:tab w:leader="none" w:pos="440" w:val="left"/>
        </w:tabs>
        <w:numPr>
          <w:ilvl w:val="0"/>
          <w:numId w:val="9"/>
        </w:numPr>
        <w:rPr>
          <w:rFonts w:ascii="Calibri" w:cs="Calibri" w:eastAsia="Calibri" w:hAnsi="Calibri"/>
          <w:sz w:val="14"/>
          <w:szCs w:val="14"/>
          <w:color w:val="auto"/>
        </w:rPr>
      </w:pPr>
      <w:r>
        <w:rPr>
          <w:rFonts w:ascii="Calibri" w:cs="Calibri" w:eastAsia="Calibri" w:hAnsi="Calibri"/>
          <w:sz w:val="14"/>
          <w:szCs w:val="14"/>
          <w:color w:val="auto"/>
        </w:rPr>
        <w:t>Included in management companies' operatng expenses.</w:t>
      </w:r>
    </w:p>
    <w:p>
      <w:pPr>
        <w:spacing w:after="0" w:line="166" w:lineRule="exact"/>
        <w:rPr>
          <w:rFonts w:ascii="Calibri" w:cs="Calibri" w:eastAsia="Calibri" w:hAnsi="Calibri"/>
          <w:sz w:val="14"/>
          <w:szCs w:val="14"/>
          <w:color w:val="auto"/>
        </w:rPr>
      </w:pPr>
    </w:p>
    <w:p>
      <w:pPr>
        <w:ind w:left="440" w:hanging="413"/>
        <w:spacing w:after="0"/>
        <w:tabs>
          <w:tab w:leader="none" w:pos="440" w:val="left"/>
        </w:tabs>
        <w:numPr>
          <w:ilvl w:val="0"/>
          <w:numId w:val="9"/>
        </w:numPr>
        <w:rPr>
          <w:rFonts w:ascii="Calibri" w:cs="Calibri" w:eastAsia="Calibri" w:hAnsi="Calibri"/>
          <w:sz w:val="14"/>
          <w:szCs w:val="14"/>
          <w:color w:val="auto"/>
        </w:rPr>
      </w:pPr>
      <w:r>
        <w:rPr>
          <w:rFonts w:ascii="Calibri" w:cs="Calibri" w:eastAsia="Calibri" w:hAnsi="Calibri"/>
          <w:sz w:val="14"/>
          <w:szCs w:val="14"/>
          <w:color w:val="auto"/>
        </w:rPr>
        <w:t>Included in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The Macerich Company</w:t>
      </w:r>
    </w:p>
    <w:p>
      <w:pPr>
        <w:jc w:val="center"/>
        <w:ind w:right="80"/>
        <w:spacing w:after="0" w:line="206" w:lineRule="auto"/>
        <w:rPr>
          <w:sz w:val="20"/>
          <w:szCs w:val="20"/>
          <w:color w:val="auto"/>
        </w:rPr>
      </w:pPr>
      <w:r>
        <w:rPr>
          <w:rFonts w:ascii="Calibri" w:cs="Calibri" w:eastAsia="Calibri" w:hAnsi="Calibri"/>
          <w:sz w:val="18"/>
          <w:szCs w:val="18"/>
          <w:b w:val="1"/>
          <w:bCs w:val="1"/>
          <w:color w:val="auto"/>
        </w:rPr>
        <w:t>Supplemental Financial and Operatng Informaton (unaudited)</w:t>
      </w:r>
    </w:p>
    <w:p>
      <w:pPr>
        <w:jc w:val="center"/>
        <w:spacing w:after="0" w:line="221" w:lineRule="auto"/>
        <w:rPr>
          <w:sz w:val="20"/>
          <w:szCs w:val="20"/>
          <w:color w:val="auto"/>
        </w:rPr>
      </w:pPr>
      <w:r>
        <w:rPr>
          <w:rFonts w:ascii="Calibri" w:cs="Calibri" w:eastAsia="Calibri" w:hAnsi="Calibri"/>
          <w:sz w:val="18"/>
          <w:szCs w:val="18"/>
          <w:b w:val="1"/>
          <w:bCs w:val="1"/>
          <w:color w:val="auto"/>
        </w:rPr>
        <w:t>Capital Expenditures(a)</w:t>
      </w:r>
    </w:p>
    <w:p>
      <w:pPr>
        <w:jc w:val="center"/>
        <w:spacing w:after="0" w:line="221" w:lineRule="auto"/>
        <w:rPr>
          <w:sz w:val="20"/>
          <w:szCs w:val="20"/>
          <w:color w:val="auto"/>
        </w:rPr>
      </w:pPr>
      <w:r>
        <w:rPr>
          <w:rFonts w:ascii="Calibri" w:cs="Calibri" w:eastAsia="Calibri" w:hAnsi="Calibri"/>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ind w:right="252"/>
              <w:spacing w:after="0"/>
              <w:rPr>
                <w:sz w:val="20"/>
                <w:szCs w:val="20"/>
                <w:color w:val="auto"/>
              </w:rPr>
            </w:pPr>
            <w:r>
              <w:rPr>
                <w:rFonts w:ascii="Calibri" w:cs="Calibri" w:eastAsia="Calibri" w:hAnsi="Calibri"/>
                <w:sz w:val="14"/>
                <w:szCs w:val="14"/>
                <w:b w:val="1"/>
                <w:bCs w:val="1"/>
                <w:color w:val="auto"/>
              </w:rPr>
              <w:t>2026</w:t>
            </w:r>
          </w:p>
        </w:tc>
        <w:tc>
          <w:tcPr>
            <w:tcW w:w="280" w:type="dxa"/>
            <w:vAlign w:val="bottom"/>
          </w:tcPr>
          <w:p>
            <w:pPr>
              <w:spacing w:after="0"/>
              <w:rPr>
                <w:sz w:val="14"/>
                <w:szCs w:val="14"/>
                <w:color w:val="auto"/>
              </w:rPr>
            </w:pPr>
          </w:p>
        </w:tc>
        <w:tc>
          <w:tcPr>
            <w:tcW w:w="760" w:type="dxa"/>
            <w:vAlign w:val="bottom"/>
          </w:tcPr>
          <w:p>
            <w:pPr>
              <w:jc w:val="right"/>
              <w:ind w:right="292"/>
              <w:spacing w:after="0"/>
              <w:rPr>
                <w:sz w:val="20"/>
                <w:szCs w:val="20"/>
                <w:color w:val="auto"/>
              </w:rPr>
            </w:pPr>
            <w:r>
              <w:rPr>
                <w:rFonts w:ascii="Calibri" w:cs="Calibri" w:eastAsia="Calibri" w:hAnsi="Calibri"/>
                <w:sz w:val="14"/>
                <w:szCs w:val="14"/>
                <w:b w:val="1"/>
                <w:bCs w:val="1"/>
                <w:color w:val="auto"/>
              </w:rPr>
              <w:t>2025</w:t>
            </w:r>
          </w:p>
        </w:tc>
        <w:tc>
          <w:tcPr>
            <w:tcW w:w="280" w:type="dxa"/>
            <w:vAlign w:val="bottom"/>
          </w:tcPr>
          <w:p>
            <w:pPr>
              <w:spacing w:after="0"/>
              <w:rPr>
                <w:sz w:val="14"/>
                <w:szCs w:val="14"/>
                <w:color w:val="auto"/>
              </w:rPr>
            </w:pPr>
          </w:p>
        </w:tc>
        <w:tc>
          <w:tcPr>
            <w:tcW w:w="740" w:type="dxa"/>
            <w:vAlign w:val="bottom"/>
          </w:tcPr>
          <w:p>
            <w:pPr>
              <w:jc w:val="right"/>
              <w:ind w:right="252"/>
              <w:spacing w:after="0"/>
              <w:rPr>
                <w:sz w:val="20"/>
                <w:szCs w:val="20"/>
                <w:color w:val="auto"/>
              </w:rPr>
            </w:pPr>
            <w:r>
              <w:rPr>
                <w:rFonts w:ascii="Calibri" w:cs="Calibri" w:eastAsia="Calibri" w:hAnsi="Calibri"/>
                <w:sz w:val="14"/>
                <w:szCs w:val="14"/>
                <w:b w:val="1"/>
                <w:bCs w:val="1"/>
                <w:color w:val="auto"/>
              </w:rPr>
              <w:t>2025</w:t>
            </w:r>
          </w:p>
        </w:tc>
        <w:tc>
          <w:tcPr>
            <w:tcW w:w="2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Calibri" w:cs="Calibri" w:eastAsia="Calibri" w:hAnsi="Calibri"/>
                <w:sz w:val="14"/>
                <w:szCs w:val="14"/>
                <w:b w:val="1"/>
                <w:bCs w:val="1"/>
                <w:color w:val="auto"/>
              </w:rPr>
              <w:t>2024</w:t>
            </w:r>
          </w:p>
        </w:tc>
      </w:tr>
      <w:tr>
        <w:trPr>
          <w:trHeight w:val="266"/>
        </w:trPr>
        <w:tc>
          <w:tcPr>
            <w:tcW w:w="5460" w:type="dxa"/>
            <w:vAlign w:val="bottom"/>
          </w:tcPr>
          <w:p>
            <w:pPr>
              <w:spacing w:after="0"/>
              <w:rPr>
                <w:sz w:val="20"/>
                <w:szCs w:val="20"/>
                <w:color w:val="auto"/>
              </w:rPr>
            </w:pPr>
            <w:r>
              <w:rPr>
                <w:rFonts w:ascii="Calibri" w:cs="Calibri" w:eastAsia="Calibri" w:hAnsi="Calibri"/>
                <w:sz w:val="18"/>
                <w:szCs w:val="18"/>
                <w:b w:val="1"/>
                <w:bCs w:val="1"/>
                <w:color w:val="007681"/>
              </w:rPr>
              <w:t>Consolidated Centers</w:t>
            </w: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84"/>
        </w:trPr>
        <w:tc>
          <w:tcPr>
            <w:tcW w:w="5460" w:type="dxa"/>
            <w:vAlign w:val="bottom"/>
          </w:tcPr>
          <w:p>
            <w:pPr>
              <w:spacing w:after="0"/>
              <w:rPr>
                <w:sz w:val="20"/>
                <w:szCs w:val="20"/>
                <w:color w:val="auto"/>
              </w:rPr>
            </w:pPr>
            <w:r>
              <w:rPr>
                <w:rFonts w:ascii="Calibri" w:cs="Calibri" w:eastAsia="Calibri" w:hAnsi="Calibri"/>
                <w:sz w:val="18"/>
                <w:szCs w:val="18"/>
                <w:color w:val="auto"/>
              </w:rPr>
              <w:t>Acquisitons of property (b)</w:t>
            </w:r>
          </w:p>
        </w:tc>
        <w:tc>
          <w:tcPr>
            <w:tcW w:w="6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760" w:type="dxa"/>
            <w:vAlign w:val="bottom"/>
          </w:tcPr>
          <w:p>
            <w:pPr>
              <w:jc w:val="right"/>
              <w:ind w:right="32"/>
              <w:spacing w:after="0"/>
              <w:rPr>
                <w:sz w:val="20"/>
                <w:szCs w:val="20"/>
                <w:color w:val="auto"/>
              </w:rPr>
            </w:pPr>
            <w:r>
              <w:rPr>
                <w:rFonts w:ascii="Calibri" w:cs="Calibri" w:eastAsia="Calibri" w:hAnsi="Calibri"/>
                <w:sz w:val="18"/>
                <w:szCs w:val="18"/>
                <w:color w:val="auto"/>
              </w:rPr>
              <w:t>—</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290.0</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660" w:type="dxa"/>
            <w:vAlign w:val="bottom"/>
          </w:tcPr>
          <w:p>
            <w:pPr>
              <w:jc w:val="right"/>
              <w:spacing w:after="0"/>
              <w:rPr>
                <w:sz w:val="20"/>
                <w:szCs w:val="20"/>
                <w:color w:val="auto"/>
              </w:rPr>
            </w:pPr>
            <w:r>
              <w:rPr>
                <w:rFonts w:ascii="Calibri" w:cs="Calibri" w:eastAsia="Calibri" w:hAnsi="Calibri"/>
                <w:sz w:val="18"/>
                <w:szCs w:val="18"/>
                <w:color w:val="auto"/>
              </w:rPr>
              <w:t>170.8</w:t>
            </w:r>
          </w:p>
        </w:tc>
      </w:tr>
      <w:tr>
        <w:trPr>
          <w:trHeight w:val="256"/>
        </w:trPr>
        <w:tc>
          <w:tcPr>
            <w:tcW w:w="5460" w:type="dxa"/>
            <w:vAlign w:val="bottom"/>
          </w:tcPr>
          <w:p>
            <w:pPr>
              <w:spacing w:after="0"/>
              <w:rPr>
                <w:sz w:val="20"/>
                <w:szCs w:val="20"/>
                <w:color w:val="auto"/>
              </w:rPr>
            </w:pPr>
            <w:r>
              <w:rPr>
                <w:rFonts w:ascii="Calibri" w:cs="Calibri" w:eastAsia="Calibri" w:hAnsi="Calibri"/>
                <w:sz w:val="18"/>
                <w:szCs w:val="18"/>
                <w:color w:val="auto"/>
              </w:rPr>
              <w:t>Property improvements</w:t>
            </w:r>
          </w:p>
        </w:tc>
        <w:tc>
          <w:tcPr>
            <w:tcW w:w="6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4.2</w:t>
            </w:r>
          </w:p>
        </w:tc>
        <w:tc>
          <w:tcPr>
            <w:tcW w:w="28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Calibri" w:cs="Calibri" w:eastAsia="Calibri" w:hAnsi="Calibri"/>
                <w:sz w:val="18"/>
                <w:szCs w:val="18"/>
                <w:color w:val="auto"/>
              </w:rPr>
              <w:t>2.9</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34.6</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43.3</w:t>
            </w:r>
          </w:p>
        </w:tc>
      </w:tr>
      <w:tr>
        <w:trPr>
          <w:trHeight w:val="256"/>
        </w:trPr>
        <w:tc>
          <w:tcPr>
            <w:tcW w:w="5460" w:type="dxa"/>
            <w:vAlign w:val="bottom"/>
          </w:tcPr>
          <w:p>
            <w:pPr>
              <w:spacing w:after="0"/>
              <w:rPr>
                <w:sz w:val="20"/>
                <w:szCs w:val="20"/>
                <w:color w:val="auto"/>
              </w:rPr>
            </w:pPr>
            <w:r>
              <w:rPr>
                <w:rFonts w:ascii="Calibri" w:cs="Calibri" w:eastAsia="Calibri" w:hAnsi="Calibri"/>
                <w:sz w:val="18"/>
                <w:szCs w:val="18"/>
                <w:color w:val="auto"/>
              </w:rPr>
              <w:t>Development, redevelopment, expansions and renovatons of Centers</w:t>
            </w:r>
          </w:p>
        </w:tc>
        <w:tc>
          <w:tcPr>
            <w:tcW w:w="6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36.5</w:t>
            </w:r>
          </w:p>
        </w:tc>
        <w:tc>
          <w:tcPr>
            <w:tcW w:w="28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Calibri" w:cs="Calibri" w:eastAsia="Calibri" w:hAnsi="Calibri"/>
                <w:sz w:val="18"/>
                <w:szCs w:val="18"/>
                <w:color w:val="auto"/>
              </w:rPr>
              <w:t>34.0</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100.2</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104.5</w:t>
            </w:r>
          </w:p>
        </w:tc>
      </w:tr>
      <w:tr>
        <w:trPr>
          <w:trHeight w:val="257"/>
        </w:trPr>
        <w:tc>
          <w:tcPr>
            <w:tcW w:w="5460" w:type="dxa"/>
            <w:vAlign w:val="bottom"/>
          </w:tcPr>
          <w:p>
            <w:pPr>
              <w:spacing w:after="0"/>
              <w:rPr>
                <w:sz w:val="20"/>
                <w:szCs w:val="20"/>
                <w:color w:val="auto"/>
              </w:rPr>
            </w:pPr>
            <w:r>
              <w:rPr>
                <w:rFonts w:ascii="Calibri" w:cs="Calibri" w:eastAsia="Calibri" w:hAnsi="Calibri"/>
                <w:sz w:val="18"/>
                <w:szCs w:val="18"/>
                <w:color w:val="auto"/>
              </w:rPr>
              <w:t>Tenant allowances</w:t>
            </w:r>
          </w:p>
        </w:tc>
        <w:tc>
          <w:tcPr>
            <w:tcW w:w="6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10.8</w:t>
            </w:r>
          </w:p>
        </w:tc>
        <w:tc>
          <w:tcPr>
            <w:tcW w:w="28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Calibri" w:cs="Calibri" w:eastAsia="Calibri" w:hAnsi="Calibri"/>
                <w:sz w:val="18"/>
                <w:szCs w:val="18"/>
                <w:color w:val="auto"/>
              </w:rPr>
              <w:t>3.9</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31.4</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20.6</w:t>
            </w:r>
          </w:p>
        </w:tc>
      </w:tr>
      <w:tr>
        <w:trPr>
          <w:trHeight w:val="264"/>
        </w:trPr>
        <w:tc>
          <w:tcPr>
            <w:tcW w:w="5460" w:type="dxa"/>
            <w:vAlign w:val="bottom"/>
          </w:tcPr>
          <w:p>
            <w:pPr>
              <w:spacing w:after="0"/>
              <w:rPr>
                <w:sz w:val="20"/>
                <w:szCs w:val="20"/>
                <w:color w:val="auto"/>
              </w:rPr>
            </w:pPr>
            <w:r>
              <w:rPr>
                <w:rFonts w:ascii="Calibri" w:cs="Calibri" w:eastAsia="Calibri" w:hAnsi="Calibri"/>
                <w:sz w:val="18"/>
                <w:szCs w:val="18"/>
                <w:color w:val="auto"/>
              </w:rPr>
              <w:t>Deferred leasing charges</w:t>
            </w:r>
          </w:p>
        </w:tc>
        <w:tc>
          <w:tcPr>
            <w:tcW w:w="6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8"/>
        </w:trPr>
        <w:tc>
          <w:tcPr>
            <w:tcW w:w="5460" w:type="dxa"/>
            <w:vAlign w:val="bottom"/>
          </w:tcPr>
          <w:p>
            <w:pPr>
              <w:ind w:left="340"/>
              <w:spacing w:after="0"/>
              <w:rPr>
                <w:sz w:val="20"/>
                <w:szCs w:val="20"/>
                <w:color w:val="auto"/>
              </w:rPr>
            </w:pPr>
            <w:r>
              <w:rPr>
                <w:rFonts w:ascii="Calibri" w:cs="Calibri" w:eastAsia="Calibri" w:hAnsi="Calibri"/>
                <w:sz w:val="18"/>
                <w:szCs w:val="18"/>
                <w:b w:val="1"/>
                <w:bCs w:val="1"/>
                <w:color w:val="auto"/>
              </w:rPr>
              <w:t>Total</w:t>
            </w:r>
          </w:p>
        </w:tc>
        <w:tc>
          <w:tcPr>
            <w:tcW w:w="6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54.1</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760" w:type="dxa"/>
            <w:vAlign w:val="bottom"/>
          </w:tcPr>
          <w:p>
            <w:pPr>
              <w:jc w:val="right"/>
              <w:ind w:right="32"/>
              <w:spacing w:after="0"/>
              <w:rPr>
                <w:sz w:val="20"/>
                <w:szCs w:val="20"/>
                <w:color w:val="auto"/>
              </w:rPr>
            </w:pPr>
            <w:r>
              <w:rPr>
                <w:rFonts w:ascii="Calibri" w:cs="Calibri" w:eastAsia="Calibri" w:hAnsi="Calibri"/>
                <w:sz w:val="18"/>
                <w:szCs w:val="18"/>
                <w:color w:val="auto"/>
              </w:rPr>
              <w:t>42.3</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461.7</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660" w:type="dxa"/>
            <w:vAlign w:val="bottom"/>
          </w:tcPr>
          <w:p>
            <w:pPr>
              <w:jc w:val="right"/>
              <w:spacing w:after="0"/>
              <w:rPr>
                <w:sz w:val="20"/>
                <w:szCs w:val="20"/>
                <w:color w:val="auto"/>
              </w:rPr>
            </w:pPr>
            <w:r>
              <w:rPr>
                <w:rFonts w:ascii="Calibri" w:cs="Calibri" w:eastAsia="Calibri" w:hAnsi="Calibri"/>
                <w:sz w:val="18"/>
                <w:szCs w:val="18"/>
                <w:color w:val="auto"/>
              </w:rPr>
              <w:t>343.6</w:t>
            </w:r>
          </w:p>
        </w:tc>
      </w:tr>
      <w:tr>
        <w:trPr>
          <w:trHeight w:val="230"/>
        </w:trPr>
        <w:tc>
          <w:tcPr>
            <w:tcW w:w="5460" w:type="dxa"/>
            <w:vAlign w:val="bottom"/>
          </w:tcPr>
          <w:p>
            <w:pPr>
              <w:spacing w:after="0"/>
              <w:rPr>
                <w:sz w:val="20"/>
                <w:szCs w:val="20"/>
                <w:color w:val="auto"/>
              </w:rPr>
            </w:pPr>
            <w:r>
              <w:rPr>
                <w:rFonts w:ascii="Calibri" w:cs="Calibri" w:eastAsia="Calibri" w:hAnsi="Calibri"/>
                <w:sz w:val="18"/>
                <w:szCs w:val="18"/>
                <w:b w:val="1"/>
                <w:bCs w:val="1"/>
                <w:color w:val="007681"/>
              </w:rPr>
              <w:t>Unconsolidated Joint Venture Centers</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84"/>
        </w:trPr>
        <w:tc>
          <w:tcPr>
            <w:tcW w:w="5460" w:type="dxa"/>
            <w:vAlign w:val="bottom"/>
          </w:tcPr>
          <w:p>
            <w:pPr>
              <w:spacing w:after="0"/>
              <w:rPr>
                <w:sz w:val="20"/>
                <w:szCs w:val="20"/>
                <w:color w:val="auto"/>
              </w:rPr>
            </w:pPr>
            <w:r>
              <w:rPr>
                <w:rFonts w:ascii="Calibri" w:cs="Calibri" w:eastAsia="Calibri" w:hAnsi="Calibri"/>
                <w:sz w:val="18"/>
                <w:szCs w:val="18"/>
                <w:color w:val="auto"/>
              </w:rPr>
              <w:t>Property improvements</w:t>
            </w:r>
          </w:p>
        </w:tc>
        <w:tc>
          <w:tcPr>
            <w:tcW w:w="6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0.9</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760" w:type="dxa"/>
            <w:vAlign w:val="bottom"/>
          </w:tcPr>
          <w:p>
            <w:pPr>
              <w:jc w:val="right"/>
              <w:ind w:right="32"/>
              <w:spacing w:after="0"/>
              <w:rPr>
                <w:sz w:val="20"/>
                <w:szCs w:val="20"/>
                <w:color w:val="auto"/>
              </w:rPr>
            </w:pPr>
            <w:r>
              <w:rPr>
                <w:rFonts w:ascii="Calibri" w:cs="Calibri" w:eastAsia="Calibri" w:hAnsi="Calibri"/>
                <w:sz w:val="18"/>
                <w:szCs w:val="18"/>
                <w:color w:val="auto"/>
              </w:rPr>
              <w:t>1.2</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740" w:type="dxa"/>
            <w:vAlign w:val="bottom"/>
          </w:tcPr>
          <w:p>
            <w:pPr>
              <w:jc w:val="right"/>
              <w:spacing w:after="0"/>
              <w:rPr>
                <w:sz w:val="20"/>
                <w:szCs w:val="20"/>
                <w:color w:val="auto"/>
              </w:rPr>
            </w:pPr>
            <w:r>
              <w:rPr>
                <w:rFonts w:ascii="Calibri" w:cs="Calibri" w:eastAsia="Calibri" w:hAnsi="Calibri"/>
                <w:sz w:val="18"/>
                <w:szCs w:val="18"/>
                <w:color w:val="auto"/>
              </w:rPr>
              <w:t>9.3</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660" w:type="dxa"/>
            <w:vAlign w:val="bottom"/>
          </w:tcPr>
          <w:p>
            <w:pPr>
              <w:jc w:val="right"/>
              <w:spacing w:after="0"/>
              <w:rPr>
                <w:sz w:val="20"/>
                <w:szCs w:val="20"/>
                <w:color w:val="auto"/>
              </w:rPr>
            </w:pPr>
            <w:r>
              <w:rPr>
                <w:rFonts w:ascii="Calibri" w:cs="Calibri" w:eastAsia="Calibri" w:hAnsi="Calibri"/>
                <w:sz w:val="18"/>
                <w:szCs w:val="18"/>
                <w:color w:val="auto"/>
              </w:rPr>
              <w:t>14.4</w:t>
            </w:r>
          </w:p>
        </w:tc>
      </w:tr>
      <w:tr>
        <w:trPr>
          <w:trHeight w:val="256"/>
        </w:trPr>
        <w:tc>
          <w:tcPr>
            <w:tcW w:w="5460" w:type="dxa"/>
            <w:vAlign w:val="bottom"/>
          </w:tcPr>
          <w:p>
            <w:pPr>
              <w:spacing w:after="0"/>
              <w:rPr>
                <w:sz w:val="20"/>
                <w:szCs w:val="20"/>
                <w:color w:val="auto"/>
              </w:rPr>
            </w:pPr>
            <w:r>
              <w:rPr>
                <w:rFonts w:ascii="Calibri" w:cs="Calibri" w:eastAsia="Calibri" w:hAnsi="Calibri"/>
                <w:sz w:val="18"/>
                <w:szCs w:val="18"/>
                <w:color w:val="auto"/>
              </w:rPr>
              <w:t>Development, redevelopment, expansions and renovatons of Centers</w:t>
            </w:r>
          </w:p>
        </w:tc>
        <w:tc>
          <w:tcPr>
            <w:tcW w:w="6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17.3</w:t>
            </w:r>
          </w:p>
        </w:tc>
        <w:tc>
          <w:tcPr>
            <w:tcW w:w="28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Calibri" w:cs="Calibri" w:eastAsia="Calibri" w:hAnsi="Calibri"/>
                <w:sz w:val="18"/>
                <w:szCs w:val="18"/>
                <w:color w:val="auto"/>
              </w:rPr>
              <w:t>13.5</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77.7</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39.8</w:t>
            </w:r>
          </w:p>
        </w:tc>
      </w:tr>
      <w:tr>
        <w:trPr>
          <w:trHeight w:val="256"/>
        </w:trPr>
        <w:tc>
          <w:tcPr>
            <w:tcW w:w="5460" w:type="dxa"/>
            <w:vAlign w:val="bottom"/>
          </w:tcPr>
          <w:p>
            <w:pPr>
              <w:spacing w:after="0"/>
              <w:rPr>
                <w:sz w:val="20"/>
                <w:szCs w:val="20"/>
                <w:color w:val="auto"/>
              </w:rPr>
            </w:pPr>
            <w:r>
              <w:rPr>
                <w:rFonts w:ascii="Calibri" w:cs="Calibri" w:eastAsia="Calibri" w:hAnsi="Calibri"/>
                <w:sz w:val="18"/>
                <w:szCs w:val="18"/>
                <w:color w:val="auto"/>
              </w:rPr>
              <w:t>Tenant allowances</w:t>
            </w:r>
          </w:p>
        </w:tc>
        <w:tc>
          <w:tcPr>
            <w:tcW w:w="6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1.4</w:t>
            </w:r>
          </w:p>
        </w:tc>
        <w:tc>
          <w:tcPr>
            <w:tcW w:w="28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Calibri" w:cs="Calibri" w:eastAsia="Calibri" w:hAnsi="Calibri"/>
                <w:sz w:val="18"/>
                <w:szCs w:val="18"/>
                <w:color w:val="auto"/>
              </w:rPr>
              <w:t>1.4</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14.3</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21.0</w:t>
            </w:r>
          </w:p>
        </w:tc>
      </w:tr>
      <w:tr>
        <w:trPr>
          <w:trHeight w:val="256"/>
        </w:trPr>
        <w:tc>
          <w:tcPr>
            <w:tcW w:w="5460" w:type="dxa"/>
            <w:vAlign w:val="bottom"/>
          </w:tcPr>
          <w:p>
            <w:pPr>
              <w:spacing w:after="0"/>
              <w:rPr>
                <w:sz w:val="20"/>
                <w:szCs w:val="20"/>
                <w:color w:val="auto"/>
              </w:rPr>
            </w:pPr>
            <w:r>
              <w:rPr>
                <w:rFonts w:ascii="Calibri" w:cs="Calibri" w:eastAsia="Calibri" w:hAnsi="Calibri"/>
                <w:sz w:val="18"/>
                <w:szCs w:val="18"/>
                <w:color w:val="auto"/>
              </w:rPr>
              <w:t>Deferred leasing charges</w:t>
            </w:r>
          </w:p>
        </w:tc>
        <w:tc>
          <w:tcPr>
            <w:tcW w:w="6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0.7</w:t>
            </w:r>
          </w:p>
        </w:tc>
        <w:tc>
          <w:tcPr>
            <w:tcW w:w="28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Calibri" w:cs="Calibri" w:eastAsia="Calibri" w:hAnsi="Calibri"/>
                <w:sz w:val="18"/>
                <w:szCs w:val="18"/>
                <w:color w:val="auto"/>
              </w:rPr>
              <w:t>0.5</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3.6</w:t>
            </w: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5.6</w:t>
            </w:r>
          </w:p>
        </w:tc>
      </w:tr>
    </w:tbl>
    <w:p>
      <w:pPr>
        <w:sectPr>
          <w:pgSz w:w="11900" w:h="16838" w:orient="portrait"/>
          <w:cols w:equalWidth="0" w:num="1">
            <w:col w:w="9860"/>
          </w:cols>
          <w:pgMar w:left="960" w:top="68" w:right="1079" w:bottom="0" w:gutter="0" w:footer="0" w:header="0"/>
        </w:sectPr>
      </w:pPr>
    </w:p>
    <w:bookmarkStart w:id="20" w:name="page21"/>
    <w:bookmarkEnd w:id="20"/>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tcPr>
          <w:p>
            <w:pPr>
              <w:ind w:left="400"/>
              <w:spacing w:after="0"/>
              <w:rPr>
                <w:sz w:val="20"/>
                <w:szCs w:val="20"/>
                <w:color w:val="auto"/>
              </w:rPr>
            </w:pPr>
            <w:r>
              <w:rPr>
                <w:rFonts w:ascii="Calibri" w:cs="Calibri" w:eastAsia="Calibri" w:hAnsi="Calibri"/>
                <w:sz w:val="18"/>
                <w:szCs w:val="18"/>
                <w:b w:val="1"/>
                <w:bCs w:val="1"/>
                <w:color w:val="auto"/>
              </w:rPr>
              <w:t>Total</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6"/>
          </w:tcPr>
          <w:p>
            <w:pPr>
              <w:ind w:left="20"/>
              <w:spacing w:after="0"/>
              <w:rPr>
                <w:sz w:val="20"/>
                <w:szCs w:val="20"/>
                <w:color w:val="auto"/>
              </w:rPr>
            </w:pPr>
            <w:r>
              <w:rPr>
                <w:rFonts w:ascii="Calibri" w:cs="Calibri" w:eastAsia="Calibri" w:hAnsi="Calibri"/>
                <w:sz w:val="18"/>
                <w:szCs w:val="18"/>
                <w:color w:val="auto"/>
                <w:w w:val="76"/>
              </w:rPr>
              <w:t>$</w:t>
            </w:r>
            <w:r>
              <w:rPr>
                <w:rFonts w:ascii="Calibri" w:cs="Calibri" w:eastAsia="Calibri" w:hAnsi="Calibri"/>
                <w:sz w:val="14"/>
                <w:szCs w:val="14"/>
                <w:b w:val="1"/>
                <w:bCs w:val="1"/>
                <w:color w:val="auto"/>
                <w:w w:val="76"/>
              </w:rPr>
              <w:t>For the</w:t>
            </w:r>
            <w:r>
              <w:rPr>
                <w:rFonts w:ascii="Calibri" w:cs="Calibri" w:eastAsia="Calibri" w:hAnsi="Calibri"/>
                <w:sz w:val="18"/>
                <w:szCs w:val="18"/>
                <w:color w:val="auto"/>
                <w:w w:val="76"/>
              </w:rPr>
              <w:t xml:space="preserve"> 20</w:t>
            </w:r>
            <w:r>
              <w:rPr>
                <w:rFonts w:ascii="Calibri" w:cs="Calibri" w:eastAsia="Calibri" w:hAnsi="Calibri"/>
                <w:sz w:val="14"/>
                <w:szCs w:val="14"/>
                <w:b w:val="1"/>
                <w:bCs w:val="1"/>
                <w:color w:val="auto"/>
                <w:w w:val="76"/>
              </w:rPr>
              <w:t>Three</w:t>
            </w:r>
            <w:r>
              <w:rPr>
                <w:rFonts w:ascii="Calibri" w:cs="Calibri" w:eastAsia="Calibri" w:hAnsi="Calibri"/>
                <w:sz w:val="18"/>
                <w:szCs w:val="18"/>
                <w:color w:val="auto"/>
                <w:w w:val="76"/>
              </w:rPr>
              <w:t xml:space="preserve">.3 </w:t>
            </w:r>
            <w:r>
              <w:rPr>
                <w:rFonts w:ascii="Calibri" w:cs="Calibri" w:eastAsia="Calibri" w:hAnsi="Calibri"/>
                <w:sz w:val="14"/>
                <w:szCs w:val="14"/>
                <w:b w:val="1"/>
                <w:bCs w:val="1"/>
                <w:color w:val="auto"/>
                <w:w w:val="76"/>
              </w:rPr>
              <w:t>Months</w:t>
            </w:r>
            <w:r>
              <w:rPr>
                <w:rFonts w:ascii="Calibri" w:cs="Calibri" w:eastAsia="Calibri" w:hAnsi="Calibri"/>
                <w:sz w:val="18"/>
                <w:szCs w:val="18"/>
                <w:color w:val="auto"/>
                <w:w w:val="76"/>
              </w:rPr>
              <w:t>$</w:t>
            </w:r>
          </w:p>
        </w:tc>
        <w:tc>
          <w:tcPr>
            <w:tcW w:w="480" w:type="dxa"/>
            <w:vAlign w:val="bottom"/>
          </w:tcPr>
          <w:p>
            <w:pPr>
              <w:jc w:val="right"/>
              <w:spacing w:after="0"/>
              <w:rPr>
                <w:sz w:val="20"/>
                <w:szCs w:val="20"/>
                <w:color w:val="auto"/>
              </w:rPr>
            </w:pPr>
            <w:r>
              <w:rPr>
                <w:rFonts w:ascii="Calibri" w:cs="Calibri" w:eastAsia="Calibri" w:hAnsi="Calibri"/>
                <w:sz w:val="13"/>
                <w:szCs w:val="13"/>
                <w:b w:val="1"/>
                <w:bCs w:val="1"/>
                <w:color w:val="auto"/>
                <w:w w:val="72"/>
              </w:rPr>
              <w:t>Ended</w:t>
            </w:r>
            <w:r>
              <w:rPr>
                <w:rFonts w:ascii="Calibri" w:cs="Calibri" w:eastAsia="Calibri" w:hAnsi="Calibri"/>
                <w:sz w:val="15"/>
                <w:szCs w:val="15"/>
                <w:color w:val="auto"/>
                <w:w w:val="72"/>
              </w:rPr>
              <w:t>16.6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9"/>
          </w:tcPr>
          <w:p>
            <w:pPr>
              <w:ind w:left="20"/>
              <w:spacing w:after="0"/>
              <w:rPr>
                <w:sz w:val="20"/>
                <w:szCs w:val="20"/>
                <w:color w:val="auto"/>
              </w:rPr>
            </w:pPr>
            <w:r>
              <w:rPr>
                <w:rFonts w:ascii="Calibri" w:cs="Calibri" w:eastAsia="Calibri" w:hAnsi="Calibri"/>
                <w:sz w:val="18"/>
                <w:szCs w:val="18"/>
                <w:color w:val="auto"/>
                <w:w w:val="74"/>
              </w:rPr>
              <w:t>$</w:t>
            </w:r>
            <w:r>
              <w:rPr>
                <w:rFonts w:ascii="Calibri" w:cs="Calibri" w:eastAsia="Calibri" w:hAnsi="Calibri"/>
                <w:sz w:val="14"/>
                <w:szCs w:val="14"/>
                <w:b w:val="1"/>
                <w:bCs w:val="1"/>
                <w:color w:val="auto"/>
                <w:w w:val="74"/>
              </w:rPr>
              <w:t>For the</w:t>
            </w:r>
            <w:r>
              <w:rPr>
                <w:rFonts w:ascii="Calibri" w:cs="Calibri" w:eastAsia="Calibri" w:hAnsi="Calibri"/>
                <w:sz w:val="18"/>
                <w:szCs w:val="18"/>
                <w:color w:val="auto"/>
                <w:w w:val="74"/>
              </w:rPr>
              <w:t>104</w:t>
            </w:r>
            <w:r>
              <w:rPr>
                <w:rFonts w:ascii="Calibri" w:cs="Calibri" w:eastAsia="Calibri" w:hAnsi="Calibri"/>
                <w:sz w:val="14"/>
                <w:szCs w:val="14"/>
                <w:b w:val="1"/>
                <w:bCs w:val="1"/>
                <w:color w:val="auto"/>
                <w:w w:val="74"/>
              </w:rPr>
              <w:t>Twelve</w:t>
            </w:r>
            <w:r>
              <w:rPr>
                <w:rFonts w:ascii="Calibri" w:cs="Calibri" w:eastAsia="Calibri" w:hAnsi="Calibri"/>
                <w:sz w:val="18"/>
                <w:szCs w:val="18"/>
                <w:color w:val="auto"/>
                <w:w w:val="74"/>
              </w:rPr>
              <w:t xml:space="preserve">.9 </w:t>
            </w:r>
            <w:r>
              <w:rPr>
                <w:rFonts w:ascii="Calibri" w:cs="Calibri" w:eastAsia="Calibri" w:hAnsi="Calibri"/>
                <w:sz w:val="14"/>
                <w:szCs w:val="14"/>
                <w:b w:val="1"/>
                <w:bCs w:val="1"/>
                <w:color w:val="auto"/>
                <w:w w:val="74"/>
              </w:rPr>
              <w:t>Months</w:t>
            </w:r>
            <w:r>
              <w:rPr>
                <w:rFonts w:ascii="Calibri" w:cs="Calibri" w:eastAsia="Calibri" w:hAnsi="Calibri"/>
                <w:sz w:val="18"/>
                <w:szCs w:val="18"/>
                <w:color w:val="auto"/>
                <w:w w:val="74"/>
              </w:rPr>
              <w:t>$</w:t>
            </w:r>
          </w:p>
        </w:tc>
        <w:tc>
          <w:tcPr>
            <w:tcW w:w="480" w:type="dxa"/>
            <w:vAlign w:val="bottom"/>
          </w:tcPr>
          <w:p>
            <w:pPr>
              <w:jc w:val="right"/>
              <w:spacing w:after="0"/>
              <w:rPr>
                <w:sz w:val="20"/>
                <w:szCs w:val="20"/>
                <w:color w:val="auto"/>
              </w:rPr>
            </w:pPr>
            <w:r>
              <w:rPr>
                <w:rFonts w:ascii="Calibri" w:cs="Calibri" w:eastAsia="Calibri" w:hAnsi="Calibri"/>
                <w:sz w:val="11"/>
                <w:szCs w:val="11"/>
                <w:b w:val="1"/>
                <w:bCs w:val="1"/>
                <w:color w:val="auto"/>
                <w:w w:val="73"/>
              </w:rPr>
              <w:t>Ended</w:t>
            </w:r>
            <w:r>
              <w:rPr>
                <w:rFonts w:ascii="Calibri" w:cs="Calibri" w:eastAsia="Calibri" w:hAnsi="Calibri"/>
                <w:sz w:val="13"/>
                <w:szCs w:val="13"/>
                <w:color w:val="auto"/>
                <w:w w:val="73"/>
              </w:rPr>
              <w:t>80.8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Calibri" w:cs="Calibri" w:eastAsia="Calibri" w:hAnsi="Calibri"/>
                <w:sz w:val="14"/>
                <w:szCs w:val="14"/>
                <w:b w:val="1"/>
                <w:bCs w:val="1"/>
                <w:color w:val="auto"/>
              </w:rPr>
              <w:t>March 31,</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5"/>
          </w:tcPr>
          <w:p>
            <w:pPr>
              <w:jc w:val="right"/>
              <w:spacing w:after="0"/>
              <w:rPr>
                <w:sz w:val="20"/>
                <w:szCs w:val="20"/>
                <w:color w:val="auto"/>
              </w:rPr>
            </w:pPr>
            <w:r>
              <w:rPr>
                <w:rFonts w:ascii="Calibri" w:cs="Calibri" w:eastAsia="Calibri" w:hAnsi="Calibri"/>
                <w:sz w:val="14"/>
                <w:szCs w:val="14"/>
                <w:b w:val="1"/>
                <w:bCs w:val="1"/>
                <w:color w:val="auto"/>
              </w:rPr>
              <w:t>December 31,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160" w:type="dxa"/>
            <w:vAlign w:val="bottom"/>
            <w:vMerge w:val="restart"/>
          </w:tcPr>
          <w:p>
            <w:pPr>
              <w:spacing w:after="0"/>
              <w:rPr>
                <w:sz w:val="20"/>
                <w:szCs w:val="20"/>
                <w:color w:val="auto"/>
              </w:rPr>
            </w:pPr>
            <w:r>
              <w:rPr>
                <w:rFonts w:ascii="Calibri" w:cs="Calibri" w:eastAsia="Calibri" w:hAnsi="Calibri"/>
                <w:sz w:val="14"/>
                <w:szCs w:val="14"/>
                <w:color w:val="auto"/>
              </w:rPr>
              <w:t>(a)    All joint venture amounts at pro rata.</w:t>
            </w:r>
          </w:p>
        </w:tc>
        <w:tc>
          <w:tcPr>
            <w:tcW w:w="8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1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160" w:type="dxa"/>
            <w:vAlign w:val="bottom"/>
            <w:tcBorders>
              <w:bottom w:val="single" w:sz="8" w:color="F5F5F5"/>
            </w:tcBorders>
          </w:tcPr>
          <w:p>
            <w:pPr>
              <w:spacing w:after="0"/>
              <w:rPr>
                <w:sz w:val="7"/>
                <w:szCs w:val="7"/>
                <w:color w:val="auto"/>
              </w:rPr>
            </w:pPr>
          </w:p>
        </w:tc>
        <w:tc>
          <w:tcPr>
            <w:tcW w:w="800" w:type="dxa"/>
            <w:vAlign w:val="bottom"/>
            <w:tcBorders>
              <w:bottom w:val="single" w:sz="8" w:color="F5F5F5"/>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F5F5F5"/>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0" w:type="dxa"/>
            <w:vAlign w:val="bottom"/>
            <w:tcBorders>
              <w:bottom w:val="single" w:sz="8" w:color="F5F5F5"/>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F5F5F5"/>
          </w:tcPr>
          <w:p>
            <w:pPr>
              <w:spacing w:after="0"/>
              <w:rPr>
                <w:sz w:val="20"/>
                <w:szCs w:val="20"/>
                <w:color w:val="auto"/>
              </w:rPr>
            </w:pPr>
            <w:r>
              <w:rPr>
                <w:rFonts w:ascii="Calibri" w:cs="Calibri" w:eastAsia="Calibri" w:hAnsi="Calibri"/>
                <w:sz w:val="14"/>
                <w:szCs w:val="14"/>
                <w:color w:val="auto"/>
              </w:rPr>
              <w:t>(b)    Breakdown of acquisitons of property:</w:t>
            </w:r>
          </w:p>
        </w:tc>
        <w:tc>
          <w:tcPr>
            <w:tcW w:w="800" w:type="dxa"/>
            <w:vAlign w:val="bottom"/>
            <w:shd w:val="clear" w:color="auto" w:fill="F5F5F5"/>
          </w:tcPr>
          <w:p>
            <w:pPr>
              <w:spacing w:after="0"/>
              <w:rPr>
                <w:sz w:val="20"/>
                <w:szCs w:val="20"/>
                <w:color w:val="auto"/>
              </w:rPr>
            </w:pPr>
          </w:p>
        </w:tc>
        <w:tc>
          <w:tcPr>
            <w:tcW w:w="20" w:type="dxa"/>
            <w:vAlign w:val="bottom"/>
            <w:shd w:val="clear" w:color="auto" w:fill="F5F5F5"/>
          </w:tcPr>
          <w:p>
            <w:pPr>
              <w:spacing w:after="0"/>
              <w:rPr>
                <w:sz w:val="20"/>
                <w:szCs w:val="20"/>
                <w:color w:val="auto"/>
              </w:rPr>
            </w:pPr>
          </w:p>
        </w:tc>
        <w:tc>
          <w:tcPr>
            <w:tcW w:w="140" w:type="dxa"/>
            <w:vAlign w:val="bottom"/>
            <w:shd w:val="clear" w:color="auto" w:fill="F5F5F5"/>
          </w:tcPr>
          <w:p>
            <w:pPr>
              <w:spacing w:after="0"/>
              <w:rPr>
                <w:sz w:val="20"/>
                <w:szCs w:val="20"/>
                <w:color w:val="auto"/>
              </w:rPr>
            </w:pPr>
          </w:p>
        </w:tc>
        <w:tc>
          <w:tcPr>
            <w:tcW w:w="260" w:type="dxa"/>
            <w:vAlign w:val="bottom"/>
            <w:shd w:val="clear" w:color="auto" w:fill="F5F5F5"/>
          </w:tcPr>
          <w:p>
            <w:pPr>
              <w:spacing w:after="0"/>
              <w:rPr>
                <w:sz w:val="20"/>
                <w:szCs w:val="20"/>
                <w:color w:val="auto"/>
              </w:rPr>
            </w:pPr>
          </w:p>
        </w:tc>
        <w:tc>
          <w:tcPr>
            <w:tcW w:w="180" w:type="dxa"/>
            <w:vAlign w:val="bottom"/>
            <w:shd w:val="clear" w:color="auto" w:fill="F5F5F5"/>
          </w:tcPr>
          <w:p>
            <w:pPr>
              <w:spacing w:after="0"/>
              <w:rPr>
                <w:sz w:val="20"/>
                <w:szCs w:val="20"/>
                <w:color w:val="auto"/>
              </w:rPr>
            </w:pPr>
          </w:p>
        </w:tc>
        <w:tc>
          <w:tcPr>
            <w:tcW w:w="720" w:type="dxa"/>
            <w:vAlign w:val="bottom"/>
            <w:shd w:val="clear" w:color="auto" w:fill="F5F5F5"/>
          </w:tcPr>
          <w:p>
            <w:pPr>
              <w:spacing w:after="0"/>
              <w:rPr>
                <w:sz w:val="20"/>
                <w:szCs w:val="20"/>
                <w:color w:val="auto"/>
              </w:rPr>
            </w:pPr>
          </w:p>
        </w:tc>
        <w:tc>
          <w:tcPr>
            <w:tcW w:w="60" w:type="dxa"/>
            <w:vAlign w:val="bottom"/>
            <w:shd w:val="clear" w:color="auto" w:fill="F5F5F5"/>
          </w:tcPr>
          <w:p>
            <w:pPr>
              <w:spacing w:after="0"/>
              <w:rPr>
                <w:sz w:val="20"/>
                <w:szCs w:val="20"/>
                <w:color w:val="auto"/>
              </w:rPr>
            </w:pPr>
          </w:p>
        </w:tc>
        <w:tc>
          <w:tcPr>
            <w:tcW w:w="40" w:type="dxa"/>
            <w:vAlign w:val="bottom"/>
            <w:shd w:val="clear" w:color="auto" w:fill="F5F5F5"/>
          </w:tcPr>
          <w:p>
            <w:pPr>
              <w:spacing w:after="0"/>
              <w:rPr>
                <w:sz w:val="20"/>
                <w:szCs w:val="20"/>
                <w:color w:val="auto"/>
              </w:rPr>
            </w:pPr>
          </w:p>
        </w:tc>
        <w:tc>
          <w:tcPr>
            <w:tcW w:w="480" w:type="dxa"/>
            <w:vAlign w:val="bottom"/>
            <w:shd w:val="clear" w:color="auto" w:fill="F5F5F5"/>
          </w:tcPr>
          <w:p>
            <w:pPr>
              <w:spacing w:after="0"/>
              <w:rPr>
                <w:sz w:val="20"/>
                <w:szCs w:val="20"/>
                <w:color w:val="auto"/>
              </w:rPr>
            </w:pPr>
          </w:p>
        </w:tc>
        <w:tc>
          <w:tcPr>
            <w:tcW w:w="60" w:type="dxa"/>
            <w:vAlign w:val="bottom"/>
            <w:shd w:val="clear" w:color="auto" w:fill="F5F5F5"/>
          </w:tcPr>
          <w:p>
            <w:pPr>
              <w:spacing w:after="0"/>
              <w:rPr>
                <w:sz w:val="20"/>
                <w:szCs w:val="20"/>
                <w:color w:val="auto"/>
              </w:rPr>
            </w:pPr>
          </w:p>
        </w:tc>
        <w:tc>
          <w:tcPr>
            <w:tcW w:w="100" w:type="dxa"/>
            <w:vAlign w:val="bottom"/>
            <w:shd w:val="clear" w:color="auto" w:fill="F5F5F5"/>
          </w:tcPr>
          <w:p>
            <w:pPr>
              <w:spacing w:after="0"/>
              <w:rPr>
                <w:sz w:val="20"/>
                <w:szCs w:val="20"/>
                <w:color w:val="auto"/>
              </w:rPr>
            </w:pPr>
          </w:p>
        </w:tc>
        <w:tc>
          <w:tcPr>
            <w:tcW w:w="20" w:type="dxa"/>
            <w:vAlign w:val="bottom"/>
            <w:shd w:val="clear" w:color="auto" w:fill="F5F5F5"/>
          </w:tcPr>
          <w:p>
            <w:pPr>
              <w:spacing w:after="0"/>
              <w:rPr>
                <w:sz w:val="20"/>
                <w:szCs w:val="20"/>
                <w:color w:val="auto"/>
              </w:rPr>
            </w:pPr>
          </w:p>
        </w:tc>
        <w:tc>
          <w:tcPr>
            <w:tcW w:w="60" w:type="dxa"/>
            <w:vAlign w:val="bottom"/>
            <w:shd w:val="clear" w:color="auto" w:fill="F5F5F5"/>
          </w:tcPr>
          <w:p>
            <w:pPr>
              <w:spacing w:after="0"/>
              <w:rPr>
                <w:sz w:val="20"/>
                <w:szCs w:val="20"/>
                <w:color w:val="auto"/>
              </w:rPr>
            </w:pPr>
          </w:p>
        </w:tc>
        <w:tc>
          <w:tcPr>
            <w:tcW w:w="40" w:type="dxa"/>
            <w:vAlign w:val="bottom"/>
            <w:shd w:val="clear" w:color="auto" w:fill="F5F5F5"/>
          </w:tcPr>
          <w:p>
            <w:pPr>
              <w:spacing w:after="0"/>
              <w:rPr>
                <w:sz w:val="20"/>
                <w:szCs w:val="20"/>
                <w:color w:val="auto"/>
              </w:rPr>
            </w:pPr>
          </w:p>
        </w:tc>
        <w:tc>
          <w:tcPr>
            <w:tcW w:w="200" w:type="dxa"/>
            <w:vAlign w:val="bottom"/>
            <w:shd w:val="clear" w:color="auto" w:fill="F5F5F5"/>
          </w:tcPr>
          <w:p>
            <w:pPr>
              <w:spacing w:after="0"/>
              <w:rPr>
                <w:sz w:val="20"/>
                <w:szCs w:val="20"/>
                <w:color w:val="auto"/>
              </w:rPr>
            </w:pPr>
          </w:p>
        </w:tc>
        <w:tc>
          <w:tcPr>
            <w:tcW w:w="640" w:type="dxa"/>
            <w:vAlign w:val="bottom"/>
            <w:shd w:val="clear" w:color="auto" w:fill="F5F5F5"/>
          </w:tcPr>
          <w:p>
            <w:pPr>
              <w:spacing w:after="0"/>
              <w:rPr>
                <w:sz w:val="20"/>
                <w:szCs w:val="20"/>
                <w:color w:val="auto"/>
              </w:rPr>
            </w:pPr>
          </w:p>
        </w:tc>
        <w:tc>
          <w:tcPr>
            <w:tcW w:w="40" w:type="dxa"/>
            <w:vAlign w:val="bottom"/>
            <w:shd w:val="clear" w:color="auto" w:fill="F5F5F5"/>
          </w:tcPr>
          <w:p>
            <w:pPr>
              <w:spacing w:after="0"/>
              <w:rPr>
                <w:sz w:val="20"/>
                <w:szCs w:val="20"/>
                <w:color w:val="auto"/>
              </w:rPr>
            </w:pPr>
          </w:p>
        </w:tc>
        <w:tc>
          <w:tcPr>
            <w:tcW w:w="40" w:type="dxa"/>
            <w:vAlign w:val="bottom"/>
            <w:shd w:val="clear" w:color="auto" w:fill="F5F5F5"/>
          </w:tcPr>
          <w:p>
            <w:pPr>
              <w:spacing w:after="0"/>
              <w:rPr>
                <w:sz w:val="20"/>
                <w:szCs w:val="20"/>
                <w:color w:val="auto"/>
              </w:rPr>
            </w:pPr>
          </w:p>
        </w:tc>
        <w:tc>
          <w:tcPr>
            <w:tcW w:w="40" w:type="dxa"/>
            <w:vAlign w:val="bottom"/>
            <w:shd w:val="clear" w:color="auto" w:fill="F5F5F5"/>
          </w:tcPr>
          <w:p>
            <w:pPr>
              <w:spacing w:after="0"/>
              <w:rPr>
                <w:sz w:val="20"/>
                <w:szCs w:val="20"/>
                <w:color w:val="auto"/>
              </w:rPr>
            </w:pPr>
          </w:p>
        </w:tc>
        <w:tc>
          <w:tcPr>
            <w:tcW w:w="320" w:type="dxa"/>
            <w:vAlign w:val="bottom"/>
            <w:shd w:val="clear" w:color="auto" w:fill="F5F5F5"/>
          </w:tcPr>
          <w:p>
            <w:pPr>
              <w:spacing w:after="0"/>
              <w:rPr>
                <w:sz w:val="20"/>
                <w:szCs w:val="20"/>
                <w:color w:val="auto"/>
              </w:rPr>
            </w:pPr>
          </w:p>
        </w:tc>
        <w:tc>
          <w:tcPr>
            <w:tcW w:w="80" w:type="dxa"/>
            <w:vAlign w:val="bottom"/>
            <w:shd w:val="clear" w:color="auto" w:fill="F5F5F5"/>
          </w:tcPr>
          <w:p>
            <w:pPr>
              <w:spacing w:after="0"/>
              <w:rPr>
                <w:sz w:val="20"/>
                <w:szCs w:val="20"/>
                <w:color w:val="auto"/>
              </w:rPr>
            </w:pPr>
          </w:p>
        </w:tc>
        <w:tc>
          <w:tcPr>
            <w:tcW w:w="480" w:type="dxa"/>
            <w:vAlign w:val="bottom"/>
            <w:shd w:val="clear" w:color="auto" w:fill="F5F5F5"/>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5160" w:type="dxa"/>
            <w:vAlign w:val="bottom"/>
          </w:tcPr>
          <w:p>
            <w:pPr>
              <w:spacing w:after="0"/>
              <w:rPr>
                <w:sz w:val="24"/>
                <w:szCs w:val="24"/>
                <w:color w:val="auto"/>
              </w:rPr>
            </w:pPr>
          </w:p>
        </w:tc>
        <w:tc>
          <w:tcPr>
            <w:tcW w:w="820" w:type="dxa"/>
            <w:vAlign w:val="bottom"/>
            <w:gridSpan w:val="2"/>
            <w:vMerge w:val="restart"/>
          </w:tcPr>
          <w:p>
            <w:pPr>
              <w:ind w:left="140"/>
              <w:spacing w:after="0"/>
              <w:rPr>
                <w:sz w:val="20"/>
                <w:szCs w:val="20"/>
                <w:color w:val="auto"/>
              </w:rPr>
            </w:pPr>
            <w:r>
              <w:rPr>
                <w:rFonts w:ascii="Calibri" w:cs="Calibri" w:eastAsia="Calibri" w:hAnsi="Calibri"/>
                <w:sz w:val="14"/>
                <w:szCs w:val="14"/>
                <w:b w:val="1"/>
                <w:bCs w:val="1"/>
                <w:color w:val="auto"/>
              </w:rPr>
              <w:t>Acquisiton</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7"/>
          </w:tcPr>
          <w:p>
            <w:pPr>
              <w:ind w:left="20"/>
              <w:spacing w:after="0"/>
              <w:rPr>
                <w:sz w:val="20"/>
                <w:szCs w:val="20"/>
                <w:color w:val="auto"/>
              </w:rPr>
            </w:pPr>
            <w:r>
              <w:rPr>
                <w:rFonts w:ascii="Calibri" w:cs="Calibri" w:eastAsia="Calibri" w:hAnsi="Calibri"/>
                <w:sz w:val="14"/>
                <w:szCs w:val="14"/>
                <w:b w:val="1"/>
                <w:bCs w:val="1"/>
                <w:color w:val="auto"/>
              </w:rPr>
              <w:t>For the Three Months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7"/>
          </w:tcPr>
          <w:p>
            <w:pPr>
              <w:jc w:val="right"/>
              <w:ind w:right="136"/>
              <w:spacing w:after="0"/>
              <w:rPr>
                <w:sz w:val="20"/>
                <w:szCs w:val="20"/>
                <w:color w:val="auto"/>
              </w:rPr>
            </w:pPr>
            <w:r>
              <w:rPr>
                <w:rFonts w:ascii="Calibri" w:cs="Calibri" w:eastAsia="Calibri" w:hAnsi="Calibri"/>
                <w:sz w:val="14"/>
                <w:szCs w:val="14"/>
                <w:b w:val="1"/>
                <w:bCs w:val="1"/>
                <w:color w:val="auto"/>
              </w:rPr>
              <w:t>For the Twelve Months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4"/>
            <w:vMerge w:val="restart"/>
          </w:tcPr>
          <w:p>
            <w:pPr>
              <w:ind w:left="180"/>
              <w:spacing w:after="0"/>
              <w:rPr>
                <w:sz w:val="20"/>
                <w:szCs w:val="20"/>
                <w:color w:val="auto"/>
              </w:rPr>
            </w:pPr>
            <w:r>
              <w:rPr>
                <w:rFonts w:ascii="Calibri" w:cs="Calibri" w:eastAsia="Calibri" w:hAnsi="Calibri"/>
                <w:sz w:val="14"/>
                <w:szCs w:val="14"/>
                <w:b w:val="1"/>
                <w:bCs w:val="1"/>
                <w:color w:val="auto"/>
              </w:rPr>
              <w:t>Ended March 31,</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7"/>
            <w:vMerge w:val="restart"/>
          </w:tcPr>
          <w:p>
            <w:pPr>
              <w:jc w:val="right"/>
              <w:ind w:right="196"/>
              <w:spacing w:after="0"/>
              <w:rPr>
                <w:sz w:val="20"/>
                <w:szCs w:val="20"/>
                <w:color w:val="auto"/>
              </w:rPr>
            </w:pPr>
            <w:r>
              <w:rPr>
                <w:rFonts w:ascii="Calibri" w:cs="Calibri" w:eastAsia="Calibri" w:hAnsi="Calibri"/>
                <w:sz w:val="14"/>
                <w:szCs w:val="14"/>
                <w:b w:val="1"/>
                <w:bCs w:val="1"/>
                <w:color w:val="auto"/>
              </w:rPr>
              <w:t>Ended December 31,</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5160" w:type="dxa"/>
            <w:vAlign w:val="bottom"/>
          </w:tcPr>
          <w:p>
            <w:pPr>
              <w:spacing w:after="0"/>
              <w:rPr>
                <w:sz w:val="10"/>
                <w:szCs w:val="10"/>
                <w:color w:val="auto"/>
              </w:rPr>
            </w:pPr>
          </w:p>
        </w:tc>
        <w:tc>
          <w:tcPr>
            <w:tcW w:w="820" w:type="dxa"/>
            <w:vAlign w:val="bottom"/>
            <w:gridSpan w:val="2"/>
            <w:vMerge w:val="restart"/>
          </w:tcPr>
          <w:p>
            <w:pPr>
              <w:ind w:left="340"/>
              <w:spacing w:after="0" w:line="149" w:lineRule="exact"/>
              <w:rPr>
                <w:sz w:val="20"/>
                <w:szCs w:val="20"/>
                <w:color w:val="auto"/>
              </w:rPr>
            </w:pPr>
            <w:r>
              <w:rPr>
                <w:rFonts w:ascii="Calibri" w:cs="Calibri" w:eastAsia="Calibri" w:hAnsi="Calibri"/>
                <w:sz w:val="14"/>
                <w:szCs w:val="14"/>
                <w:b w:val="1"/>
                <w:bCs w:val="1"/>
                <w:color w:val="auto"/>
              </w:rPr>
              <w:t>Date</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5160" w:type="dxa"/>
            <w:vAlign w:val="bottom"/>
            <w:tcBorders>
              <w:bottom w:val="single" w:sz="8" w:color="F5F5F5"/>
            </w:tcBorders>
            <w:shd w:val="clear" w:color="auto" w:fill="F5F5F5"/>
          </w:tcPr>
          <w:p>
            <w:pPr>
              <w:spacing w:after="0"/>
              <w:rPr>
                <w:sz w:val="5"/>
                <w:szCs w:val="5"/>
                <w:color w:val="auto"/>
              </w:rPr>
            </w:pPr>
          </w:p>
        </w:tc>
        <w:tc>
          <w:tcPr>
            <w:tcW w:w="800" w:type="dxa"/>
            <w:vAlign w:val="bottom"/>
            <w:tcBorders>
              <w:bottom w:val="single" w:sz="8" w:color="auto"/>
            </w:tcBorders>
            <w:shd w:val="clear" w:color="auto" w:fill="F5F5F5"/>
          </w:tcPr>
          <w:p>
            <w:pPr>
              <w:spacing w:after="0"/>
              <w:rPr>
                <w:sz w:val="5"/>
                <w:szCs w:val="5"/>
                <w:color w:val="auto"/>
              </w:rPr>
            </w:pPr>
          </w:p>
        </w:tc>
        <w:tc>
          <w:tcPr>
            <w:tcW w:w="20" w:type="dxa"/>
            <w:vAlign w:val="bottom"/>
            <w:tcBorders>
              <w:bottom w:val="single" w:sz="8" w:color="auto"/>
            </w:tcBorders>
            <w:shd w:val="clear" w:color="auto" w:fill="F5F5F5"/>
          </w:tcPr>
          <w:p>
            <w:pPr>
              <w:spacing w:after="0"/>
              <w:rPr>
                <w:sz w:val="5"/>
                <w:szCs w:val="5"/>
                <w:color w:val="auto"/>
              </w:rPr>
            </w:pPr>
          </w:p>
        </w:tc>
        <w:tc>
          <w:tcPr>
            <w:tcW w:w="140" w:type="dxa"/>
            <w:vAlign w:val="bottom"/>
            <w:tcBorders>
              <w:bottom w:val="single" w:sz="8" w:color="auto"/>
            </w:tcBorders>
            <w:shd w:val="clear" w:color="auto" w:fill="F5F5F5"/>
          </w:tcPr>
          <w:p>
            <w:pPr>
              <w:spacing w:after="0"/>
              <w:rPr>
                <w:sz w:val="5"/>
                <w:szCs w:val="5"/>
                <w:color w:val="auto"/>
              </w:rPr>
            </w:pPr>
          </w:p>
        </w:tc>
        <w:tc>
          <w:tcPr>
            <w:tcW w:w="260" w:type="dxa"/>
            <w:vAlign w:val="bottom"/>
            <w:tcBorders>
              <w:bottom w:val="single" w:sz="8" w:color="F5F5F5"/>
            </w:tcBorders>
            <w:shd w:val="clear" w:color="auto" w:fill="F5F5F5"/>
          </w:tcPr>
          <w:p>
            <w:pPr>
              <w:spacing w:after="0"/>
              <w:rPr>
                <w:sz w:val="5"/>
                <w:szCs w:val="5"/>
                <w:color w:val="auto"/>
              </w:rPr>
            </w:pPr>
          </w:p>
        </w:tc>
        <w:tc>
          <w:tcPr>
            <w:tcW w:w="180" w:type="dxa"/>
            <w:vAlign w:val="bottom"/>
            <w:tcBorders>
              <w:bottom w:val="single" w:sz="8" w:color="auto"/>
            </w:tcBorders>
            <w:shd w:val="clear" w:color="auto" w:fill="F5F5F5"/>
          </w:tcPr>
          <w:p>
            <w:pPr>
              <w:spacing w:after="0"/>
              <w:rPr>
                <w:sz w:val="5"/>
                <w:szCs w:val="5"/>
                <w:color w:val="auto"/>
              </w:rPr>
            </w:pPr>
          </w:p>
        </w:tc>
        <w:tc>
          <w:tcPr>
            <w:tcW w:w="720" w:type="dxa"/>
            <w:vAlign w:val="bottom"/>
            <w:tcBorders>
              <w:bottom w:val="single" w:sz="8" w:color="auto"/>
            </w:tcBorders>
            <w:shd w:val="clear" w:color="auto" w:fill="F5F5F5"/>
          </w:tcPr>
          <w:p>
            <w:pPr>
              <w:spacing w:after="0"/>
              <w:rPr>
                <w:sz w:val="5"/>
                <w:szCs w:val="5"/>
                <w:color w:val="auto"/>
              </w:rPr>
            </w:pPr>
          </w:p>
        </w:tc>
        <w:tc>
          <w:tcPr>
            <w:tcW w:w="60" w:type="dxa"/>
            <w:vAlign w:val="bottom"/>
            <w:tcBorders>
              <w:bottom w:val="single" w:sz="8" w:color="auto"/>
            </w:tcBorders>
            <w:shd w:val="clear" w:color="auto" w:fill="F5F5F5"/>
          </w:tcPr>
          <w:p>
            <w:pPr>
              <w:spacing w:after="0"/>
              <w:rPr>
                <w:sz w:val="5"/>
                <w:szCs w:val="5"/>
                <w:color w:val="auto"/>
              </w:rPr>
            </w:pPr>
          </w:p>
        </w:tc>
        <w:tc>
          <w:tcPr>
            <w:tcW w:w="40" w:type="dxa"/>
            <w:vAlign w:val="bottom"/>
            <w:tcBorders>
              <w:bottom w:val="single" w:sz="8" w:color="auto"/>
            </w:tcBorders>
            <w:shd w:val="clear" w:color="auto" w:fill="F5F5F5"/>
          </w:tcPr>
          <w:p>
            <w:pPr>
              <w:spacing w:after="0"/>
              <w:rPr>
                <w:sz w:val="5"/>
                <w:szCs w:val="5"/>
                <w:color w:val="auto"/>
              </w:rPr>
            </w:pPr>
          </w:p>
        </w:tc>
        <w:tc>
          <w:tcPr>
            <w:tcW w:w="480" w:type="dxa"/>
            <w:vAlign w:val="bottom"/>
            <w:tcBorders>
              <w:bottom w:val="single" w:sz="8" w:color="auto"/>
            </w:tcBorders>
            <w:shd w:val="clear" w:color="auto" w:fill="F5F5F5"/>
          </w:tcPr>
          <w:p>
            <w:pPr>
              <w:spacing w:after="0"/>
              <w:rPr>
                <w:sz w:val="5"/>
                <w:szCs w:val="5"/>
                <w:color w:val="auto"/>
              </w:rPr>
            </w:pPr>
          </w:p>
        </w:tc>
        <w:tc>
          <w:tcPr>
            <w:tcW w:w="60" w:type="dxa"/>
            <w:vAlign w:val="bottom"/>
            <w:tcBorders>
              <w:bottom w:val="single" w:sz="8" w:color="auto"/>
            </w:tcBorders>
            <w:shd w:val="clear" w:color="auto" w:fill="F5F5F5"/>
          </w:tcPr>
          <w:p>
            <w:pPr>
              <w:spacing w:after="0"/>
              <w:rPr>
                <w:sz w:val="5"/>
                <w:szCs w:val="5"/>
                <w:color w:val="auto"/>
              </w:rPr>
            </w:pPr>
          </w:p>
        </w:tc>
        <w:tc>
          <w:tcPr>
            <w:tcW w:w="100" w:type="dxa"/>
            <w:vAlign w:val="bottom"/>
            <w:tcBorders>
              <w:bottom w:val="single" w:sz="8" w:color="auto"/>
            </w:tcBorders>
            <w:shd w:val="clear" w:color="auto" w:fill="F5F5F5"/>
          </w:tcPr>
          <w:p>
            <w:pPr>
              <w:spacing w:after="0"/>
              <w:rPr>
                <w:sz w:val="5"/>
                <w:szCs w:val="5"/>
                <w:color w:val="auto"/>
              </w:rPr>
            </w:pPr>
          </w:p>
        </w:tc>
        <w:tc>
          <w:tcPr>
            <w:tcW w:w="20" w:type="dxa"/>
            <w:vAlign w:val="bottom"/>
            <w:tcBorders>
              <w:bottom w:val="single" w:sz="8" w:color="auto"/>
            </w:tcBorders>
            <w:shd w:val="clear" w:color="auto" w:fill="F5F5F5"/>
          </w:tcPr>
          <w:p>
            <w:pPr>
              <w:spacing w:after="0"/>
              <w:rPr>
                <w:sz w:val="5"/>
                <w:szCs w:val="5"/>
                <w:color w:val="auto"/>
              </w:rPr>
            </w:pPr>
          </w:p>
        </w:tc>
        <w:tc>
          <w:tcPr>
            <w:tcW w:w="60" w:type="dxa"/>
            <w:vAlign w:val="bottom"/>
            <w:tcBorders>
              <w:bottom w:val="single" w:sz="8" w:color="auto"/>
            </w:tcBorders>
            <w:shd w:val="clear" w:color="auto" w:fill="F5F5F5"/>
          </w:tcPr>
          <w:p>
            <w:pPr>
              <w:spacing w:after="0"/>
              <w:rPr>
                <w:sz w:val="5"/>
                <w:szCs w:val="5"/>
                <w:color w:val="auto"/>
              </w:rPr>
            </w:pPr>
          </w:p>
        </w:tc>
        <w:tc>
          <w:tcPr>
            <w:tcW w:w="40" w:type="dxa"/>
            <w:vAlign w:val="bottom"/>
            <w:tcBorders>
              <w:bottom w:val="single" w:sz="8" w:color="F5F5F5"/>
            </w:tcBorders>
            <w:shd w:val="clear" w:color="auto" w:fill="F5F5F5"/>
          </w:tcPr>
          <w:p>
            <w:pPr>
              <w:spacing w:after="0"/>
              <w:rPr>
                <w:sz w:val="5"/>
                <w:szCs w:val="5"/>
                <w:color w:val="auto"/>
              </w:rPr>
            </w:pPr>
          </w:p>
        </w:tc>
        <w:tc>
          <w:tcPr>
            <w:tcW w:w="200" w:type="dxa"/>
            <w:vAlign w:val="bottom"/>
            <w:tcBorders>
              <w:bottom w:val="single" w:sz="8" w:color="auto"/>
            </w:tcBorders>
            <w:shd w:val="clear" w:color="auto" w:fill="F5F5F5"/>
          </w:tcPr>
          <w:p>
            <w:pPr>
              <w:spacing w:after="0"/>
              <w:rPr>
                <w:sz w:val="5"/>
                <w:szCs w:val="5"/>
                <w:color w:val="auto"/>
              </w:rPr>
            </w:pPr>
          </w:p>
        </w:tc>
        <w:tc>
          <w:tcPr>
            <w:tcW w:w="640" w:type="dxa"/>
            <w:vAlign w:val="bottom"/>
            <w:tcBorders>
              <w:bottom w:val="single" w:sz="8" w:color="auto"/>
            </w:tcBorders>
            <w:shd w:val="clear" w:color="auto" w:fill="F5F5F5"/>
          </w:tcPr>
          <w:p>
            <w:pPr>
              <w:spacing w:after="0"/>
              <w:rPr>
                <w:sz w:val="5"/>
                <w:szCs w:val="5"/>
                <w:color w:val="auto"/>
              </w:rPr>
            </w:pPr>
          </w:p>
        </w:tc>
        <w:tc>
          <w:tcPr>
            <w:tcW w:w="40" w:type="dxa"/>
            <w:vAlign w:val="bottom"/>
            <w:tcBorders>
              <w:bottom w:val="single" w:sz="8" w:color="auto"/>
            </w:tcBorders>
            <w:shd w:val="clear" w:color="auto" w:fill="F5F5F5"/>
          </w:tcPr>
          <w:p>
            <w:pPr>
              <w:spacing w:after="0"/>
              <w:rPr>
                <w:sz w:val="5"/>
                <w:szCs w:val="5"/>
                <w:color w:val="auto"/>
              </w:rPr>
            </w:pPr>
          </w:p>
        </w:tc>
        <w:tc>
          <w:tcPr>
            <w:tcW w:w="40" w:type="dxa"/>
            <w:vAlign w:val="bottom"/>
            <w:tcBorders>
              <w:bottom w:val="single" w:sz="8" w:color="auto"/>
            </w:tcBorders>
            <w:shd w:val="clear" w:color="auto" w:fill="F5F5F5"/>
          </w:tcPr>
          <w:p>
            <w:pPr>
              <w:spacing w:after="0"/>
              <w:rPr>
                <w:sz w:val="5"/>
                <w:szCs w:val="5"/>
                <w:color w:val="auto"/>
              </w:rPr>
            </w:pPr>
          </w:p>
        </w:tc>
        <w:tc>
          <w:tcPr>
            <w:tcW w:w="40" w:type="dxa"/>
            <w:vAlign w:val="bottom"/>
            <w:tcBorders>
              <w:bottom w:val="single" w:sz="8" w:color="auto"/>
            </w:tcBorders>
            <w:shd w:val="clear" w:color="auto" w:fill="F5F5F5"/>
          </w:tcPr>
          <w:p>
            <w:pPr>
              <w:spacing w:after="0"/>
              <w:rPr>
                <w:sz w:val="5"/>
                <w:szCs w:val="5"/>
                <w:color w:val="auto"/>
              </w:rPr>
            </w:pPr>
          </w:p>
        </w:tc>
        <w:tc>
          <w:tcPr>
            <w:tcW w:w="320" w:type="dxa"/>
            <w:vAlign w:val="bottom"/>
            <w:tcBorders>
              <w:bottom w:val="single" w:sz="8" w:color="auto"/>
            </w:tcBorders>
            <w:shd w:val="clear" w:color="auto" w:fill="F5F5F5"/>
          </w:tcPr>
          <w:p>
            <w:pPr>
              <w:spacing w:after="0"/>
              <w:rPr>
                <w:sz w:val="5"/>
                <w:szCs w:val="5"/>
                <w:color w:val="auto"/>
              </w:rPr>
            </w:pPr>
          </w:p>
        </w:tc>
        <w:tc>
          <w:tcPr>
            <w:tcW w:w="560" w:type="dxa"/>
            <w:vAlign w:val="bottom"/>
            <w:tcBorders>
              <w:bottom w:val="single" w:sz="8" w:color="auto"/>
            </w:tcBorders>
            <w:gridSpan w:val="2"/>
            <w:shd w:val="clear" w:color="auto" w:fill="F5F5F5"/>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160" w:type="dxa"/>
            <w:vAlign w:val="bottom"/>
            <w:shd w:val="clear" w:color="auto" w:fill="F5F5F5"/>
          </w:tcPr>
          <w:p>
            <w:pPr>
              <w:spacing w:after="0"/>
              <w:rPr>
                <w:sz w:val="14"/>
                <w:szCs w:val="14"/>
                <w:color w:val="auto"/>
              </w:rPr>
            </w:pPr>
          </w:p>
        </w:tc>
        <w:tc>
          <w:tcPr>
            <w:tcW w:w="800" w:type="dxa"/>
            <w:vAlign w:val="bottom"/>
            <w:shd w:val="clear" w:color="auto" w:fill="F5F5F5"/>
          </w:tcPr>
          <w:p>
            <w:pPr>
              <w:spacing w:after="0"/>
              <w:rPr>
                <w:sz w:val="14"/>
                <w:szCs w:val="14"/>
                <w:color w:val="auto"/>
              </w:rPr>
            </w:pPr>
          </w:p>
        </w:tc>
        <w:tc>
          <w:tcPr>
            <w:tcW w:w="20" w:type="dxa"/>
            <w:vAlign w:val="bottom"/>
            <w:shd w:val="clear" w:color="auto" w:fill="F5F5F5"/>
          </w:tcPr>
          <w:p>
            <w:pPr>
              <w:spacing w:after="0"/>
              <w:rPr>
                <w:sz w:val="14"/>
                <w:szCs w:val="14"/>
                <w:color w:val="auto"/>
              </w:rPr>
            </w:pPr>
          </w:p>
        </w:tc>
        <w:tc>
          <w:tcPr>
            <w:tcW w:w="140" w:type="dxa"/>
            <w:vAlign w:val="bottom"/>
            <w:shd w:val="clear" w:color="auto" w:fill="F5F5F5"/>
          </w:tcPr>
          <w:p>
            <w:pPr>
              <w:spacing w:after="0"/>
              <w:rPr>
                <w:sz w:val="14"/>
                <w:szCs w:val="14"/>
                <w:color w:val="auto"/>
              </w:rPr>
            </w:pPr>
          </w:p>
        </w:tc>
        <w:tc>
          <w:tcPr>
            <w:tcW w:w="260" w:type="dxa"/>
            <w:vAlign w:val="bottom"/>
            <w:shd w:val="clear" w:color="auto" w:fill="F5F5F5"/>
          </w:tcPr>
          <w:p>
            <w:pPr>
              <w:spacing w:after="0"/>
              <w:rPr>
                <w:sz w:val="14"/>
                <w:szCs w:val="14"/>
                <w:color w:val="auto"/>
              </w:rPr>
            </w:pPr>
          </w:p>
        </w:tc>
        <w:tc>
          <w:tcPr>
            <w:tcW w:w="180" w:type="dxa"/>
            <w:vAlign w:val="bottom"/>
            <w:shd w:val="clear" w:color="auto" w:fill="F5F5F5"/>
          </w:tcPr>
          <w:p>
            <w:pPr>
              <w:spacing w:after="0"/>
              <w:rPr>
                <w:sz w:val="14"/>
                <w:szCs w:val="14"/>
                <w:color w:val="auto"/>
              </w:rPr>
            </w:pPr>
          </w:p>
        </w:tc>
        <w:tc>
          <w:tcPr>
            <w:tcW w:w="720" w:type="dxa"/>
            <w:vAlign w:val="bottom"/>
            <w:shd w:val="clear" w:color="auto" w:fill="F5F5F5"/>
          </w:tcPr>
          <w:p>
            <w:pPr>
              <w:ind w:left="120"/>
              <w:spacing w:after="0" w:line="169" w:lineRule="exact"/>
              <w:rPr>
                <w:sz w:val="20"/>
                <w:szCs w:val="20"/>
                <w:color w:val="auto"/>
              </w:rPr>
            </w:pPr>
            <w:r>
              <w:rPr>
                <w:rFonts w:ascii="Calibri" w:cs="Calibri" w:eastAsia="Calibri" w:hAnsi="Calibri"/>
                <w:sz w:val="14"/>
                <w:szCs w:val="14"/>
                <w:b w:val="1"/>
                <w:bCs w:val="1"/>
                <w:color w:val="auto"/>
              </w:rPr>
              <w:t>2026</w:t>
            </w:r>
          </w:p>
        </w:tc>
        <w:tc>
          <w:tcPr>
            <w:tcW w:w="60" w:type="dxa"/>
            <w:vAlign w:val="bottom"/>
            <w:shd w:val="clear" w:color="auto" w:fill="F5F5F5"/>
          </w:tcPr>
          <w:p>
            <w:pPr>
              <w:spacing w:after="0"/>
              <w:rPr>
                <w:sz w:val="14"/>
                <w:szCs w:val="14"/>
                <w:color w:val="auto"/>
              </w:rPr>
            </w:pPr>
          </w:p>
        </w:tc>
        <w:tc>
          <w:tcPr>
            <w:tcW w:w="40" w:type="dxa"/>
            <w:vAlign w:val="bottom"/>
            <w:shd w:val="clear" w:color="auto" w:fill="F5F5F5"/>
          </w:tcPr>
          <w:p>
            <w:pPr>
              <w:spacing w:after="0"/>
              <w:rPr>
                <w:sz w:val="14"/>
                <w:szCs w:val="14"/>
                <w:color w:val="auto"/>
              </w:rPr>
            </w:pPr>
          </w:p>
        </w:tc>
        <w:tc>
          <w:tcPr>
            <w:tcW w:w="480" w:type="dxa"/>
            <w:vAlign w:val="bottom"/>
            <w:shd w:val="clear" w:color="auto" w:fill="F5F5F5"/>
          </w:tcPr>
          <w:p>
            <w:pPr>
              <w:jc w:val="right"/>
              <w:spacing w:after="0" w:line="169" w:lineRule="exact"/>
              <w:rPr>
                <w:sz w:val="20"/>
                <w:szCs w:val="20"/>
                <w:color w:val="auto"/>
              </w:rPr>
            </w:pPr>
            <w:r>
              <w:rPr>
                <w:rFonts w:ascii="Calibri" w:cs="Calibri" w:eastAsia="Calibri" w:hAnsi="Calibri"/>
                <w:sz w:val="14"/>
                <w:szCs w:val="14"/>
                <w:b w:val="1"/>
                <w:bCs w:val="1"/>
                <w:color w:val="auto"/>
              </w:rPr>
              <w:t>2025</w:t>
            </w:r>
          </w:p>
        </w:tc>
        <w:tc>
          <w:tcPr>
            <w:tcW w:w="60" w:type="dxa"/>
            <w:vAlign w:val="bottom"/>
            <w:shd w:val="clear" w:color="auto" w:fill="F5F5F5"/>
          </w:tcPr>
          <w:p>
            <w:pPr>
              <w:spacing w:after="0"/>
              <w:rPr>
                <w:sz w:val="14"/>
                <w:szCs w:val="14"/>
                <w:color w:val="auto"/>
              </w:rPr>
            </w:pPr>
          </w:p>
        </w:tc>
        <w:tc>
          <w:tcPr>
            <w:tcW w:w="100" w:type="dxa"/>
            <w:vAlign w:val="bottom"/>
            <w:shd w:val="clear" w:color="auto" w:fill="F5F5F5"/>
          </w:tcPr>
          <w:p>
            <w:pPr>
              <w:spacing w:after="0"/>
              <w:rPr>
                <w:sz w:val="14"/>
                <w:szCs w:val="14"/>
                <w:color w:val="auto"/>
              </w:rPr>
            </w:pPr>
          </w:p>
        </w:tc>
        <w:tc>
          <w:tcPr>
            <w:tcW w:w="20" w:type="dxa"/>
            <w:vAlign w:val="bottom"/>
            <w:shd w:val="clear" w:color="auto" w:fill="F5F5F5"/>
          </w:tcPr>
          <w:p>
            <w:pPr>
              <w:spacing w:after="0"/>
              <w:rPr>
                <w:sz w:val="14"/>
                <w:szCs w:val="14"/>
                <w:color w:val="auto"/>
              </w:rPr>
            </w:pPr>
          </w:p>
        </w:tc>
        <w:tc>
          <w:tcPr>
            <w:tcW w:w="60" w:type="dxa"/>
            <w:vAlign w:val="bottom"/>
            <w:shd w:val="clear" w:color="auto" w:fill="F5F5F5"/>
          </w:tcPr>
          <w:p>
            <w:pPr>
              <w:spacing w:after="0"/>
              <w:rPr>
                <w:sz w:val="14"/>
                <w:szCs w:val="14"/>
                <w:color w:val="auto"/>
              </w:rPr>
            </w:pPr>
          </w:p>
        </w:tc>
        <w:tc>
          <w:tcPr>
            <w:tcW w:w="40" w:type="dxa"/>
            <w:vAlign w:val="bottom"/>
            <w:shd w:val="clear" w:color="auto" w:fill="F5F5F5"/>
          </w:tcPr>
          <w:p>
            <w:pPr>
              <w:spacing w:after="0"/>
              <w:rPr>
                <w:sz w:val="14"/>
                <w:szCs w:val="14"/>
                <w:color w:val="auto"/>
              </w:rPr>
            </w:pPr>
          </w:p>
        </w:tc>
        <w:tc>
          <w:tcPr>
            <w:tcW w:w="200" w:type="dxa"/>
            <w:vAlign w:val="bottom"/>
            <w:shd w:val="clear" w:color="auto" w:fill="F5F5F5"/>
          </w:tcPr>
          <w:p>
            <w:pPr>
              <w:spacing w:after="0"/>
              <w:rPr>
                <w:sz w:val="14"/>
                <w:szCs w:val="14"/>
                <w:color w:val="auto"/>
              </w:rPr>
            </w:pPr>
          </w:p>
        </w:tc>
        <w:tc>
          <w:tcPr>
            <w:tcW w:w="640" w:type="dxa"/>
            <w:vAlign w:val="bottom"/>
            <w:shd w:val="clear" w:color="auto" w:fill="F5F5F5"/>
          </w:tcPr>
          <w:p>
            <w:pPr>
              <w:jc w:val="right"/>
              <w:ind w:right="158"/>
              <w:spacing w:after="0" w:line="169" w:lineRule="exact"/>
              <w:rPr>
                <w:sz w:val="20"/>
                <w:szCs w:val="20"/>
                <w:color w:val="auto"/>
              </w:rPr>
            </w:pPr>
            <w:r>
              <w:rPr>
                <w:rFonts w:ascii="Calibri" w:cs="Calibri" w:eastAsia="Calibri" w:hAnsi="Calibri"/>
                <w:sz w:val="14"/>
                <w:szCs w:val="14"/>
                <w:b w:val="1"/>
                <w:bCs w:val="1"/>
                <w:color w:val="auto"/>
              </w:rPr>
              <w:t>2025</w:t>
            </w:r>
          </w:p>
        </w:tc>
        <w:tc>
          <w:tcPr>
            <w:tcW w:w="40" w:type="dxa"/>
            <w:vAlign w:val="bottom"/>
            <w:shd w:val="clear" w:color="auto" w:fill="F5F5F5"/>
          </w:tcPr>
          <w:p>
            <w:pPr>
              <w:spacing w:after="0"/>
              <w:rPr>
                <w:sz w:val="14"/>
                <w:szCs w:val="14"/>
                <w:color w:val="auto"/>
              </w:rPr>
            </w:pPr>
          </w:p>
        </w:tc>
        <w:tc>
          <w:tcPr>
            <w:tcW w:w="40" w:type="dxa"/>
            <w:vAlign w:val="bottom"/>
            <w:shd w:val="clear" w:color="auto" w:fill="F5F5F5"/>
          </w:tcPr>
          <w:p>
            <w:pPr>
              <w:spacing w:after="0"/>
              <w:rPr>
                <w:sz w:val="14"/>
                <w:szCs w:val="14"/>
                <w:color w:val="auto"/>
              </w:rPr>
            </w:pPr>
          </w:p>
        </w:tc>
        <w:tc>
          <w:tcPr>
            <w:tcW w:w="40" w:type="dxa"/>
            <w:vAlign w:val="bottom"/>
            <w:shd w:val="clear" w:color="auto" w:fill="F5F5F5"/>
          </w:tcPr>
          <w:p>
            <w:pPr>
              <w:spacing w:after="0"/>
              <w:rPr>
                <w:sz w:val="14"/>
                <w:szCs w:val="14"/>
                <w:color w:val="auto"/>
              </w:rPr>
            </w:pPr>
          </w:p>
        </w:tc>
        <w:tc>
          <w:tcPr>
            <w:tcW w:w="320" w:type="dxa"/>
            <w:vAlign w:val="bottom"/>
            <w:shd w:val="clear" w:color="auto" w:fill="F5F5F5"/>
          </w:tcPr>
          <w:p>
            <w:pPr>
              <w:spacing w:after="0"/>
              <w:rPr>
                <w:sz w:val="14"/>
                <w:szCs w:val="14"/>
                <w:color w:val="auto"/>
              </w:rPr>
            </w:pPr>
          </w:p>
        </w:tc>
        <w:tc>
          <w:tcPr>
            <w:tcW w:w="560" w:type="dxa"/>
            <w:vAlign w:val="bottom"/>
            <w:gridSpan w:val="2"/>
            <w:shd w:val="clear" w:color="auto" w:fill="F5F5F5"/>
          </w:tcPr>
          <w:p>
            <w:pPr>
              <w:jc w:val="right"/>
              <w:ind w:right="196"/>
              <w:spacing w:after="0" w:line="169" w:lineRule="exact"/>
              <w:rPr>
                <w:sz w:val="20"/>
                <w:szCs w:val="20"/>
                <w:color w:val="auto"/>
              </w:rPr>
            </w:pPr>
            <w:r>
              <w:rPr>
                <w:rFonts w:ascii="Calibri" w:cs="Calibri" w:eastAsia="Calibri" w:hAnsi="Calibri"/>
                <w:sz w:val="14"/>
                <w:szCs w:val="14"/>
                <w:b w:val="1"/>
                <w:bCs w:val="1"/>
                <w:color w:val="auto"/>
                <w:w w:val="91"/>
              </w:rPr>
              <w:t>2024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F5F5F5"/>
            </w:tcBorders>
          </w:tcPr>
          <w:p>
            <w:pPr>
              <w:spacing w:after="0"/>
              <w:rPr>
                <w:sz w:val="2"/>
                <w:szCs w:val="2"/>
                <w:color w:val="auto"/>
              </w:rPr>
            </w:pPr>
          </w:p>
        </w:tc>
        <w:tc>
          <w:tcPr>
            <w:tcW w:w="800" w:type="dxa"/>
            <w:vAlign w:val="bottom"/>
            <w:tcBorders>
              <w:bottom w:val="single" w:sz="8" w:color="F5F5F5"/>
            </w:tcBorders>
          </w:tcPr>
          <w:p>
            <w:pPr>
              <w:spacing w:after="0"/>
              <w:rPr>
                <w:sz w:val="2"/>
                <w:szCs w:val="2"/>
                <w:color w:val="auto"/>
              </w:rPr>
            </w:pPr>
          </w:p>
        </w:tc>
        <w:tc>
          <w:tcPr>
            <w:tcW w:w="20" w:type="dxa"/>
            <w:vAlign w:val="bottom"/>
            <w:tcBorders>
              <w:bottom w:val="single" w:sz="8" w:color="F5F5F5"/>
            </w:tcBorders>
          </w:tcPr>
          <w:p>
            <w:pPr>
              <w:spacing w:after="0"/>
              <w:rPr>
                <w:sz w:val="2"/>
                <w:szCs w:val="2"/>
                <w:color w:val="auto"/>
              </w:rPr>
            </w:pPr>
          </w:p>
        </w:tc>
        <w:tc>
          <w:tcPr>
            <w:tcW w:w="140" w:type="dxa"/>
            <w:vAlign w:val="bottom"/>
            <w:tcBorders>
              <w:bottom w:val="single" w:sz="8" w:color="F5F5F5"/>
            </w:tcBorders>
          </w:tcPr>
          <w:p>
            <w:pPr>
              <w:spacing w:after="0"/>
              <w:rPr>
                <w:sz w:val="2"/>
                <w:szCs w:val="2"/>
                <w:color w:val="auto"/>
              </w:rPr>
            </w:pPr>
          </w:p>
        </w:tc>
        <w:tc>
          <w:tcPr>
            <w:tcW w:w="260" w:type="dxa"/>
            <w:vAlign w:val="bottom"/>
            <w:tcBorders>
              <w:bottom w:val="single" w:sz="8" w:color="F5F5F5"/>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F5F5F5"/>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F5F5F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F5F5F5"/>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5160" w:type="dxa"/>
            <w:vAlign w:val="bottom"/>
            <w:shd w:val="clear" w:color="auto" w:fill="F5F5F5"/>
          </w:tcPr>
          <w:p>
            <w:pPr>
              <w:ind w:left="40"/>
              <w:spacing w:after="0" w:line="195" w:lineRule="exact"/>
              <w:rPr>
                <w:sz w:val="20"/>
                <w:szCs w:val="20"/>
                <w:color w:val="auto"/>
              </w:rPr>
            </w:pPr>
            <w:r>
              <w:rPr>
                <w:rFonts w:ascii="Calibri" w:cs="Calibri" w:eastAsia="Calibri" w:hAnsi="Calibri"/>
                <w:sz w:val="18"/>
                <w:szCs w:val="18"/>
                <w:color w:val="auto"/>
              </w:rPr>
              <w:t>Acquisiton of Crabtree Mall</w:t>
            </w:r>
          </w:p>
        </w:tc>
        <w:tc>
          <w:tcPr>
            <w:tcW w:w="800" w:type="dxa"/>
            <w:vAlign w:val="bottom"/>
            <w:vMerge w:val="restart"/>
            <w:shd w:val="clear" w:color="auto" w:fill="F5F5F5"/>
          </w:tcPr>
          <w:p>
            <w:pPr>
              <w:ind w:left="40"/>
              <w:spacing w:after="0"/>
              <w:rPr>
                <w:sz w:val="20"/>
                <w:szCs w:val="20"/>
                <w:color w:val="auto"/>
              </w:rPr>
            </w:pPr>
            <w:r>
              <w:rPr>
                <w:rFonts w:ascii="Calibri" w:cs="Calibri" w:eastAsia="Calibri" w:hAnsi="Calibri"/>
                <w:sz w:val="18"/>
                <w:szCs w:val="18"/>
                <w:color w:val="auto"/>
                <w:w w:val="98"/>
              </w:rPr>
              <w:t>6-23-2025</w:t>
            </w:r>
          </w:p>
        </w:tc>
        <w:tc>
          <w:tcPr>
            <w:tcW w:w="20" w:type="dxa"/>
            <w:vAlign w:val="bottom"/>
            <w:shd w:val="clear" w:color="auto" w:fill="F5F5F5"/>
          </w:tcPr>
          <w:p>
            <w:pPr>
              <w:spacing w:after="0"/>
              <w:rPr>
                <w:sz w:val="16"/>
                <w:szCs w:val="16"/>
                <w:color w:val="auto"/>
              </w:rPr>
            </w:pPr>
          </w:p>
        </w:tc>
        <w:tc>
          <w:tcPr>
            <w:tcW w:w="140" w:type="dxa"/>
            <w:vAlign w:val="bottom"/>
            <w:shd w:val="clear" w:color="auto" w:fill="F5F5F5"/>
          </w:tcPr>
          <w:p>
            <w:pPr>
              <w:spacing w:after="0"/>
              <w:rPr>
                <w:sz w:val="16"/>
                <w:szCs w:val="16"/>
                <w:color w:val="auto"/>
              </w:rPr>
            </w:pPr>
          </w:p>
        </w:tc>
        <w:tc>
          <w:tcPr>
            <w:tcW w:w="440" w:type="dxa"/>
            <w:vAlign w:val="bottom"/>
            <w:gridSpan w:val="2"/>
            <w:vMerge w:val="restart"/>
            <w:shd w:val="clear" w:color="auto" w:fill="F5F5F5"/>
          </w:tcPr>
          <w:p>
            <w:pPr>
              <w:jc w:val="right"/>
              <w:spacing w:after="0" w:line="417" w:lineRule="exact"/>
              <w:rPr>
                <w:sz w:val="20"/>
                <w:szCs w:val="20"/>
                <w:color w:val="auto"/>
              </w:rPr>
            </w:pPr>
            <w:r>
              <w:rPr>
                <w:rFonts w:ascii="Calibri" w:cs="Calibri" w:eastAsia="Calibri" w:hAnsi="Calibri"/>
                <w:sz w:val="16"/>
                <w:szCs w:val="16"/>
                <w:color w:val="auto"/>
              </w:rPr>
              <w:t xml:space="preserve">(c)  </w:t>
            </w:r>
            <w:r>
              <w:rPr>
                <w:rFonts w:ascii="Calibri" w:cs="Calibri" w:eastAsia="Calibri" w:hAnsi="Calibri"/>
                <w:sz w:val="35"/>
                <w:szCs w:val="35"/>
                <w:color w:val="auto"/>
                <w:vertAlign w:val="subscript"/>
              </w:rPr>
              <w:t>$</w:t>
            </w:r>
          </w:p>
        </w:tc>
        <w:tc>
          <w:tcPr>
            <w:tcW w:w="820" w:type="dxa"/>
            <w:vAlign w:val="bottom"/>
            <w:gridSpan w:val="3"/>
            <w:vMerge w:val="restart"/>
            <w:shd w:val="clear" w:color="auto" w:fill="F5F5F5"/>
          </w:tcPr>
          <w:p>
            <w:pPr>
              <w:ind w:left="500"/>
              <w:spacing w:after="0"/>
              <w:rPr>
                <w:sz w:val="20"/>
                <w:szCs w:val="20"/>
                <w:color w:val="auto"/>
              </w:rPr>
            </w:pPr>
            <w:r>
              <w:rPr>
                <w:rFonts w:ascii="Calibri" w:cs="Calibri" w:eastAsia="Calibri" w:hAnsi="Calibri"/>
                <w:sz w:val="18"/>
                <w:szCs w:val="18"/>
                <w:color w:val="auto"/>
              </w:rPr>
              <w:t>—</w:t>
            </w:r>
          </w:p>
        </w:tc>
        <w:tc>
          <w:tcPr>
            <w:tcW w:w="480" w:type="dxa"/>
            <w:vAlign w:val="bottom"/>
            <w:vMerge w:val="restart"/>
            <w:shd w:val="clear" w:color="auto" w:fill="F5F5F5"/>
          </w:tcPr>
          <w:p>
            <w:pPr>
              <w:jc w:val="right"/>
              <w:ind w:right="301"/>
              <w:spacing w:after="0"/>
              <w:rPr>
                <w:sz w:val="20"/>
                <w:szCs w:val="20"/>
                <w:color w:val="auto"/>
              </w:rPr>
            </w:pPr>
            <w:r>
              <w:rPr>
                <w:rFonts w:ascii="Calibri" w:cs="Calibri" w:eastAsia="Calibri" w:hAnsi="Calibri"/>
                <w:sz w:val="18"/>
                <w:szCs w:val="18"/>
                <w:color w:val="auto"/>
                <w:w w:val="87"/>
              </w:rPr>
              <w:t>$</w:t>
            </w:r>
          </w:p>
        </w:tc>
        <w:tc>
          <w:tcPr>
            <w:tcW w:w="180" w:type="dxa"/>
            <w:vAlign w:val="bottom"/>
            <w:gridSpan w:val="3"/>
            <w:vMerge w:val="restart"/>
            <w:shd w:val="clear" w:color="auto" w:fill="F5F5F5"/>
          </w:tcPr>
          <w:p>
            <w:pPr>
              <w:spacing w:after="0"/>
              <w:rPr>
                <w:sz w:val="20"/>
                <w:szCs w:val="20"/>
                <w:color w:val="auto"/>
              </w:rPr>
            </w:pPr>
            <w:r>
              <w:rPr>
                <w:rFonts w:ascii="Calibri" w:cs="Calibri" w:eastAsia="Calibri" w:hAnsi="Calibri"/>
                <w:sz w:val="18"/>
                <w:szCs w:val="18"/>
                <w:color w:val="auto"/>
                <w:w w:val="97"/>
              </w:rPr>
              <w:t>—</w:t>
            </w:r>
          </w:p>
        </w:tc>
        <w:tc>
          <w:tcPr>
            <w:tcW w:w="300" w:type="dxa"/>
            <w:vAlign w:val="bottom"/>
            <w:gridSpan w:val="3"/>
            <w:vMerge w:val="restart"/>
            <w:shd w:val="clear" w:color="auto" w:fill="F5F5F5"/>
          </w:tcPr>
          <w:p>
            <w:pPr>
              <w:jc w:val="right"/>
              <w:ind w:right="60"/>
              <w:spacing w:after="0"/>
              <w:rPr>
                <w:sz w:val="20"/>
                <w:szCs w:val="20"/>
                <w:color w:val="auto"/>
              </w:rPr>
            </w:pPr>
            <w:r>
              <w:rPr>
                <w:rFonts w:ascii="Calibri" w:cs="Calibri" w:eastAsia="Calibri" w:hAnsi="Calibri"/>
                <w:sz w:val="18"/>
                <w:szCs w:val="18"/>
                <w:color w:val="auto"/>
              </w:rPr>
              <w:t>$</w:t>
            </w:r>
          </w:p>
        </w:tc>
        <w:tc>
          <w:tcPr>
            <w:tcW w:w="680" w:type="dxa"/>
            <w:vAlign w:val="bottom"/>
            <w:gridSpan w:val="2"/>
            <w:vMerge w:val="restart"/>
            <w:shd w:val="clear" w:color="auto" w:fill="F5F5F5"/>
          </w:tcPr>
          <w:p>
            <w:pPr>
              <w:jc w:val="right"/>
              <w:ind w:right="40"/>
              <w:spacing w:after="0"/>
              <w:rPr>
                <w:sz w:val="20"/>
                <w:szCs w:val="20"/>
                <w:color w:val="auto"/>
              </w:rPr>
            </w:pPr>
            <w:r>
              <w:rPr>
                <w:rFonts w:ascii="Calibri" w:cs="Calibri" w:eastAsia="Calibri" w:hAnsi="Calibri"/>
                <w:sz w:val="18"/>
                <w:szCs w:val="18"/>
                <w:color w:val="auto"/>
              </w:rPr>
              <w:t>290.0</w:t>
            </w:r>
          </w:p>
        </w:tc>
        <w:tc>
          <w:tcPr>
            <w:tcW w:w="400" w:type="dxa"/>
            <w:vAlign w:val="bottom"/>
            <w:gridSpan w:val="3"/>
            <w:vMerge w:val="restart"/>
            <w:shd w:val="clear" w:color="auto" w:fill="F5F5F5"/>
          </w:tcPr>
          <w:p>
            <w:pPr>
              <w:jc w:val="right"/>
              <w:ind w:right="90"/>
              <w:spacing w:after="0"/>
              <w:rPr>
                <w:sz w:val="20"/>
                <w:szCs w:val="20"/>
                <w:color w:val="auto"/>
              </w:rPr>
            </w:pPr>
            <w:r>
              <w:rPr>
                <w:rFonts w:ascii="Calibri" w:cs="Calibri" w:eastAsia="Calibri" w:hAnsi="Calibri"/>
                <w:sz w:val="18"/>
                <w:szCs w:val="18"/>
                <w:color w:val="auto"/>
              </w:rPr>
              <w:t>$</w:t>
            </w:r>
          </w:p>
        </w:tc>
        <w:tc>
          <w:tcPr>
            <w:tcW w:w="80" w:type="dxa"/>
            <w:vAlign w:val="bottom"/>
            <w:shd w:val="clear" w:color="auto" w:fill="F5F5F5"/>
          </w:tcPr>
          <w:p>
            <w:pPr>
              <w:spacing w:after="0"/>
              <w:rPr>
                <w:sz w:val="16"/>
                <w:szCs w:val="16"/>
                <w:color w:val="auto"/>
              </w:rPr>
            </w:pPr>
          </w:p>
        </w:tc>
        <w:tc>
          <w:tcPr>
            <w:tcW w:w="480" w:type="dxa"/>
            <w:vAlign w:val="bottom"/>
            <w:vMerge w:val="restart"/>
            <w:shd w:val="clear" w:color="auto" w:fill="F5F5F5"/>
          </w:tcPr>
          <w:p>
            <w:pPr>
              <w:jc w:val="right"/>
              <w:spacing w:after="0"/>
              <w:rPr>
                <w:sz w:val="20"/>
                <w:szCs w:val="20"/>
                <w:color w:val="auto"/>
              </w:rPr>
            </w:pPr>
            <w:r>
              <w:rPr>
                <w:rFonts w:ascii="Calibri" w:cs="Calibri" w:eastAsia="Calibri" w:hAnsi="Calibri"/>
                <w:sz w:val="18"/>
                <w:szCs w:val="18"/>
                <w:color w:val="auto"/>
              </w:rPr>
              <w:t>—</w:t>
            </w:r>
          </w:p>
        </w:tc>
        <w:tc>
          <w:tcPr>
            <w:tcW w:w="40" w:type="dxa"/>
            <w:vAlign w:val="bottom"/>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5160" w:type="dxa"/>
            <w:vAlign w:val="bottom"/>
            <w:shd w:val="clear" w:color="auto" w:fill="F5F5F5"/>
          </w:tcPr>
          <w:p>
            <w:pPr>
              <w:spacing w:after="0"/>
              <w:rPr>
                <w:sz w:val="4"/>
                <w:szCs w:val="4"/>
                <w:color w:val="auto"/>
              </w:rPr>
            </w:pPr>
          </w:p>
        </w:tc>
        <w:tc>
          <w:tcPr>
            <w:tcW w:w="800" w:type="dxa"/>
            <w:vAlign w:val="bottom"/>
            <w:vMerge w:val="continue"/>
            <w:shd w:val="clear" w:color="auto" w:fill="F5F5F5"/>
          </w:tcPr>
          <w:p>
            <w:pPr>
              <w:spacing w:after="0"/>
              <w:rPr>
                <w:sz w:val="4"/>
                <w:szCs w:val="4"/>
                <w:color w:val="auto"/>
              </w:rPr>
            </w:pPr>
          </w:p>
        </w:tc>
        <w:tc>
          <w:tcPr>
            <w:tcW w:w="20" w:type="dxa"/>
            <w:vAlign w:val="bottom"/>
            <w:shd w:val="clear" w:color="auto" w:fill="F5F5F5"/>
          </w:tcPr>
          <w:p>
            <w:pPr>
              <w:spacing w:after="0"/>
              <w:rPr>
                <w:sz w:val="4"/>
                <w:szCs w:val="4"/>
                <w:color w:val="auto"/>
              </w:rPr>
            </w:pPr>
          </w:p>
        </w:tc>
        <w:tc>
          <w:tcPr>
            <w:tcW w:w="140" w:type="dxa"/>
            <w:vAlign w:val="bottom"/>
            <w:shd w:val="clear" w:color="auto" w:fill="F5F5F5"/>
          </w:tcPr>
          <w:p>
            <w:pPr>
              <w:spacing w:after="0"/>
              <w:rPr>
                <w:sz w:val="4"/>
                <w:szCs w:val="4"/>
                <w:color w:val="auto"/>
              </w:rPr>
            </w:pPr>
          </w:p>
        </w:tc>
        <w:tc>
          <w:tcPr>
            <w:tcW w:w="440" w:type="dxa"/>
            <w:vAlign w:val="bottom"/>
            <w:gridSpan w:val="2"/>
            <w:vMerge w:val="continue"/>
            <w:shd w:val="clear" w:color="auto" w:fill="F5F5F5"/>
          </w:tcPr>
          <w:p>
            <w:pPr>
              <w:spacing w:after="0"/>
              <w:rPr>
                <w:sz w:val="4"/>
                <w:szCs w:val="4"/>
                <w:color w:val="auto"/>
              </w:rPr>
            </w:pPr>
          </w:p>
        </w:tc>
        <w:tc>
          <w:tcPr>
            <w:tcW w:w="820" w:type="dxa"/>
            <w:vAlign w:val="bottom"/>
            <w:gridSpan w:val="3"/>
            <w:vMerge w:val="continue"/>
            <w:shd w:val="clear" w:color="auto" w:fill="F5F5F5"/>
          </w:tcPr>
          <w:p>
            <w:pPr>
              <w:spacing w:after="0"/>
              <w:rPr>
                <w:sz w:val="4"/>
                <w:szCs w:val="4"/>
                <w:color w:val="auto"/>
              </w:rPr>
            </w:pPr>
          </w:p>
        </w:tc>
        <w:tc>
          <w:tcPr>
            <w:tcW w:w="480" w:type="dxa"/>
            <w:vAlign w:val="bottom"/>
            <w:vMerge w:val="continue"/>
            <w:shd w:val="clear" w:color="auto" w:fill="F5F5F5"/>
          </w:tcPr>
          <w:p>
            <w:pPr>
              <w:spacing w:after="0"/>
              <w:rPr>
                <w:sz w:val="4"/>
                <w:szCs w:val="4"/>
                <w:color w:val="auto"/>
              </w:rPr>
            </w:pPr>
          </w:p>
        </w:tc>
        <w:tc>
          <w:tcPr>
            <w:tcW w:w="180" w:type="dxa"/>
            <w:vAlign w:val="bottom"/>
            <w:gridSpan w:val="3"/>
            <w:vMerge w:val="continue"/>
            <w:shd w:val="clear" w:color="auto" w:fill="F5F5F5"/>
          </w:tcPr>
          <w:p>
            <w:pPr>
              <w:spacing w:after="0"/>
              <w:rPr>
                <w:sz w:val="4"/>
                <w:szCs w:val="4"/>
                <w:color w:val="auto"/>
              </w:rPr>
            </w:pPr>
          </w:p>
        </w:tc>
        <w:tc>
          <w:tcPr>
            <w:tcW w:w="300" w:type="dxa"/>
            <w:vAlign w:val="bottom"/>
            <w:gridSpan w:val="3"/>
            <w:vMerge w:val="continue"/>
            <w:shd w:val="clear" w:color="auto" w:fill="F5F5F5"/>
          </w:tcPr>
          <w:p>
            <w:pPr>
              <w:spacing w:after="0"/>
              <w:rPr>
                <w:sz w:val="4"/>
                <w:szCs w:val="4"/>
                <w:color w:val="auto"/>
              </w:rPr>
            </w:pPr>
          </w:p>
        </w:tc>
        <w:tc>
          <w:tcPr>
            <w:tcW w:w="680" w:type="dxa"/>
            <w:vAlign w:val="bottom"/>
            <w:gridSpan w:val="2"/>
            <w:vMerge w:val="continue"/>
            <w:shd w:val="clear" w:color="auto" w:fill="F5F5F5"/>
          </w:tcPr>
          <w:p>
            <w:pPr>
              <w:spacing w:after="0"/>
              <w:rPr>
                <w:sz w:val="4"/>
                <w:szCs w:val="4"/>
                <w:color w:val="auto"/>
              </w:rPr>
            </w:pPr>
          </w:p>
        </w:tc>
        <w:tc>
          <w:tcPr>
            <w:tcW w:w="400" w:type="dxa"/>
            <w:vAlign w:val="bottom"/>
            <w:gridSpan w:val="3"/>
            <w:vMerge w:val="continue"/>
            <w:shd w:val="clear" w:color="auto" w:fill="F5F5F5"/>
          </w:tcPr>
          <w:p>
            <w:pPr>
              <w:spacing w:after="0"/>
              <w:rPr>
                <w:sz w:val="4"/>
                <w:szCs w:val="4"/>
                <w:color w:val="auto"/>
              </w:rPr>
            </w:pPr>
          </w:p>
        </w:tc>
        <w:tc>
          <w:tcPr>
            <w:tcW w:w="80" w:type="dxa"/>
            <w:vAlign w:val="bottom"/>
            <w:shd w:val="clear" w:color="auto" w:fill="F5F5F5"/>
          </w:tcPr>
          <w:p>
            <w:pPr>
              <w:spacing w:after="0"/>
              <w:rPr>
                <w:sz w:val="4"/>
                <w:szCs w:val="4"/>
                <w:color w:val="auto"/>
              </w:rPr>
            </w:pPr>
          </w:p>
        </w:tc>
        <w:tc>
          <w:tcPr>
            <w:tcW w:w="480" w:type="dxa"/>
            <w:vAlign w:val="bottom"/>
            <w:vMerge w:val="continue"/>
            <w:shd w:val="clear" w:color="auto" w:fill="F5F5F5"/>
          </w:tcPr>
          <w:p>
            <w:pPr>
              <w:spacing w:after="0"/>
              <w:rPr>
                <w:sz w:val="4"/>
                <w:szCs w:val="4"/>
                <w:color w:val="auto"/>
              </w:rPr>
            </w:pPr>
          </w:p>
        </w:tc>
        <w:tc>
          <w:tcPr>
            <w:tcW w:w="40" w:type="dxa"/>
            <w:vAlign w:val="bottom"/>
            <w:shd w:val="clear" w:color="auto" w:fill="F5F5F5"/>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F5F5F5"/>
          </w:tcPr>
          <w:p>
            <w:pPr>
              <w:spacing w:after="0"/>
              <w:rPr>
                <w:sz w:val="15"/>
                <w:szCs w:val="15"/>
                <w:color w:val="auto"/>
              </w:rPr>
            </w:pPr>
          </w:p>
        </w:tc>
        <w:tc>
          <w:tcPr>
            <w:tcW w:w="800" w:type="dxa"/>
            <w:vAlign w:val="bottom"/>
            <w:shd w:val="clear" w:color="auto" w:fill="F5F5F5"/>
          </w:tcPr>
          <w:p>
            <w:pPr>
              <w:spacing w:after="0"/>
              <w:rPr>
                <w:sz w:val="15"/>
                <w:szCs w:val="15"/>
                <w:color w:val="auto"/>
              </w:rPr>
            </w:pPr>
          </w:p>
        </w:tc>
        <w:tc>
          <w:tcPr>
            <w:tcW w:w="20" w:type="dxa"/>
            <w:vAlign w:val="bottom"/>
            <w:shd w:val="clear" w:color="auto" w:fill="F5F5F5"/>
          </w:tcPr>
          <w:p>
            <w:pPr>
              <w:spacing w:after="0"/>
              <w:rPr>
                <w:sz w:val="15"/>
                <w:szCs w:val="15"/>
                <w:color w:val="auto"/>
              </w:rPr>
            </w:pPr>
          </w:p>
        </w:tc>
        <w:tc>
          <w:tcPr>
            <w:tcW w:w="140" w:type="dxa"/>
            <w:vAlign w:val="bottom"/>
            <w:shd w:val="clear" w:color="auto" w:fill="F5F5F5"/>
          </w:tcPr>
          <w:p>
            <w:pPr>
              <w:spacing w:after="0"/>
              <w:rPr>
                <w:sz w:val="15"/>
                <w:szCs w:val="15"/>
                <w:color w:val="auto"/>
              </w:rPr>
            </w:pPr>
          </w:p>
        </w:tc>
        <w:tc>
          <w:tcPr>
            <w:tcW w:w="440" w:type="dxa"/>
            <w:vAlign w:val="bottom"/>
            <w:gridSpan w:val="2"/>
            <w:vMerge w:val="continue"/>
            <w:shd w:val="clear" w:color="auto" w:fill="F5F5F5"/>
          </w:tcPr>
          <w:p>
            <w:pPr>
              <w:spacing w:after="0"/>
              <w:rPr>
                <w:sz w:val="15"/>
                <w:szCs w:val="15"/>
                <w:color w:val="auto"/>
              </w:rPr>
            </w:pPr>
          </w:p>
        </w:tc>
        <w:tc>
          <w:tcPr>
            <w:tcW w:w="820" w:type="dxa"/>
            <w:vAlign w:val="bottom"/>
            <w:gridSpan w:val="3"/>
            <w:vMerge w:val="continue"/>
            <w:shd w:val="clear" w:color="auto" w:fill="F5F5F5"/>
          </w:tcPr>
          <w:p>
            <w:pPr>
              <w:spacing w:after="0"/>
              <w:rPr>
                <w:sz w:val="15"/>
                <w:szCs w:val="15"/>
                <w:color w:val="auto"/>
              </w:rPr>
            </w:pPr>
          </w:p>
        </w:tc>
        <w:tc>
          <w:tcPr>
            <w:tcW w:w="480" w:type="dxa"/>
            <w:vAlign w:val="bottom"/>
            <w:vMerge w:val="continue"/>
            <w:shd w:val="clear" w:color="auto" w:fill="F5F5F5"/>
          </w:tcPr>
          <w:p>
            <w:pPr>
              <w:spacing w:after="0"/>
              <w:rPr>
                <w:sz w:val="15"/>
                <w:szCs w:val="15"/>
                <w:color w:val="auto"/>
              </w:rPr>
            </w:pPr>
          </w:p>
        </w:tc>
        <w:tc>
          <w:tcPr>
            <w:tcW w:w="180" w:type="dxa"/>
            <w:vAlign w:val="bottom"/>
            <w:gridSpan w:val="3"/>
            <w:vMerge w:val="continue"/>
            <w:shd w:val="clear" w:color="auto" w:fill="F5F5F5"/>
          </w:tcPr>
          <w:p>
            <w:pPr>
              <w:spacing w:after="0"/>
              <w:rPr>
                <w:sz w:val="15"/>
                <w:szCs w:val="15"/>
                <w:color w:val="auto"/>
              </w:rPr>
            </w:pPr>
          </w:p>
        </w:tc>
        <w:tc>
          <w:tcPr>
            <w:tcW w:w="300" w:type="dxa"/>
            <w:vAlign w:val="bottom"/>
            <w:gridSpan w:val="3"/>
            <w:vMerge w:val="continue"/>
            <w:shd w:val="clear" w:color="auto" w:fill="F5F5F5"/>
          </w:tcPr>
          <w:p>
            <w:pPr>
              <w:spacing w:after="0"/>
              <w:rPr>
                <w:sz w:val="15"/>
                <w:szCs w:val="15"/>
                <w:color w:val="auto"/>
              </w:rPr>
            </w:pPr>
          </w:p>
        </w:tc>
        <w:tc>
          <w:tcPr>
            <w:tcW w:w="680" w:type="dxa"/>
            <w:vAlign w:val="bottom"/>
            <w:gridSpan w:val="2"/>
            <w:vMerge w:val="continue"/>
            <w:shd w:val="clear" w:color="auto" w:fill="F5F5F5"/>
          </w:tcPr>
          <w:p>
            <w:pPr>
              <w:spacing w:after="0"/>
              <w:rPr>
                <w:sz w:val="15"/>
                <w:szCs w:val="15"/>
                <w:color w:val="auto"/>
              </w:rPr>
            </w:pPr>
          </w:p>
        </w:tc>
        <w:tc>
          <w:tcPr>
            <w:tcW w:w="400" w:type="dxa"/>
            <w:vAlign w:val="bottom"/>
            <w:gridSpan w:val="3"/>
            <w:vMerge w:val="continue"/>
            <w:shd w:val="clear" w:color="auto" w:fill="F5F5F5"/>
          </w:tcPr>
          <w:p>
            <w:pPr>
              <w:spacing w:after="0"/>
              <w:rPr>
                <w:sz w:val="15"/>
                <w:szCs w:val="15"/>
                <w:color w:val="auto"/>
              </w:rPr>
            </w:pPr>
          </w:p>
        </w:tc>
        <w:tc>
          <w:tcPr>
            <w:tcW w:w="80" w:type="dxa"/>
            <w:vAlign w:val="bottom"/>
            <w:shd w:val="clear" w:color="auto" w:fill="F5F5F5"/>
          </w:tcPr>
          <w:p>
            <w:pPr>
              <w:spacing w:after="0"/>
              <w:rPr>
                <w:sz w:val="15"/>
                <w:szCs w:val="15"/>
                <w:color w:val="auto"/>
              </w:rPr>
            </w:pPr>
          </w:p>
        </w:tc>
        <w:tc>
          <w:tcPr>
            <w:tcW w:w="480" w:type="dxa"/>
            <w:vAlign w:val="bottom"/>
            <w:vMerge w:val="continue"/>
            <w:shd w:val="clear" w:color="auto" w:fill="F5F5F5"/>
          </w:tcPr>
          <w:p>
            <w:pPr>
              <w:spacing w:after="0"/>
              <w:rPr>
                <w:sz w:val="15"/>
                <w:szCs w:val="15"/>
                <w:color w:val="auto"/>
              </w:rPr>
            </w:pPr>
          </w:p>
        </w:tc>
        <w:tc>
          <w:tcPr>
            <w:tcW w:w="40" w:type="dxa"/>
            <w:vAlign w:val="bottom"/>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160" w:type="dxa"/>
            <w:vAlign w:val="bottom"/>
          </w:tcPr>
          <w:p>
            <w:pPr>
              <w:ind w:left="40"/>
              <w:spacing w:after="0" w:line="166" w:lineRule="exact"/>
              <w:rPr>
                <w:sz w:val="20"/>
                <w:szCs w:val="20"/>
                <w:color w:val="auto"/>
              </w:rPr>
            </w:pPr>
            <w:r>
              <w:rPr>
                <w:rFonts w:ascii="Calibri" w:cs="Calibri" w:eastAsia="Calibri" w:hAnsi="Calibri"/>
                <w:sz w:val="18"/>
                <w:szCs w:val="18"/>
                <w:color w:val="auto"/>
              </w:rPr>
              <w:t>Acquisiton of the Company's joint venture partner's 40% interest in</w:t>
            </w:r>
          </w:p>
        </w:tc>
        <w:tc>
          <w:tcPr>
            <w:tcW w:w="960" w:type="dxa"/>
            <w:vAlign w:val="bottom"/>
            <w:gridSpan w:val="3"/>
            <w:vMerge w:val="restart"/>
          </w:tcPr>
          <w:p>
            <w:pPr>
              <w:ind w:left="40"/>
              <w:spacing w:after="0"/>
              <w:rPr>
                <w:sz w:val="20"/>
                <w:szCs w:val="20"/>
                <w:color w:val="auto"/>
              </w:rPr>
            </w:pPr>
            <w:r>
              <w:rPr>
                <w:rFonts w:ascii="Calibri" w:cs="Calibri" w:eastAsia="Calibri" w:hAnsi="Calibri"/>
                <w:sz w:val="18"/>
                <w:szCs w:val="18"/>
                <w:color w:val="auto"/>
              </w:rPr>
              <w:t>10-24-2024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restart"/>
          </w:tcPr>
          <w:p>
            <w:pPr>
              <w:ind w:left="500"/>
              <w:spacing w:after="0"/>
              <w:rPr>
                <w:sz w:val="20"/>
                <w:szCs w:val="20"/>
                <w:color w:val="auto"/>
              </w:rPr>
            </w:pPr>
            <w:r>
              <w:rPr>
                <w:rFonts w:ascii="Calibri" w:cs="Calibri" w:eastAsia="Calibri" w:hAnsi="Calibri"/>
                <w:sz w:val="18"/>
                <w:szCs w:val="18"/>
                <w:color w:val="auto"/>
              </w:rPr>
              <w:t>—</w:t>
            </w:r>
          </w:p>
        </w:tc>
        <w:tc>
          <w:tcPr>
            <w:tcW w:w="480" w:type="dxa"/>
            <w:vAlign w:val="bottom"/>
          </w:tcPr>
          <w:p>
            <w:pPr>
              <w:spacing w:after="0"/>
              <w:rPr>
                <w:sz w:val="14"/>
                <w:szCs w:val="14"/>
                <w:color w:val="auto"/>
              </w:rPr>
            </w:pPr>
          </w:p>
        </w:tc>
        <w:tc>
          <w:tcPr>
            <w:tcW w:w="180" w:type="dxa"/>
            <w:vAlign w:val="bottom"/>
            <w:gridSpan w:val="3"/>
            <w:vMerge w:val="restart"/>
          </w:tcPr>
          <w:p>
            <w:pPr>
              <w:spacing w:after="0"/>
              <w:rPr>
                <w:sz w:val="20"/>
                <w:szCs w:val="20"/>
                <w:color w:val="auto"/>
              </w:rPr>
            </w:pPr>
            <w:r>
              <w:rPr>
                <w:rFonts w:ascii="Calibri" w:cs="Calibri" w:eastAsia="Calibri" w:hAnsi="Calibri"/>
                <w:sz w:val="18"/>
                <w:szCs w:val="18"/>
                <w:color w:val="auto"/>
                <w:w w:val="97"/>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restart"/>
          </w:tcPr>
          <w:p>
            <w:pPr>
              <w:jc w:val="right"/>
              <w:ind w:right="40"/>
              <w:spacing w:after="0"/>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Calibri" w:cs="Calibri" w:eastAsia="Calibri" w:hAnsi="Calibri"/>
                <w:sz w:val="18"/>
                <w:szCs w:val="18"/>
                <w:color w:val="auto"/>
              </w:rPr>
              <w:t>129.0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40"/>
              <w:spacing w:after="0" w:line="215" w:lineRule="exact"/>
              <w:rPr>
                <w:sz w:val="20"/>
                <w:szCs w:val="20"/>
                <w:color w:val="auto"/>
              </w:rPr>
            </w:pPr>
            <w:r>
              <w:rPr>
                <w:rFonts w:ascii="Calibri" w:cs="Calibri" w:eastAsia="Calibri" w:hAnsi="Calibri"/>
                <w:sz w:val="18"/>
                <w:szCs w:val="18"/>
                <w:color w:val="auto"/>
              </w:rPr>
              <w:t>Lakewood Center, Los Cerritos Center and Washington Square</w:t>
            </w:r>
          </w:p>
        </w:tc>
        <w:tc>
          <w:tcPr>
            <w:tcW w:w="9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Acquisiton of former Sears parcel at Inland Center</w:t>
            </w:r>
          </w:p>
        </w:tc>
        <w:tc>
          <w:tcPr>
            <w:tcW w:w="800" w:type="dxa"/>
            <w:vAlign w:val="bottom"/>
            <w:vMerge w:val="restart"/>
            <w:shd w:val="clear" w:color="auto" w:fill="F5F5F5"/>
          </w:tcPr>
          <w:p>
            <w:pPr>
              <w:ind w:left="40"/>
              <w:spacing w:after="0"/>
              <w:rPr>
                <w:sz w:val="20"/>
                <w:szCs w:val="20"/>
                <w:color w:val="auto"/>
              </w:rPr>
            </w:pPr>
            <w:r>
              <w:rPr>
                <w:rFonts w:ascii="Calibri" w:cs="Calibri" w:eastAsia="Calibri" w:hAnsi="Calibri"/>
                <w:sz w:val="18"/>
                <w:szCs w:val="18"/>
                <w:color w:val="auto"/>
                <w:w w:val="98"/>
              </w:rPr>
              <w:t>5-17-2024</w:t>
            </w:r>
          </w:p>
        </w:tc>
        <w:tc>
          <w:tcPr>
            <w:tcW w:w="20" w:type="dxa"/>
            <w:vAlign w:val="bottom"/>
            <w:shd w:val="clear" w:color="auto" w:fill="F5F5F5"/>
          </w:tcPr>
          <w:p>
            <w:pPr>
              <w:spacing w:after="0"/>
              <w:rPr>
                <w:sz w:val="18"/>
                <w:szCs w:val="18"/>
                <w:color w:val="auto"/>
              </w:rPr>
            </w:pPr>
          </w:p>
        </w:tc>
        <w:tc>
          <w:tcPr>
            <w:tcW w:w="140" w:type="dxa"/>
            <w:vAlign w:val="bottom"/>
            <w:shd w:val="clear" w:color="auto" w:fill="F5F5F5"/>
          </w:tcPr>
          <w:p>
            <w:pPr>
              <w:spacing w:after="0"/>
              <w:rPr>
                <w:sz w:val="18"/>
                <w:szCs w:val="18"/>
                <w:color w:val="auto"/>
              </w:rPr>
            </w:pPr>
          </w:p>
        </w:tc>
        <w:tc>
          <w:tcPr>
            <w:tcW w:w="260" w:type="dxa"/>
            <w:vAlign w:val="bottom"/>
            <w:shd w:val="clear" w:color="auto" w:fill="F5F5F5"/>
          </w:tcPr>
          <w:p>
            <w:pPr>
              <w:spacing w:after="0"/>
              <w:rPr>
                <w:sz w:val="18"/>
                <w:szCs w:val="18"/>
                <w:color w:val="auto"/>
              </w:rPr>
            </w:pPr>
          </w:p>
        </w:tc>
        <w:tc>
          <w:tcPr>
            <w:tcW w:w="180" w:type="dxa"/>
            <w:vAlign w:val="bottom"/>
            <w:shd w:val="clear" w:color="auto" w:fill="F5F5F5"/>
          </w:tcPr>
          <w:p>
            <w:pPr>
              <w:spacing w:after="0"/>
              <w:rPr>
                <w:sz w:val="18"/>
                <w:szCs w:val="18"/>
                <w:color w:val="auto"/>
              </w:rPr>
            </w:pPr>
          </w:p>
        </w:tc>
        <w:tc>
          <w:tcPr>
            <w:tcW w:w="820" w:type="dxa"/>
            <w:vAlign w:val="bottom"/>
            <w:gridSpan w:val="3"/>
            <w:vMerge w:val="restart"/>
            <w:shd w:val="clear" w:color="auto" w:fill="F5F5F5"/>
          </w:tcPr>
          <w:p>
            <w:pPr>
              <w:ind w:left="500"/>
              <w:spacing w:after="0"/>
              <w:rPr>
                <w:sz w:val="20"/>
                <w:szCs w:val="20"/>
                <w:color w:val="auto"/>
              </w:rPr>
            </w:pPr>
            <w:r>
              <w:rPr>
                <w:rFonts w:ascii="Calibri" w:cs="Calibri" w:eastAsia="Calibri" w:hAnsi="Calibri"/>
                <w:sz w:val="18"/>
                <w:szCs w:val="18"/>
                <w:color w:val="auto"/>
              </w:rPr>
              <w:t>—</w:t>
            </w:r>
          </w:p>
        </w:tc>
        <w:tc>
          <w:tcPr>
            <w:tcW w:w="480" w:type="dxa"/>
            <w:vAlign w:val="bottom"/>
            <w:shd w:val="clear" w:color="auto" w:fill="F5F5F5"/>
          </w:tcPr>
          <w:p>
            <w:pPr>
              <w:spacing w:after="0"/>
              <w:rPr>
                <w:sz w:val="18"/>
                <w:szCs w:val="18"/>
                <w:color w:val="auto"/>
              </w:rPr>
            </w:pPr>
          </w:p>
        </w:tc>
        <w:tc>
          <w:tcPr>
            <w:tcW w:w="180" w:type="dxa"/>
            <w:vAlign w:val="bottom"/>
            <w:gridSpan w:val="3"/>
            <w:vMerge w:val="restart"/>
            <w:shd w:val="clear" w:color="auto" w:fill="F5F5F5"/>
          </w:tcPr>
          <w:p>
            <w:pPr>
              <w:spacing w:after="0"/>
              <w:rPr>
                <w:sz w:val="20"/>
                <w:szCs w:val="20"/>
                <w:color w:val="auto"/>
              </w:rPr>
            </w:pPr>
            <w:r>
              <w:rPr>
                <w:rFonts w:ascii="Calibri" w:cs="Calibri" w:eastAsia="Calibri" w:hAnsi="Calibri"/>
                <w:sz w:val="18"/>
                <w:szCs w:val="18"/>
                <w:color w:val="auto"/>
                <w:w w:val="97"/>
              </w:rPr>
              <w:t>—</w:t>
            </w:r>
          </w:p>
        </w:tc>
        <w:tc>
          <w:tcPr>
            <w:tcW w:w="60" w:type="dxa"/>
            <w:vAlign w:val="bottom"/>
            <w:shd w:val="clear" w:color="auto" w:fill="F5F5F5"/>
          </w:tcPr>
          <w:p>
            <w:pPr>
              <w:spacing w:after="0"/>
              <w:rPr>
                <w:sz w:val="18"/>
                <w:szCs w:val="18"/>
                <w:color w:val="auto"/>
              </w:rPr>
            </w:pPr>
          </w:p>
        </w:tc>
        <w:tc>
          <w:tcPr>
            <w:tcW w:w="40" w:type="dxa"/>
            <w:vAlign w:val="bottom"/>
            <w:shd w:val="clear" w:color="auto" w:fill="F5F5F5"/>
          </w:tcPr>
          <w:p>
            <w:pPr>
              <w:spacing w:after="0"/>
              <w:rPr>
                <w:sz w:val="18"/>
                <w:szCs w:val="18"/>
                <w:color w:val="auto"/>
              </w:rPr>
            </w:pPr>
          </w:p>
        </w:tc>
        <w:tc>
          <w:tcPr>
            <w:tcW w:w="200" w:type="dxa"/>
            <w:vAlign w:val="bottom"/>
            <w:shd w:val="clear" w:color="auto" w:fill="F5F5F5"/>
          </w:tcPr>
          <w:p>
            <w:pPr>
              <w:spacing w:after="0"/>
              <w:rPr>
                <w:sz w:val="18"/>
                <w:szCs w:val="18"/>
                <w:color w:val="auto"/>
              </w:rPr>
            </w:pPr>
          </w:p>
        </w:tc>
        <w:tc>
          <w:tcPr>
            <w:tcW w:w="680" w:type="dxa"/>
            <w:vAlign w:val="bottom"/>
            <w:gridSpan w:val="2"/>
            <w:vMerge w:val="restart"/>
            <w:shd w:val="clear" w:color="auto" w:fill="F5F5F5"/>
          </w:tcPr>
          <w:p>
            <w:pPr>
              <w:jc w:val="right"/>
              <w:ind w:right="40"/>
              <w:spacing w:after="0"/>
              <w:rPr>
                <w:sz w:val="20"/>
                <w:szCs w:val="20"/>
                <w:color w:val="auto"/>
              </w:rPr>
            </w:pPr>
            <w:r>
              <w:rPr>
                <w:rFonts w:ascii="Calibri" w:cs="Calibri" w:eastAsia="Calibri" w:hAnsi="Calibri"/>
                <w:sz w:val="18"/>
                <w:szCs w:val="18"/>
                <w:color w:val="auto"/>
              </w:rPr>
              <w:t>—</w:t>
            </w:r>
          </w:p>
        </w:tc>
        <w:tc>
          <w:tcPr>
            <w:tcW w:w="40" w:type="dxa"/>
            <w:vAlign w:val="bottom"/>
            <w:shd w:val="clear" w:color="auto" w:fill="F5F5F5"/>
          </w:tcPr>
          <w:p>
            <w:pPr>
              <w:spacing w:after="0"/>
              <w:rPr>
                <w:sz w:val="18"/>
                <w:szCs w:val="18"/>
                <w:color w:val="auto"/>
              </w:rPr>
            </w:pPr>
          </w:p>
        </w:tc>
        <w:tc>
          <w:tcPr>
            <w:tcW w:w="40" w:type="dxa"/>
            <w:vAlign w:val="bottom"/>
            <w:shd w:val="clear" w:color="auto" w:fill="F5F5F5"/>
          </w:tcPr>
          <w:p>
            <w:pPr>
              <w:spacing w:after="0"/>
              <w:rPr>
                <w:sz w:val="18"/>
                <w:szCs w:val="18"/>
                <w:color w:val="auto"/>
              </w:rPr>
            </w:pPr>
          </w:p>
        </w:tc>
        <w:tc>
          <w:tcPr>
            <w:tcW w:w="320" w:type="dxa"/>
            <w:vAlign w:val="bottom"/>
            <w:shd w:val="clear" w:color="auto" w:fill="F5F5F5"/>
          </w:tcPr>
          <w:p>
            <w:pPr>
              <w:spacing w:after="0"/>
              <w:rPr>
                <w:sz w:val="18"/>
                <w:szCs w:val="18"/>
                <w:color w:val="auto"/>
              </w:rPr>
            </w:pPr>
          </w:p>
        </w:tc>
        <w:tc>
          <w:tcPr>
            <w:tcW w:w="80" w:type="dxa"/>
            <w:vAlign w:val="bottom"/>
            <w:shd w:val="clear" w:color="auto" w:fill="F5F5F5"/>
          </w:tcPr>
          <w:p>
            <w:pPr>
              <w:spacing w:after="0"/>
              <w:rPr>
                <w:sz w:val="18"/>
                <w:szCs w:val="18"/>
                <w:color w:val="auto"/>
              </w:rPr>
            </w:pPr>
          </w:p>
        </w:tc>
        <w:tc>
          <w:tcPr>
            <w:tcW w:w="480" w:type="dxa"/>
            <w:vAlign w:val="bottom"/>
            <w:vMerge w:val="restart"/>
            <w:shd w:val="clear" w:color="auto" w:fill="F5F5F5"/>
          </w:tcPr>
          <w:p>
            <w:pPr>
              <w:jc w:val="right"/>
              <w:spacing w:after="0"/>
              <w:rPr>
                <w:sz w:val="20"/>
                <w:szCs w:val="20"/>
                <w:color w:val="auto"/>
              </w:rPr>
            </w:pPr>
            <w:r>
              <w:rPr>
                <w:rFonts w:ascii="Calibri" w:cs="Calibri" w:eastAsia="Calibri" w:hAnsi="Calibri"/>
                <w:sz w:val="18"/>
                <w:szCs w:val="18"/>
                <w:color w:val="auto"/>
              </w:rPr>
              <w:t>5.4</w:t>
            </w:r>
          </w:p>
        </w:tc>
        <w:tc>
          <w:tcPr>
            <w:tcW w:w="4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5160" w:type="dxa"/>
            <w:vAlign w:val="bottom"/>
            <w:shd w:val="clear" w:color="auto" w:fill="F5F5F5"/>
          </w:tcPr>
          <w:p>
            <w:pPr>
              <w:spacing w:after="0"/>
              <w:rPr>
                <w:sz w:val="8"/>
                <w:szCs w:val="8"/>
                <w:color w:val="auto"/>
              </w:rPr>
            </w:pPr>
          </w:p>
        </w:tc>
        <w:tc>
          <w:tcPr>
            <w:tcW w:w="800" w:type="dxa"/>
            <w:vAlign w:val="bottom"/>
            <w:vMerge w:val="continue"/>
            <w:shd w:val="clear" w:color="auto" w:fill="F5F5F5"/>
          </w:tcPr>
          <w:p>
            <w:pPr>
              <w:spacing w:after="0"/>
              <w:rPr>
                <w:sz w:val="8"/>
                <w:szCs w:val="8"/>
                <w:color w:val="auto"/>
              </w:rPr>
            </w:pPr>
          </w:p>
        </w:tc>
        <w:tc>
          <w:tcPr>
            <w:tcW w:w="20" w:type="dxa"/>
            <w:vAlign w:val="bottom"/>
            <w:shd w:val="clear" w:color="auto" w:fill="F5F5F5"/>
          </w:tcPr>
          <w:p>
            <w:pPr>
              <w:spacing w:after="0"/>
              <w:rPr>
                <w:sz w:val="8"/>
                <w:szCs w:val="8"/>
                <w:color w:val="auto"/>
              </w:rPr>
            </w:pPr>
          </w:p>
        </w:tc>
        <w:tc>
          <w:tcPr>
            <w:tcW w:w="140" w:type="dxa"/>
            <w:vAlign w:val="bottom"/>
            <w:shd w:val="clear" w:color="auto" w:fill="F5F5F5"/>
          </w:tcPr>
          <w:p>
            <w:pPr>
              <w:spacing w:after="0"/>
              <w:rPr>
                <w:sz w:val="8"/>
                <w:szCs w:val="8"/>
                <w:color w:val="auto"/>
              </w:rPr>
            </w:pPr>
          </w:p>
        </w:tc>
        <w:tc>
          <w:tcPr>
            <w:tcW w:w="260" w:type="dxa"/>
            <w:vAlign w:val="bottom"/>
            <w:shd w:val="clear" w:color="auto" w:fill="F5F5F5"/>
          </w:tcPr>
          <w:p>
            <w:pPr>
              <w:spacing w:after="0"/>
              <w:rPr>
                <w:sz w:val="8"/>
                <w:szCs w:val="8"/>
                <w:color w:val="auto"/>
              </w:rPr>
            </w:pPr>
          </w:p>
        </w:tc>
        <w:tc>
          <w:tcPr>
            <w:tcW w:w="180" w:type="dxa"/>
            <w:vAlign w:val="bottom"/>
            <w:shd w:val="clear" w:color="auto" w:fill="F5F5F5"/>
          </w:tcPr>
          <w:p>
            <w:pPr>
              <w:spacing w:after="0"/>
              <w:rPr>
                <w:sz w:val="8"/>
                <w:szCs w:val="8"/>
                <w:color w:val="auto"/>
              </w:rPr>
            </w:pPr>
          </w:p>
        </w:tc>
        <w:tc>
          <w:tcPr>
            <w:tcW w:w="820" w:type="dxa"/>
            <w:vAlign w:val="bottom"/>
            <w:gridSpan w:val="3"/>
            <w:vMerge w:val="continue"/>
            <w:shd w:val="clear" w:color="auto" w:fill="F5F5F5"/>
          </w:tcPr>
          <w:p>
            <w:pPr>
              <w:spacing w:after="0"/>
              <w:rPr>
                <w:sz w:val="8"/>
                <w:szCs w:val="8"/>
                <w:color w:val="auto"/>
              </w:rPr>
            </w:pPr>
          </w:p>
        </w:tc>
        <w:tc>
          <w:tcPr>
            <w:tcW w:w="480" w:type="dxa"/>
            <w:vAlign w:val="bottom"/>
            <w:shd w:val="clear" w:color="auto" w:fill="F5F5F5"/>
          </w:tcPr>
          <w:p>
            <w:pPr>
              <w:spacing w:after="0"/>
              <w:rPr>
                <w:sz w:val="8"/>
                <w:szCs w:val="8"/>
                <w:color w:val="auto"/>
              </w:rPr>
            </w:pPr>
          </w:p>
        </w:tc>
        <w:tc>
          <w:tcPr>
            <w:tcW w:w="180" w:type="dxa"/>
            <w:vAlign w:val="bottom"/>
            <w:gridSpan w:val="3"/>
            <w:vMerge w:val="continue"/>
            <w:shd w:val="clear" w:color="auto" w:fill="F5F5F5"/>
          </w:tcPr>
          <w:p>
            <w:pPr>
              <w:spacing w:after="0"/>
              <w:rPr>
                <w:sz w:val="8"/>
                <w:szCs w:val="8"/>
                <w:color w:val="auto"/>
              </w:rPr>
            </w:pPr>
          </w:p>
        </w:tc>
        <w:tc>
          <w:tcPr>
            <w:tcW w:w="60" w:type="dxa"/>
            <w:vAlign w:val="bottom"/>
            <w:shd w:val="clear" w:color="auto" w:fill="F5F5F5"/>
          </w:tcPr>
          <w:p>
            <w:pPr>
              <w:spacing w:after="0"/>
              <w:rPr>
                <w:sz w:val="8"/>
                <w:szCs w:val="8"/>
                <w:color w:val="auto"/>
              </w:rPr>
            </w:pPr>
          </w:p>
        </w:tc>
        <w:tc>
          <w:tcPr>
            <w:tcW w:w="40" w:type="dxa"/>
            <w:vAlign w:val="bottom"/>
            <w:shd w:val="clear" w:color="auto" w:fill="F5F5F5"/>
          </w:tcPr>
          <w:p>
            <w:pPr>
              <w:spacing w:after="0"/>
              <w:rPr>
                <w:sz w:val="8"/>
                <w:szCs w:val="8"/>
                <w:color w:val="auto"/>
              </w:rPr>
            </w:pPr>
          </w:p>
        </w:tc>
        <w:tc>
          <w:tcPr>
            <w:tcW w:w="200" w:type="dxa"/>
            <w:vAlign w:val="bottom"/>
            <w:shd w:val="clear" w:color="auto" w:fill="F5F5F5"/>
          </w:tcPr>
          <w:p>
            <w:pPr>
              <w:spacing w:after="0"/>
              <w:rPr>
                <w:sz w:val="8"/>
                <w:szCs w:val="8"/>
                <w:color w:val="auto"/>
              </w:rPr>
            </w:pPr>
          </w:p>
        </w:tc>
        <w:tc>
          <w:tcPr>
            <w:tcW w:w="680" w:type="dxa"/>
            <w:vAlign w:val="bottom"/>
            <w:gridSpan w:val="2"/>
            <w:vMerge w:val="continue"/>
            <w:shd w:val="clear" w:color="auto" w:fill="F5F5F5"/>
          </w:tcPr>
          <w:p>
            <w:pPr>
              <w:spacing w:after="0"/>
              <w:rPr>
                <w:sz w:val="8"/>
                <w:szCs w:val="8"/>
                <w:color w:val="auto"/>
              </w:rPr>
            </w:pPr>
          </w:p>
        </w:tc>
        <w:tc>
          <w:tcPr>
            <w:tcW w:w="40" w:type="dxa"/>
            <w:vAlign w:val="bottom"/>
            <w:shd w:val="clear" w:color="auto" w:fill="F5F5F5"/>
          </w:tcPr>
          <w:p>
            <w:pPr>
              <w:spacing w:after="0"/>
              <w:rPr>
                <w:sz w:val="8"/>
                <w:szCs w:val="8"/>
                <w:color w:val="auto"/>
              </w:rPr>
            </w:pPr>
          </w:p>
        </w:tc>
        <w:tc>
          <w:tcPr>
            <w:tcW w:w="40" w:type="dxa"/>
            <w:vAlign w:val="bottom"/>
            <w:shd w:val="clear" w:color="auto" w:fill="F5F5F5"/>
          </w:tcPr>
          <w:p>
            <w:pPr>
              <w:spacing w:after="0"/>
              <w:rPr>
                <w:sz w:val="8"/>
                <w:szCs w:val="8"/>
                <w:color w:val="auto"/>
              </w:rPr>
            </w:pPr>
          </w:p>
        </w:tc>
        <w:tc>
          <w:tcPr>
            <w:tcW w:w="320" w:type="dxa"/>
            <w:vAlign w:val="bottom"/>
            <w:shd w:val="clear" w:color="auto" w:fill="F5F5F5"/>
          </w:tcPr>
          <w:p>
            <w:pPr>
              <w:spacing w:after="0"/>
              <w:rPr>
                <w:sz w:val="8"/>
                <w:szCs w:val="8"/>
                <w:color w:val="auto"/>
              </w:rPr>
            </w:pPr>
          </w:p>
        </w:tc>
        <w:tc>
          <w:tcPr>
            <w:tcW w:w="80" w:type="dxa"/>
            <w:vAlign w:val="bottom"/>
            <w:shd w:val="clear" w:color="auto" w:fill="F5F5F5"/>
          </w:tcPr>
          <w:p>
            <w:pPr>
              <w:spacing w:after="0"/>
              <w:rPr>
                <w:sz w:val="8"/>
                <w:szCs w:val="8"/>
                <w:color w:val="auto"/>
              </w:rPr>
            </w:pPr>
          </w:p>
        </w:tc>
        <w:tc>
          <w:tcPr>
            <w:tcW w:w="480" w:type="dxa"/>
            <w:vAlign w:val="bottom"/>
            <w:vMerge w:val="continue"/>
            <w:shd w:val="clear" w:color="auto" w:fill="F5F5F5"/>
          </w:tcPr>
          <w:p>
            <w:pPr>
              <w:spacing w:after="0"/>
              <w:rPr>
                <w:sz w:val="8"/>
                <w:szCs w:val="8"/>
                <w:color w:val="auto"/>
              </w:rPr>
            </w:pPr>
          </w:p>
        </w:tc>
        <w:tc>
          <w:tcPr>
            <w:tcW w:w="40" w:type="dxa"/>
            <w:vAlign w:val="bottom"/>
            <w:shd w:val="clear" w:color="auto" w:fill="F5F5F5"/>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5160" w:type="dxa"/>
            <w:vAlign w:val="bottom"/>
            <w:shd w:val="clear" w:color="auto" w:fill="F5F5F5"/>
          </w:tcPr>
          <w:p>
            <w:pPr>
              <w:spacing w:after="0"/>
              <w:rPr>
                <w:sz w:val="3"/>
                <w:szCs w:val="3"/>
                <w:color w:val="auto"/>
              </w:rPr>
            </w:pPr>
          </w:p>
        </w:tc>
        <w:tc>
          <w:tcPr>
            <w:tcW w:w="800" w:type="dxa"/>
            <w:vAlign w:val="bottom"/>
            <w:shd w:val="clear" w:color="auto" w:fill="F5F5F5"/>
          </w:tcPr>
          <w:p>
            <w:pPr>
              <w:spacing w:after="0"/>
              <w:rPr>
                <w:sz w:val="3"/>
                <w:szCs w:val="3"/>
                <w:color w:val="auto"/>
              </w:rPr>
            </w:pPr>
          </w:p>
        </w:tc>
        <w:tc>
          <w:tcPr>
            <w:tcW w:w="20" w:type="dxa"/>
            <w:vAlign w:val="bottom"/>
            <w:shd w:val="clear" w:color="auto" w:fill="F5F5F5"/>
          </w:tcPr>
          <w:p>
            <w:pPr>
              <w:spacing w:after="0"/>
              <w:rPr>
                <w:sz w:val="3"/>
                <w:szCs w:val="3"/>
                <w:color w:val="auto"/>
              </w:rPr>
            </w:pPr>
          </w:p>
        </w:tc>
        <w:tc>
          <w:tcPr>
            <w:tcW w:w="140" w:type="dxa"/>
            <w:vAlign w:val="bottom"/>
            <w:shd w:val="clear" w:color="auto" w:fill="F5F5F5"/>
          </w:tcPr>
          <w:p>
            <w:pPr>
              <w:spacing w:after="0"/>
              <w:rPr>
                <w:sz w:val="3"/>
                <w:szCs w:val="3"/>
                <w:color w:val="auto"/>
              </w:rPr>
            </w:pPr>
          </w:p>
        </w:tc>
        <w:tc>
          <w:tcPr>
            <w:tcW w:w="260" w:type="dxa"/>
            <w:vAlign w:val="bottom"/>
            <w:shd w:val="clear" w:color="auto" w:fill="F5F5F5"/>
          </w:tcPr>
          <w:p>
            <w:pPr>
              <w:spacing w:after="0"/>
              <w:rPr>
                <w:sz w:val="3"/>
                <w:szCs w:val="3"/>
                <w:color w:val="auto"/>
              </w:rPr>
            </w:pPr>
          </w:p>
        </w:tc>
        <w:tc>
          <w:tcPr>
            <w:tcW w:w="180" w:type="dxa"/>
            <w:vAlign w:val="bottom"/>
            <w:shd w:val="clear" w:color="auto" w:fill="F5F5F5"/>
          </w:tcPr>
          <w:p>
            <w:pPr>
              <w:spacing w:after="0"/>
              <w:rPr>
                <w:sz w:val="3"/>
                <w:szCs w:val="3"/>
                <w:color w:val="auto"/>
              </w:rPr>
            </w:pPr>
          </w:p>
        </w:tc>
        <w:tc>
          <w:tcPr>
            <w:tcW w:w="820" w:type="dxa"/>
            <w:vAlign w:val="bottom"/>
            <w:gridSpan w:val="3"/>
            <w:vMerge w:val="continue"/>
            <w:shd w:val="clear" w:color="auto" w:fill="F5F5F5"/>
          </w:tcPr>
          <w:p>
            <w:pPr>
              <w:spacing w:after="0"/>
              <w:rPr>
                <w:sz w:val="3"/>
                <w:szCs w:val="3"/>
                <w:color w:val="auto"/>
              </w:rPr>
            </w:pPr>
          </w:p>
        </w:tc>
        <w:tc>
          <w:tcPr>
            <w:tcW w:w="480" w:type="dxa"/>
            <w:vAlign w:val="bottom"/>
            <w:shd w:val="clear" w:color="auto" w:fill="F5F5F5"/>
          </w:tcPr>
          <w:p>
            <w:pPr>
              <w:spacing w:after="0"/>
              <w:rPr>
                <w:sz w:val="3"/>
                <w:szCs w:val="3"/>
                <w:color w:val="auto"/>
              </w:rPr>
            </w:pPr>
          </w:p>
        </w:tc>
        <w:tc>
          <w:tcPr>
            <w:tcW w:w="180" w:type="dxa"/>
            <w:vAlign w:val="bottom"/>
            <w:gridSpan w:val="3"/>
            <w:vMerge w:val="continue"/>
            <w:shd w:val="clear" w:color="auto" w:fill="F5F5F5"/>
          </w:tcPr>
          <w:p>
            <w:pPr>
              <w:spacing w:after="0"/>
              <w:rPr>
                <w:sz w:val="3"/>
                <w:szCs w:val="3"/>
                <w:color w:val="auto"/>
              </w:rPr>
            </w:pPr>
          </w:p>
        </w:tc>
        <w:tc>
          <w:tcPr>
            <w:tcW w:w="60" w:type="dxa"/>
            <w:vAlign w:val="bottom"/>
            <w:shd w:val="clear" w:color="auto" w:fill="F5F5F5"/>
          </w:tcPr>
          <w:p>
            <w:pPr>
              <w:spacing w:after="0"/>
              <w:rPr>
                <w:sz w:val="3"/>
                <w:szCs w:val="3"/>
                <w:color w:val="auto"/>
              </w:rPr>
            </w:pPr>
          </w:p>
        </w:tc>
        <w:tc>
          <w:tcPr>
            <w:tcW w:w="40" w:type="dxa"/>
            <w:vAlign w:val="bottom"/>
            <w:shd w:val="clear" w:color="auto" w:fill="F5F5F5"/>
          </w:tcPr>
          <w:p>
            <w:pPr>
              <w:spacing w:after="0"/>
              <w:rPr>
                <w:sz w:val="3"/>
                <w:szCs w:val="3"/>
                <w:color w:val="auto"/>
              </w:rPr>
            </w:pPr>
          </w:p>
        </w:tc>
        <w:tc>
          <w:tcPr>
            <w:tcW w:w="200" w:type="dxa"/>
            <w:vAlign w:val="bottom"/>
            <w:shd w:val="clear" w:color="auto" w:fill="F5F5F5"/>
          </w:tcPr>
          <w:p>
            <w:pPr>
              <w:spacing w:after="0"/>
              <w:rPr>
                <w:sz w:val="3"/>
                <w:szCs w:val="3"/>
                <w:color w:val="auto"/>
              </w:rPr>
            </w:pPr>
          </w:p>
        </w:tc>
        <w:tc>
          <w:tcPr>
            <w:tcW w:w="680" w:type="dxa"/>
            <w:vAlign w:val="bottom"/>
            <w:gridSpan w:val="2"/>
            <w:vMerge w:val="continue"/>
            <w:shd w:val="clear" w:color="auto" w:fill="F5F5F5"/>
          </w:tcPr>
          <w:p>
            <w:pPr>
              <w:spacing w:after="0"/>
              <w:rPr>
                <w:sz w:val="3"/>
                <w:szCs w:val="3"/>
                <w:color w:val="auto"/>
              </w:rPr>
            </w:pPr>
          </w:p>
        </w:tc>
        <w:tc>
          <w:tcPr>
            <w:tcW w:w="40" w:type="dxa"/>
            <w:vAlign w:val="bottom"/>
            <w:shd w:val="clear" w:color="auto" w:fill="F5F5F5"/>
          </w:tcPr>
          <w:p>
            <w:pPr>
              <w:spacing w:after="0"/>
              <w:rPr>
                <w:sz w:val="3"/>
                <w:szCs w:val="3"/>
                <w:color w:val="auto"/>
              </w:rPr>
            </w:pPr>
          </w:p>
        </w:tc>
        <w:tc>
          <w:tcPr>
            <w:tcW w:w="40" w:type="dxa"/>
            <w:vAlign w:val="bottom"/>
            <w:shd w:val="clear" w:color="auto" w:fill="F5F5F5"/>
          </w:tcPr>
          <w:p>
            <w:pPr>
              <w:spacing w:after="0"/>
              <w:rPr>
                <w:sz w:val="3"/>
                <w:szCs w:val="3"/>
                <w:color w:val="auto"/>
              </w:rPr>
            </w:pPr>
          </w:p>
        </w:tc>
        <w:tc>
          <w:tcPr>
            <w:tcW w:w="320" w:type="dxa"/>
            <w:vAlign w:val="bottom"/>
            <w:shd w:val="clear" w:color="auto" w:fill="F5F5F5"/>
          </w:tcPr>
          <w:p>
            <w:pPr>
              <w:spacing w:after="0"/>
              <w:rPr>
                <w:sz w:val="3"/>
                <w:szCs w:val="3"/>
                <w:color w:val="auto"/>
              </w:rPr>
            </w:pPr>
          </w:p>
        </w:tc>
        <w:tc>
          <w:tcPr>
            <w:tcW w:w="80" w:type="dxa"/>
            <w:vAlign w:val="bottom"/>
            <w:shd w:val="clear" w:color="auto" w:fill="F5F5F5"/>
          </w:tcPr>
          <w:p>
            <w:pPr>
              <w:spacing w:after="0"/>
              <w:rPr>
                <w:sz w:val="3"/>
                <w:szCs w:val="3"/>
                <w:color w:val="auto"/>
              </w:rPr>
            </w:pPr>
          </w:p>
        </w:tc>
        <w:tc>
          <w:tcPr>
            <w:tcW w:w="480" w:type="dxa"/>
            <w:vAlign w:val="bottom"/>
            <w:vMerge w:val="continue"/>
            <w:shd w:val="clear" w:color="auto" w:fill="F5F5F5"/>
          </w:tcPr>
          <w:p>
            <w:pPr>
              <w:spacing w:after="0"/>
              <w:rPr>
                <w:sz w:val="3"/>
                <w:szCs w:val="3"/>
                <w:color w:val="auto"/>
              </w:rPr>
            </w:pPr>
          </w:p>
        </w:tc>
        <w:tc>
          <w:tcPr>
            <w:tcW w:w="40" w:type="dxa"/>
            <w:vAlign w:val="bottom"/>
            <w:shd w:val="clear" w:color="auto" w:fill="F5F5F5"/>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5160" w:type="dxa"/>
            <w:vAlign w:val="bottom"/>
            <w:shd w:val="clear" w:color="auto" w:fill="F5F5F5"/>
          </w:tcPr>
          <w:p>
            <w:pPr>
              <w:spacing w:after="0"/>
              <w:rPr>
                <w:sz w:val="14"/>
                <w:szCs w:val="14"/>
                <w:color w:val="auto"/>
              </w:rPr>
            </w:pPr>
          </w:p>
        </w:tc>
        <w:tc>
          <w:tcPr>
            <w:tcW w:w="800" w:type="dxa"/>
            <w:vAlign w:val="bottom"/>
            <w:shd w:val="clear" w:color="auto" w:fill="F5F5F5"/>
          </w:tcPr>
          <w:p>
            <w:pPr>
              <w:spacing w:after="0"/>
              <w:rPr>
                <w:sz w:val="14"/>
                <w:szCs w:val="14"/>
                <w:color w:val="auto"/>
              </w:rPr>
            </w:pPr>
          </w:p>
        </w:tc>
        <w:tc>
          <w:tcPr>
            <w:tcW w:w="20" w:type="dxa"/>
            <w:vAlign w:val="bottom"/>
            <w:shd w:val="clear" w:color="auto" w:fill="F5F5F5"/>
          </w:tcPr>
          <w:p>
            <w:pPr>
              <w:spacing w:after="0"/>
              <w:rPr>
                <w:sz w:val="14"/>
                <w:szCs w:val="14"/>
                <w:color w:val="auto"/>
              </w:rPr>
            </w:pPr>
          </w:p>
        </w:tc>
        <w:tc>
          <w:tcPr>
            <w:tcW w:w="140" w:type="dxa"/>
            <w:vAlign w:val="bottom"/>
            <w:shd w:val="clear" w:color="auto" w:fill="F5F5F5"/>
          </w:tcPr>
          <w:p>
            <w:pPr>
              <w:spacing w:after="0"/>
              <w:rPr>
                <w:sz w:val="14"/>
                <w:szCs w:val="14"/>
                <w:color w:val="auto"/>
              </w:rPr>
            </w:pPr>
          </w:p>
        </w:tc>
        <w:tc>
          <w:tcPr>
            <w:tcW w:w="260" w:type="dxa"/>
            <w:vAlign w:val="bottom"/>
            <w:shd w:val="clear" w:color="auto" w:fill="F5F5F5"/>
          </w:tcPr>
          <w:p>
            <w:pPr>
              <w:spacing w:after="0"/>
              <w:rPr>
                <w:sz w:val="14"/>
                <w:szCs w:val="14"/>
                <w:color w:val="auto"/>
              </w:rPr>
            </w:pPr>
          </w:p>
        </w:tc>
        <w:tc>
          <w:tcPr>
            <w:tcW w:w="180" w:type="dxa"/>
            <w:vAlign w:val="bottom"/>
            <w:shd w:val="clear" w:color="auto" w:fill="F5F5F5"/>
          </w:tcPr>
          <w:p>
            <w:pPr>
              <w:spacing w:after="0"/>
              <w:rPr>
                <w:sz w:val="14"/>
                <w:szCs w:val="14"/>
                <w:color w:val="auto"/>
              </w:rPr>
            </w:pPr>
          </w:p>
        </w:tc>
        <w:tc>
          <w:tcPr>
            <w:tcW w:w="720" w:type="dxa"/>
            <w:vAlign w:val="bottom"/>
            <w:shd w:val="clear" w:color="auto" w:fill="F5F5F5"/>
          </w:tcPr>
          <w:p>
            <w:pPr>
              <w:spacing w:after="0"/>
              <w:rPr>
                <w:sz w:val="14"/>
                <w:szCs w:val="14"/>
                <w:color w:val="auto"/>
              </w:rPr>
            </w:pPr>
          </w:p>
        </w:tc>
        <w:tc>
          <w:tcPr>
            <w:tcW w:w="60" w:type="dxa"/>
            <w:vAlign w:val="bottom"/>
            <w:shd w:val="clear" w:color="auto" w:fill="F5F5F5"/>
          </w:tcPr>
          <w:p>
            <w:pPr>
              <w:spacing w:after="0"/>
              <w:rPr>
                <w:sz w:val="14"/>
                <w:szCs w:val="14"/>
                <w:color w:val="auto"/>
              </w:rPr>
            </w:pPr>
          </w:p>
        </w:tc>
        <w:tc>
          <w:tcPr>
            <w:tcW w:w="40" w:type="dxa"/>
            <w:vAlign w:val="bottom"/>
            <w:shd w:val="clear" w:color="auto" w:fill="F5F5F5"/>
          </w:tcPr>
          <w:p>
            <w:pPr>
              <w:spacing w:after="0"/>
              <w:rPr>
                <w:sz w:val="14"/>
                <w:szCs w:val="14"/>
                <w:color w:val="auto"/>
              </w:rPr>
            </w:pPr>
          </w:p>
        </w:tc>
        <w:tc>
          <w:tcPr>
            <w:tcW w:w="480" w:type="dxa"/>
            <w:vAlign w:val="bottom"/>
            <w:shd w:val="clear" w:color="auto" w:fill="F5F5F5"/>
          </w:tcPr>
          <w:p>
            <w:pPr>
              <w:spacing w:after="0"/>
              <w:rPr>
                <w:sz w:val="14"/>
                <w:szCs w:val="14"/>
                <w:color w:val="auto"/>
              </w:rPr>
            </w:pPr>
          </w:p>
        </w:tc>
        <w:tc>
          <w:tcPr>
            <w:tcW w:w="60" w:type="dxa"/>
            <w:vAlign w:val="bottom"/>
            <w:shd w:val="clear" w:color="auto" w:fill="F5F5F5"/>
          </w:tcPr>
          <w:p>
            <w:pPr>
              <w:spacing w:after="0"/>
              <w:rPr>
                <w:sz w:val="14"/>
                <w:szCs w:val="14"/>
                <w:color w:val="auto"/>
              </w:rPr>
            </w:pPr>
          </w:p>
        </w:tc>
        <w:tc>
          <w:tcPr>
            <w:tcW w:w="100" w:type="dxa"/>
            <w:vAlign w:val="bottom"/>
            <w:shd w:val="clear" w:color="auto" w:fill="F5F5F5"/>
          </w:tcPr>
          <w:p>
            <w:pPr>
              <w:spacing w:after="0"/>
              <w:rPr>
                <w:sz w:val="14"/>
                <w:szCs w:val="14"/>
                <w:color w:val="auto"/>
              </w:rPr>
            </w:pPr>
          </w:p>
        </w:tc>
        <w:tc>
          <w:tcPr>
            <w:tcW w:w="20" w:type="dxa"/>
            <w:vAlign w:val="bottom"/>
            <w:shd w:val="clear" w:color="auto" w:fill="F5F5F5"/>
          </w:tcPr>
          <w:p>
            <w:pPr>
              <w:spacing w:after="0"/>
              <w:rPr>
                <w:sz w:val="14"/>
                <w:szCs w:val="14"/>
                <w:color w:val="auto"/>
              </w:rPr>
            </w:pPr>
          </w:p>
        </w:tc>
        <w:tc>
          <w:tcPr>
            <w:tcW w:w="60" w:type="dxa"/>
            <w:vAlign w:val="bottom"/>
            <w:shd w:val="clear" w:color="auto" w:fill="F5F5F5"/>
          </w:tcPr>
          <w:p>
            <w:pPr>
              <w:spacing w:after="0"/>
              <w:rPr>
                <w:sz w:val="14"/>
                <w:szCs w:val="14"/>
                <w:color w:val="auto"/>
              </w:rPr>
            </w:pPr>
          </w:p>
        </w:tc>
        <w:tc>
          <w:tcPr>
            <w:tcW w:w="40" w:type="dxa"/>
            <w:vAlign w:val="bottom"/>
            <w:shd w:val="clear" w:color="auto" w:fill="F5F5F5"/>
          </w:tcPr>
          <w:p>
            <w:pPr>
              <w:spacing w:after="0"/>
              <w:rPr>
                <w:sz w:val="14"/>
                <w:szCs w:val="14"/>
                <w:color w:val="auto"/>
              </w:rPr>
            </w:pPr>
          </w:p>
        </w:tc>
        <w:tc>
          <w:tcPr>
            <w:tcW w:w="200" w:type="dxa"/>
            <w:vAlign w:val="bottom"/>
            <w:shd w:val="clear" w:color="auto" w:fill="F5F5F5"/>
          </w:tcPr>
          <w:p>
            <w:pPr>
              <w:spacing w:after="0"/>
              <w:rPr>
                <w:sz w:val="14"/>
                <w:szCs w:val="14"/>
                <w:color w:val="auto"/>
              </w:rPr>
            </w:pPr>
          </w:p>
        </w:tc>
        <w:tc>
          <w:tcPr>
            <w:tcW w:w="640" w:type="dxa"/>
            <w:vAlign w:val="bottom"/>
            <w:shd w:val="clear" w:color="auto" w:fill="F5F5F5"/>
          </w:tcPr>
          <w:p>
            <w:pPr>
              <w:spacing w:after="0"/>
              <w:rPr>
                <w:sz w:val="14"/>
                <w:szCs w:val="14"/>
                <w:color w:val="auto"/>
              </w:rPr>
            </w:pPr>
          </w:p>
        </w:tc>
        <w:tc>
          <w:tcPr>
            <w:tcW w:w="40" w:type="dxa"/>
            <w:vAlign w:val="bottom"/>
            <w:shd w:val="clear" w:color="auto" w:fill="F5F5F5"/>
          </w:tcPr>
          <w:p>
            <w:pPr>
              <w:spacing w:after="0"/>
              <w:rPr>
                <w:sz w:val="14"/>
                <w:szCs w:val="14"/>
                <w:color w:val="auto"/>
              </w:rPr>
            </w:pPr>
          </w:p>
        </w:tc>
        <w:tc>
          <w:tcPr>
            <w:tcW w:w="40" w:type="dxa"/>
            <w:vAlign w:val="bottom"/>
            <w:shd w:val="clear" w:color="auto" w:fill="F5F5F5"/>
          </w:tcPr>
          <w:p>
            <w:pPr>
              <w:spacing w:after="0"/>
              <w:rPr>
                <w:sz w:val="14"/>
                <w:szCs w:val="14"/>
                <w:color w:val="auto"/>
              </w:rPr>
            </w:pPr>
          </w:p>
        </w:tc>
        <w:tc>
          <w:tcPr>
            <w:tcW w:w="40" w:type="dxa"/>
            <w:vAlign w:val="bottom"/>
            <w:shd w:val="clear" w:color="auto" w:fill="F5F5F5"/>
          </w:tcPr>
          <w:p>
            <w:pPr>
              <w:spacing w:after="0"/>
              <w:rPr>
                <w:sz w:val="14"/>
                <w:szCs w:val="14"/>
                <w:color w:val="auto"/>
              </w:rPr>
            </w:pPr>
          </w:p>
        </w:tc>
        <w:tc>
          <w:tcPr>
            <w:tcW w:w="320" w:type="dxa"/>
            <w:vAlign w:val="bottom"/>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480" w:type="dxa"/>
            <w:vAlign w:val="bottom"/>
            <w:shd w:val="clear" w:color="auto" w:fill="F5F5F5"/>
          </w:tcPr>
          <w:p>
            <w:pPr>
              <w:spacing w:after="0"/>
              <w:rPr>
                <w:sz w:val="14"/>
                <w:szCs w:val="14"/>
                <w:color w:val="auto"/>
              </w:rPr>
            </w:pPr>
          </w:p>
        </w:tc>
        <w:tc>
          <w:tcPr>
            <w:tcW w:w="40" w:type="dxa"/>
            <w:vAlign w:val="bottom"/>
            <w:shd w:val="clear" w:color="auto" w:fill="F5F5F5"/>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60" w:type="dxa"/>
            <w:vAlign w:val="bottom"/>
          </w:tcPr>
          <w:p>
            <w:pPr>
              <w:ind w:left="40"/>
              <w:spacing w:after="0" w:line="166" w:lineRule="exact"/>
              <w:rPr>
                <w:sz w:val="20"/>
                <w:szCs w:val="20"/>
                <w:color w:val="auto"/>
              </w:rPr>
            </w:pPr>
            <w:r>
              <w:rPr>
                <w:rFonts w:ascii="Calibri" w:cs="Calibri" w:eastAsia="Calibri" w:hAnsi="Calibri"/>
                <w:sz w:val="18"/>
                <w:szCs w:val="18"/>
                <w:color w:val="auto"/>
              </w:rPr>
              <w:t>Acquisiton of the Company's joint venture partner's 40% interest in</w:t>
            </w:r>
          </w:p>
        </w:tc>
        <w:tc>
          <w:tcPr>
            <w:tcW w:w="800" w:type="dxa"/>
            <w:vAlign w:val="bottom"/>
            <w:vMerge w:val="restart"/>
          </w:tcPr>
          <w:p>
            <w:pPr>
              <w:ind w:left="40"/>
              <w:spacing w:after="0"/>
              <w:rPr>
                <w:sz w:val="20"/>
                <w:szCs w:val="20"/>
                <w:color w:val="auto"/>
              </w:rPr>
            </w:pPr>
            <w:r>
              <w:rPr>
                <w:rFonts w:ascii="Calibri" w:cs="Calibri" w:eastAsia="Calibri" w:hAnsi="Calibri"/>
                <w:sz w:val="18"/>
                <w:szCs w:val="18"/>
                <w:color w:val="auto"/>
                <w:w w:val="98"/>
              </w:rPr>
              <w:t>5-14-2024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restart"/>
          </w:tcPr>
          <w:p>
            <w:pPr>
              <w:ind w:left="500"/>
              <w:spacing w:after="0"/>
              <w:rPr>
                <w:sz w:val="20"/>
                <w:szCs w:val="20"/>
                <w:color w:val="auto"/>
              </w:rPr>
            </w:pPr>
            <w:r>
              <w:rPr>
                <w:rFonts w:ascii="Calibri" w:cs="Calibri" w:eastAsia="Calibri" w:hAnsi="Calibri"/>
                <w:sz w:val="18"/>
                <w:szCs w:val="18"/>
                <w:color w:val="auto"/>
              </w:rPr>
              <w:t>—</w:t>
            </w:r>
          </w:p>
        </w:tc>
        <w:tc>
          <w:tcPr>
            <w:tcW w:w="480" w:type="dxa"/>
            <w:vAlign w:val="bottom"/>
          </w:tcPr>
          <w:p>
            <w:pPr>
              <w:spacing w:after="0"/>
              <w:rPr>
                <w:sz w:val="14"/>
                <w:szCs w:val="14"/>
                <w:color w:val="auto"/>
              </w:rPr>
            </w:pPr>
          </w:p>
        </w:tc>
        <w:tc>
          <w:tcPr>
            <w:tcW w:w="180" w:type="dxa"/>
            <w:vAlign w:val="bottom"/>
            <w:gridSpan w:val="3"/>
            <w:vMerge w:val="restart"/>
          </w:tcPr>
          <w:p>
            <w:pPr>
              <w:spacing w:after="0"/>
              <w:rPr>
                <w:sz w:val="20"/>
                <w:szCs w:val="20"/>
                <w:color w:val="auto"/>
              </w:rPr>
            </w:pPr>
            <w:r>
              <w:rPr>
                <w:rFonts w:ascii="Calibri" w:cs="Calibri" w:eastAsia="Calibri" w:hAnsi="Calibri"/>
                <w:sz w:val="18"/>
                <w:szCs w:val="18"/>
                <w:color w:val="auto"/>
                <w:w w:val="97"/>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vMerge w:val="restart"/>
          </w:tcPr>
          <w:p>
            <w:pPr>
              <w:jc w:val="right"/>
              <w:ind w:right="40"/>
              <w:spacing w:after="0"/>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Calibri" w:cs="Calibri" w:eastAsia="Calibri" w:hAnsi="Calibri"/>
                <w:sz w:val="18"/>
                <w:szCs w:val="18"/>
                <w:color w:val="auto"/>
              </w:rPr>
              <w:t>36.4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40"/>
              <w:spacing w:after="0" w:line="215" w:lineRule="exact"/>
              <w:rPr>
                <w:sz w:val="20"/>
                <w:szCs w:val="20"/>
                <w:color w:val="auto"/>
              </w:rPr>
            </w:pPr>
            <w:r>
              <w:rPr>
                <w:rFonts w:ascii="Calibri" w:cs="Calibri" w:eastAsia="Calibri" w:hAnsi="Calibri"/>
                <w:sz w:val="18"/>
                <w:szCs w:val="18"/>
                <w:color w:val="auto"/>
              </w:rPr>
              <w:t>Arrowhead Towne Center and South Plains Mall</w:t>
            </w: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160" w:type="dxa"/>
            <w:vAlign w:val="bottom"/>
            <w:tcBorders>
              <w:bottom w:val="single" w:sz="8" w:color="F5F5F5"/>
            </w:tcBorders>
          </w:tcPr>
          <w:p>
            <w:pPr>
              <w:spacing w:after="0"/>
              <w:rPr>
                <w:sz w:val="14"/>
                <w:szCs w:val="14"/>
                <w:color w:val="auto"/>
              </w:rPr>
            </w:pPr>
          </w:p>
        </w:tc>
        <w:tc>
          <w:tcPr>
            <w:tcW w:w="800" w:type="dxa"/>
            <w:vAlign w:val="bottom"/>
            <w:tcBorders>
              <w:bottom w:val="single" w:sz="8" w:color="F5F5F5"/>
            </w:tcBorders>
          </w:tcPr>
          <w:p>
            <w:pPr>
              <w:spacing w:after="0"/>
              <w:rPr>
                <w:sz w:val="14"/>
                <w:szCs w:val="14"/>
                <w:color w:val="auto"/>
              </w:rPr>
            </w:pPr>
          </w:p>
        </w:tc>
        <w:tc>
          <w:tcPr>
            <w:tcW w:w="20" w:type="dxa"/>
            <w:vAlign w:val="bottom"/>
            <w:tcBorders>
              <w:bottom w:val="single" w:sz="8" w:color="F5F5F5"/>
            </w:tcBorders>
          </w:tcPr>
          <w:p>
            <w:pPr>
              <w:spacing w:after="0"/>
              <w:rPr>
                <w:sz w:val="14"/>
                <w:szCs w:val="14"/>
                <w:color w:val="auto"/>
              </w:rPr>
            </w:pPr>
          </w:p>
        </w:tc>
        <w:tc>
          <w:tcPr>
            <w:tcW w:w="140" w:type="dxa"/>
            <w:vAlign w:val="bottom"/>
            <w:tcBorders>
              <w:bottom w:val="single" w:sz="8" w:color="F5F5F5"/>
            </w:tcBorders>
          </w:tcPr>
          <w:p>
            <w:pPr>
              <w:spacing w:after="0"/>
              <w:rPr>
                <w:sz w:val="14"/>
                <w:szCs w:val="14"/>
                <w:color w:val="auto"/>
              </w:rPr>
            </w:pPr>
          </w:p>
        </w:tc>
        <w:tc>
          <w:tcPr>
            <w:tcW w:w="260" w:type="dxa"/>
            <w:vAlign w:val="bottom"/>
            <w:tcBorders>
              <w:bottom w:val="single" w:sz="8" w:color="F5F5F5"/>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F5F5F5"/>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gridSpan w:val="3"/>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F5F5F5"/>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F5F5F5"/>
            </w:tcBorders>
            <w:shd w:val="clear" w:color="auto" w:fill="F5F5F5"/>
          </w:tcPr>
          <w:p>
            <w:pPr>
              <w:ind w:left="40"/>
              <w:spacing w:after="0" w:line="195" w:lineRule="exact"/>
              <w:rPr>
                <w:sz w:val="20"/>
                <w:szCs w:val="20"/>
                <w:color w:val="auto"/>
              </w:rPr>
            </w:pPr>
            <w:r>
              <w:rPr>
                <w:rFonts w:ascii="Calibri" w:cs="Calibri" w:eastAsia="Calibri" w:hAnsi="Calibri"/>
                <w:sz w:val="18"/>
                <w:szCs w:val="18"/>
                <w:b w:val="1"/>
                <w:bCs w:val="1"/>
                <w:color w:val="auto"/>
              </w:rPr>
              <w:t>Total</w:t>
            </w:r>
          </w:p>
        </w:tc>
        <w:tc>
          <w:tcPr>
            <w:tcW w:w="800" w:type="dxa"/>
            <w:vAlign w:val="bottom"/>
            <w:tcBorders>
              <w:bottom w:val="single" w:sz="8" w:color="F5F5F5"/>
            </w:tcBorders>
            <w:shd w:val="clear" w:color="auto" w:fill="F5F5F5"/>
          </w:tcPr>
          <w:p>
            <w:pPr>
              <w:spacing w:after="0"/>
              <w:rPr>
                <w:sz w:val="19"/>
                <w:szCs w:val="19"/>
                <w:color w:val="auto"/>
              </w:rPr>
            </w:pPr>
          </w:p>
        </w:tc>
        <w:tc>
          <w:tcPr>
            <w:tcW w:w="20" w:type="dxa"/>
            <w:vAlign w:val="bottom"/>
            <w:tcBorders>
              <w:bottom w:val="single" w:sz="8" w:color="F5F5F5"/>
            </w:tcBorders>
            <w:shd w:val="clear" w:color="auto" w:fill="F5F5F5"/>
          </w:tcPr>
          <w:p>
            <w:pPr>
              <w:spacing w:after="0"/>
              <w:rPr>
                <w:sz w:val="19"/>
                <w:szCs w:val="19"/>
                <w:color w:val="auto"/>
              </w:rPr>
            </w:pPr>
          </w:p>
        </w:tc>
        <w:tc>
          <w:tcPr>
            <w:tcW w:w="140" w:type="dxa"/>
            <w:vAlign w:val="bottom"/>
            <w:tcBorders>
              <w:bottom w:val="single" w:sz="8" w:color="F5F5F5"/>
            </w:tcBorders>
            <w:shd w:val="clear" w:color="auto" w:fill="F5F5F5"/>
          </w:tcPr>
          <w:p>
            <w:pPr>
              <w:spacing w:after="0"/>
              <w:rPr>
                <w:sz w:val="19"/>
                <w:szCs w:val="19"/>
                <w:color w:val="auto"/>
              </w:rPr>
            </w:pPr>
          </w:p>
        </w:tc>
        <w:tc>
          <w:tcPr>
            <w:tcW w:w="260" w:type="dxa"/>
            <w:vAlign w:val="bottom"/>
            <w:tcBorders>
              <w:bottom w:val="single" w:sz="8" w:color="F5F5F5"/>
            </w:tcBorders>
            <w:shd w:val="clear" w:color="auto" w:fill="F5F5F5"/>
          </w:tcPr>
          <w:p>
            <w:pPr>
              <w:spacing w:after="0"/>
              <w:rPr>
                <w:sz w:val="19"/>
                <w:szCs w:val="19"/>
                <w:color w:val="auto"/>
              </w:rPr>
            </w:pPr>
          </w:p>
        </w:tc>
        <w:tc>
          <w:tcPr>
            <w:tcW w:w="18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w:t>
            </w:r>
          </w:p>
        </w:tc>
        <w:tc>
          <w:tcPr>
            <w:tcW w:w="720" w:type="dxa"/>
            <w:vAlign w:val="bottom"/>
            <w:tcBorders>
              <w:bottom w:val="single" w:sz="8" w:color="auto"/>
            </w:tcBorders>
            <w:shd w:val="clear" w:color="auto" w:fill="F5F5F5"/>
          </w:tcPr>
          <w:p>
            <w:pPr>
              <w:ind w:left="500"/>
              <w:spacing w:after="0" w:line="209" w:lineRule="exact"/>
              <w:rPr>
                <w:sz w:val="20"/>
                <w:szCs w:val="20"/>
                <w:color w:val="auto"/>
              </w:rPr>
            </w:pPr>
            <w:r>
              <w:rPr>
                <w:rFonts w:ascii="Calibri" w:cs="Calibri" w:eastAsia="Calibri" w:hAnsi="Calibri"/>
                <w:sz w:val="18"/>
                <w:szCs w:val="18"/>
                <w:color w:val="auto"/>
              </w:rPr>
              <w:t>—</w:t>
            </w:r>
          </w:p>
        </w:tc>
        <w:tc>
          <w:tcPr>
            <w:tcW w:w="60" w:type="dxa"/>
            <w:vAlign w:val="bottom"/>
            <w:tcBorders>
              <w:bottom w:val="single" w:sz="8" w:color="F5F5F5"/>
            </w:tcBorders>
            <w:shd w:val="clear" w:color="auto" w:fill="F5F5F5"/>
          </w:tcPr>
          <w:p>
            <w:pPr>
              <w:spacing w:after="0"/>
              <w:rPr>
                <w:sz w:val="19"/>
                <w:szCs w:val="19"/>
                <w:color w:val="auto"/>
              </w:rPr>
            </w:pPr>
          </w:p>
        </w:tc>
        <w:tc>
          <w:tcPr>
            <w:tcW w:w="40" w:type="dxa"/>
            <w:vAlign w:val="bottom"/>
            <w:tcBorders>
              <w:bottom w:val="single" w:sz="8" w:color="auto"/>
            </w:tcBorders>
            <w:shd w:val="clear" w:color="auto" w:fill="F5F5F5"/>
          </w:tcPr>
          <w:p>
            <w:pPr>
              <w:spacing w:after="0"/>
              <w:rPr>
                <w:sz w:val="19"/>
                <w:szCs w:val="19"/>
                <w:color w:val="auto"/>
              </w:rPr>
            </w:pPr>
          </w:p>
        </w:tc>
        <w:tc>
          <w:tcPr>
            <w:tcW w:w="480" w:type="dxa"/>
            <w:vAlign w:val="bottom"/>
            <w:tcBorders>
              <w:bottom w:val="single" w:sz="8" w:color="auto"/>
            </w:tcBorders>
            <w:shd w:val="clear" w:color="auto" w:fill="F5F5F5"/>
          </w:tcPr>
          <w:p>
            <w:pPr>
              <w:jc w:val="right"/>
              <w:ind w:right="301"/>
              <w:spacing w:after="0" w:line="209" w:lineRule="exact"/>
              <w:rPr>
                <w:sz w:val="20"/>
                <w:szCs w:val="20"/>
                <w:color w:val="auto"/>
              </w:rPr>
            </w:pPr>
            <w:r>
              <w:rPr>
                <w:rFonts w:ascii="Calibri" w:cs="Calibri" w:eastAsia="Calibri" w:hAnsi="Calibri"/>
                <w:sz w:val="18"/>
                <w:szCs w:val="18"/>
                <w:color w:val="auto"/>
                <w:w w:val="87"/>
              </w:rPr>
              <w:t>$</w:t>
            </w:r>
          </w:p>
        </w:tc>
        <w:tc>
          <w:tcPr>
            <w:tcW w:w="180" w:type="dxa"/>
            <w:vAlign w:val="bottom"/>
            <w:tcBorders>
              <w:bottom w:val="single" w:sz="8" w:color="auto"/>
            </w:tcBorders>
            <w:gridSpan w:val="3"/>
            <w:shd w:val="clear" w:color="auto" w:fill="F5F5F5"/>
          </w:tcPr>
          <w:p>
            <w:pPr>
              <w:spacing w:after="0" w:line="209" w:lineRule="exact"/>
              <w:rPr>
                <w:sz w:val="20"/>
                <w:szCs w:val="20"/>
                <w:color w:val="auto"/>
              </w:rPr>
            </w:pPr>
            <w:r>
              <w:rPr>
                <w:rFonts w:ascii="Calibri" w:cs="Calibri" w:eastAsia="Calibri" w:hAnsi="Calibri"/>
                <w:sz w:val="18"/>
                <w:szCs w:val="18"/>
                <w:color w:val="auto"/>
                <w:w w:val="97"/>
              </w:rPr>
              <w:t>—</w:t>
            </w:r>
          </w:p>
        </w:tc>
        <w:tc>
          <w:tcPr>
            <w:tcW w:w="300" w:type="dxa"/>
            <w:vAlign w:val="bottom"/>
            <w:tcBorders>
              <w:bottom w:val="single" w:sz="8" w:color="auto"/>
            </w:tcBorders>
            <w:gridSpan w:val="3"/>
            <w:shd w:val="clear" w:color="auto" w:fill="F5F5F5"/>
          </w:tcPr>
          <w:p>
            <w:pPr>
              <w:jc w:val="right"/>
              <w:ind w:right="60"/>
              <w:spacing w:after="0" w:line="209" w:lineRule="exact"/>
              <w:rPr>
                <w:sz w:val="20"/>
                <w:szCs w:val="20"/>
                <w:color w:val="auto"/>
              </w:rPr>
            </w:pPr>
            <w:r>
              <w:rPr>
                <w:rFonts w:ascii="Calibri" w:cs="Calibri" w:eastAsia="Calibri" w:hAnsi="Calibri"/>
                <w:sz w:val="18"/>
                <w:szCs w:val="18"/>
                <w:color w:val="auto"/>
              </w:rPr>
              <w:t>$</w:t>
            </w:r>
          </w:p>
        </w:tc>
        <w:tc>
          <w:tcPr>
            <w:tcW w:w="680" w:type="dxa"/>
            <w:vAlign w:val="bottom"/>
            <w:tcBorders>
              <w:bottom w:val="single" w:sz="8" w:color="auto"/>
            </w:tcBorders>
            <w:gridSpan w:val="2"/>
            <w:shd w:val="clear" w:color="auto" w:fill="F5F5F5"/>
          </w:tcPr>
          <w:p>
            <w:pPr>
              <w:jc w:val="right"/>
              <w:ind w:right="40"/>
              <w:spacing w:after="0" w:line="209" w:lineRule="exact"/>
              <w:rPr>
                <w:sz w:val="20"/>
                <w:szCs w:val="20"/>
                <w:color w:val="auto"/>
              </w:rPr>
            </w:pPr>
            <w:r>
              <w:rPr>
                <w:rFonts w:ascii="Calibri" w:cs="Calibri" w:eastAsia="Calibri" w:hAnsi="Calibri"/>
                <w:sz w:val="18"/>
                <w:szCs w:val="18"/>
                <w:color w:val="auto"/>
              </w:rPr>
              <w:t>290.0</w:t>
            </w:r>
          </w:p>
        </w:tc>
        <w:tc>
          <w:tcPr>
            <w:tcW w:w="40" w:type="dxa"/>
            <w:vAlign w:val="bottom"/>
            <w:tcBorders>
              <w:bottom w:val="single" w:sz="8" w:color="auto"/>
            </w:tcBorders>
            <w:shd w:val="clear" w:color="auto" w:fill="F5F5F5"/>
          </w:tcPr>
          <w:p>
            <w:pPr>
              <w:spacing w:after="0"/>
              <w:rPr>
                <w:sz w:val="19"/>
                <w:szCs w:val="19"/>
                <w:color w:val="auto"/>
              </w:rPr>
            </w:pPr>
          </w:p>
        </w:tc>
        <w:tc>
          <w:tcPr>
            <w:tcW w:w="40" w:type="dxa"/>
            <w:vAlign w:val="bottom"/>
            <w:tcBorders>
              <w:bottom w:val="single" w:sz="8" w:color="F5F5F5"/>
            </w:tcBorders>
            <w:shd w:val="clear" w:color="auto" w:fill="F5F5F5"/>
          </w:tcPr>
          <w:p>
            <w:pPr>
              <w:spacing w:after="0"/>
              <w:rPr>
                <w:sz w:val="19"/>
                <w:szCs w:val="19"/>
                <w:color w:val="auto"/>
              </w:rPr>
            </w:pPr>
          </w:p>
        </w:tc>
        <w:tc>
          <w:tcPr>
            <w:tcW w:w="320" w:type="dxa"/>
            <w:vAlign w:val="bottom"/>
            <w:tcBorders>
              <w:bottom w:val="single" w:sz="8" w:color="auto"/>
            </w:tcBorders>
            <w:shd w:val="clear" w:color="auto" w:fill="F5F5F5"/>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auto"/>
            </w:tcBorders>
            <w:shd w:val="clear" w:color="auto" w:fill="F5F5F5"/>
          </w:tcPr>
          <w:p>
            <w:pPr>
              <w:spacing w:after="0"/>
              <w:rPr>
                <w:sz w:val="19"/>
                <w:szCs w:val="19"/>
                <w:color w:val="auto"/>
              </w:rPr>
            </w:pPr>
          </w:p>
        </w:tc>
        <w:tc>
          <w:tcPr>
            <w:tcW w:w="48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170.8</w:t>
            </w:r>
          </w:p>
        </w:tc>
        <w:tc>
          <w:tcPr>
            <w:tcW w:w="40" w:type="dxa"/>
            <w:vAlign w:val="bottom"/>
            <w:tcBorders>
              <w:bottom w:val="single" w:sz="8" w:color="auto"/>
            </w:tcBorders>
            <w:shd w:val="clear" w:color="auto" w:fill="F5F5F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F5F5F5"/>
            </w:tcBorders>
          </w:tcPr>
          <w:p>
            <w:pPr>
              <w:spacing w:after="0" w:line="20" w:lineRule="exact"/>
              <w:rPr>
                <w:sz w:val="1"/>
                <w:szCs w:val="1"/>
                <w:color w:val="auto"/>
              </w:rPr>
            </w:pPr>
          </w:p>
        </w:tc>
        <w:tc>
          <w:tcPr>
            <w:tcW w:w="800" w:type="dxa"/>
            <w:vAlign w:val="bottom"/>
            <w:tcBorders>
              <w:top w:val="single" w:sz="8" w:color="F5F5F5"/>
            </w:tcBorders>
          </w:tcPr>
          <w:p>
            <w:pPr>
              <w:spacing w:after="0" w:line="20" w:lineRule="exact"/>
              <w:rPr>
                <w:sz w:val="1"/>
                <w:szCs w:val="1"/>
                <w:color w:val="auto"/>
              </w:rPr>
            </w:pPr>
          </w:p>
        </w:tc>
        <w:tc>
          <w:tcPr>
            <w:tcW w:w="20" w:type="dxa"/>
            <w:vAlign w:val="bottom"/>
            <w:tcBorders>
              <w:top w:val="single" w:sz="8" w:color="F5F5F5"/>
            </w:tcBorders>
          </w:tcPr>
          <w:p>
            <w:pPr>
              <w:spacing w:after="0" w:line="20" w:lineRule="exact"/>
              <w:rPr>
                <w:sz w:val="1"/>
                <w:szCs w:val="1"/>
                <w:color w:val="auto"/>
              </w:rPr>
            </w:pPr>
          </w:p>
        </w:tc>
        <w:tc>
          <w:tcPr>
            <w:tcW w:w="140" w:type="dxa"/>
            <w:vAlign w:val="bottom"/>
            <w:tcBorders>
              <w:top w:val="single" w:sz="8" w:color="F5F5F5"/>
            </w:tcBorders>
          </w:tcPr>
          <w:p>
            <w:pPr>
              <w:spacing w:after="0" w:line="20" w:lineRule="exact"/>
              <w:rPr>
                <w:sz w:val="1"/>
                <w:szCs w:val="1"/>
                <w:color w:val="auto"/>
              </w:rPr>
            </w:pPr>
          </w:p>
        </w:tc>
        <w:tc>
          <w:tcPr>
            <w:tcW w:w="260" w:type="dxa"/>
            <w:vAlign w:val="bottom"/>
            <w:tcBorders>
              <w:top w:val="single" w:sz="8" w:color="F5F5F5"/>
            </w:tcBorders>
          </w:tcPr>
          <w:p>
            <w:pPr>
              <w:spacing w:after="0" w:line="20" w:lineRule="exact"/>
              <w:rPr>
                <w:sz w:val="1"/>
                <w:szCs w:val="1"/>
                <w:color w:val="auto"/>
              </w:rPr>
            </w:pPr>
          </w:p>
        </w:tc>
        <w:tc>
          <w:tcPr>
            <w:tcW w:w="180" w:type="dxa"/>
            <w:vAlign w:val="bottom"/>
            <w:tcBorders>
              <w:top w:val="single" w:sz="8" w:color="F5F5F5"/>
              <w:bottom w:val="single" w:sz="8" w:color="auto"/>
            </w:tcBorders>
          </w:tcPr>
          <w:p>
            <w:pPr>
              <w:spacing w:after="0" w:line="20" w:lineRule="exact"/>
              <w:rPr>
                <w:sz w:val="1"/>
                <w:szCs w:val="1"/>
                <w:color w:val="auto"/>
              </w:rPr>
            </w:pPr>
          </w:p>
        </w:tc>
        <w:tc>
          <w:tcPr>
            <w:tcW w:w="720" w:type="dxa"/>
            <w:vAlign w:val="bottom"/>
            <w:tcBorders>
              <w:top w:val="single" w:sz="8" w:color="F5F5F5"/>
              <w:bottom w:val="single" w:sz="8" w:color="auto"/>
            </w:tcBorders>
          </w:tcPr>
          <w:p>
            <w:pPr>
              <w:spacing w:after="0" w:line="20" w:lineRule="exact"/>
              <w:rPr>
                <w:sz w:val="1"/>
                <w:szCs w:val="1"/>
                <w:color w:val="auto"/>
              </w:rPr>
            </w:pPr>
          </w:p>
        </w:tc>
        <w:tc>
          <w:tcPr>
            <w:tcW w:w="60" w:type="dxa"/>
            <w:vAlign w:val="bottom"/>
            <w:tcBorders>
              <w:top w:val="single" w:sz="8" w:color="F5F5F5"/>
            </w:tcBorders>
          </w:tcPr>
          <w:p>
            <w:pPr>
              <w:spacing w:after="0" w:line="20" w:lineRule="exact"/>
              <w:rPr>
                <w:sz w:val="1"/>
                <w:szCs w:val="1"/>
                <w:color w:val="auto"/>
              </w:rPr>
            </w:pPr>
          </w:p>
        </w:tc>
        <w:tc>
          <w:tcPr>
            <w:tcW w:w="40" w:type="dxa"/>
            <w:vAlign w:val="bottom"/>
            <w:tcBorders>
              <w:top w:val="single" w:sz="8" w:color="F5F5F5"/>
              <w:bottom w:val="single" w:sz="8" w:color="auto"/>
            </w:tcBorders>
          </w:tcPr>
          <w:p>
            <w:pPr>
              <w:spacing w:after="0" w:line="20" w:lineRule="exact"/>
              <w:rPr>
                <w:sz w:val="1"/>
                <w:szCs w:val="1"/>
                <w:color w:val="auto"/>
              </w:rPr>
            </w:pPr>
          </w:p>
        </w:tc>
        <w:tc>
          <w:tcPr>
            <w:tcW w:w="480" w:type="dxa"/>
            <w:vAlign w:val="bottom"/>
            <w:tcBorders>
              <w:top w:val="single" w:sz="8" w:color="F5F5F5"/>
              <w:bottom w:val="single" w:sz="8" w:color="auto"/>
            </w:tcBorders>
          </w:tcPr>
          <w:p>
            <w:pPr>
              <w:spacing w:after="0" w:line="20" w:lineRule="exact"/>
              <w:rPr>
                <w:sz w:val="1"/>
                <w:szCs w:val="1"/>
                <w:color w:val="auto"/>
              </w:rPr>
            </w:pPr>
          </w:p>
        </w:tc>
        <w:tc>
          <w:tcPr>
            <w:tcW w:w="6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bottom w:val="single" w:sz="8" w:color="auto"/>
            </w:tcBorders>
          </w:tcPr>
          <w:p>
            <w:pPr>
              <w:spacing w:after="0" w:line="20" w:lineRule="exact"/>
              <w:rPr>
                <w:sz w:val="1"/>
                <w:szCs w:val="1"/>
                <w:color w:val="auto"/>
              </w:rPr>
            </w:pPr>
          </w:p>
        </w:tc>
        <w:tc>
          <w:tcPr>
            <w:tcW w:w="20" w:type="dxa"/>
            <w:vAlign w:val="bottom"/>
            <w:tcBorders>
              <w:top w:val="single" w:sz="8" w:color="F5F5F5"/>
              <w:bottom w:val="single" w:sz="8" w:color="auto"/>
            </w:tcBorders>
          </w:tcPr>
          <w:p>
            <w:pPr>
              <w:spacing w:after="0" w:line="20" w:lineRule="exact"/>
              <w:rPr>
                <w:sz w:val="1"/>
                <w:szCs w:val="1"/>
                <w:color w:val="auto"/>
              </w:rPr>
            </w:pPr>
          </w:p>
        </w:tc>
        <w:tc>
          <w:tcPr>
            <w:tcW w:w="60" w:type="dxa"/>
            <w:vAlign w:val="bottom"/>
            <w:tcBorders>
              <w:top w:val="single" w:sz="8" w:color="F5F5F5"/>
              <w:bottom w:val="single" w:sz="8" w:color="auto"/>
            </w:tcBorders>
          </w:tcPr>
          <w:p>
            <w:pPr>
              <w:spacing w:after="0" w:line="20" w:lineRule="exact"/>
              <w:rPr>
                <w:sz w:val="1"/>
                <w:szCs w:val="1"/>
                <w:color w:val="auto"/>
              </w:rPr>
            </w:pPr>
          </w:p>
        </w:tc>
        <w:tc>
          <w:tcPr>
            <w:tcW w:w="40" w:type="dxa"/>
            <w:vAlign w:val="bottom"/>
            <w:tcBorders>
              <w:top w:val="single" w:sz="8" w:color="F5F5F5"/>
              <w:bottom w:val="single" w:sz="8" w:color="auto"/>
            </w:tcBorders>
          </w:tcPr>
          <w:p>
            <w:pPr>
              <w:spacing w:after="0" w:line="20" w:lineRule="exact"/>
              <w:rPr>
                <w:sz w:val="1"/>
                <w:szCs w:val="1"/>
                <w:color w:val="auto"/>
              </w:rPr>
            </w:pPr>
          </w:p>
        </w:tc>
        <w:tc>
          <w:tcPr>
            <w:tcW w:w="200" w:type="dxa"/>
            <w:vAlign w:val="bottom"/>
            <w:tcBorders>
              <w:top w:val="single" w:sz="8" w:color="F5F5F5"/>
              <w:bottom w:val="single" w:sz="8" w:color="auto"/>
            </w:tcBorders>
          </w:tcPr>
          <w:p>
            <w:pPr>
              <w:spacing w:after="0" w:line="20" w:lineRule="exact"/>
              <w:rPr>
                <w:sz w:val="1"/>
                <w:szCs w:val="1"/>
                <w:color w:val="auto"/>
              </w:rPr>
            </w:pPr>
          </w:p>
        </w:tc>
        <w:tc>
          <w:tcPr>
            <w:tcW w:w="640" w:type="dxa"/>
            <w:vAlign w:val="bottom"/>
            <w:tcBorders>
              <w:top w:val="single" w:sz="8" w:color="F5F5F5"/>
              <w:bottom w:val="single" w:sz="8" w:color="auto"/>
            </w:tcBorders>
          </w:tcPr>
          <w:p>
            <w:pPr>
              <w:spacing w:after="0" w:line="20" w:lineRule="exact"/>
              <w:rPr>
                <w:sz w:val="1"/>
                <w:szCs w:val="1"/>
                <w:color w:val="auto"/>
              </w:rPr>
            </w:pPr>
          </w:p>
        </w:tc>
        <w:tc>
          <w:tcPr>
            <w:tcW w:w="40" w:type="dxa"/>
            <w:vAlign w:val="bottom"/>
            <w:tcBorders>
              <w:top w:val="single" w:sz="8" w:color="F5F5F5"/>
              <w:bottom w:val="single" w:sz="8" w:color="auto"/>
            </w:tcBorders>
          </w:tcPr>
          <w:p>
            <w:pPr>
              <w:spacing w:after="0" w:line="20" w:lineRule="exact"/>
              <w:rPr>
                <w:sz w:val="1"/>
                <w:szCs w:val="1"/>
                <w:color w:val="auto"/>
              </w:rPr>
            </w:pPr>
          </w:p>
        </w:tc>
        <w:tc>
          <w:tcPr>
            <w:tcW w:w="40" w:type="dxa"/>
            <w:vAlign w:val="bottom"/>
            <w:tcBorders>
              <w:top w:val="single" w:sz="8" w:color="F5F5F5"/>
              <w:bottom w:val="single" w:sz="8" w:color="auto"/>
            </w:tcBorders>
          </w:tcPr>
          <w:p>
            <w:pPr>
              <w:spacing w:after="0" w:line="20" w:lineRule="exact"/>
              <w:rPr>
                <w:sz w:val="1"/>
                <w:szCs w:val="1"/>
                <w:color w:val="auto"/>
              </w:rPr>
            </w:pPr>
          </w:p>
        </w:tc>
        <w:tc>
          <w:tcPr>
            <w:tcW w:w="40" w:type="dxa"/>
            <w:vAlign w:val="bottom"/>
            <w:tcBorders>
              <w:top w:val="single" w:sz="8" w:color="F5F5F5"/>
            </w:tcBorders>
          </w:tcPr>
          <w:p>
            <w:pPr>
              <w:spacing w:after="0" w:line="20" w:lineRule="exact"/>
              <w:rPr>
                <w:sz w:val="1"/>
                <w:szCs w:val="1"/>
                <w:color w:val="auto"/>
              </w:rPr>
            </w:pPr>
          </w:p>
        </w:tc>
        <w:tc>
          <w:tcPr>
            <w:tcW w:w="320" w:type="dxa"/>
            <w:vAlign w:val="bottom"/>
            <w:tcBorders>
              <w:top w:val="single" w:sz="8" w:color="F5F5F5"/>
              <w:bottom w:val="single" w:sz="8" w:color="auto"/>
            </w:tcBorders>
          </w:tcPr>
          <w:p>
            <w:pPr>
              <w:spacing w:after="0" w:line="20" w:lineRule="exact"/>
              <w:rPr>
                <w:sz w:val="1"/>
                <w:szCs w:val="1"/>
                <w:color w:val="auto"/>
              </w:rPr>
            </w:pPr>
          </w:p>
        </w:tc>
        <w:tc>
          <w:tcPr>
            <w:tcW w:w="80" w:type="dxa"/>
            <w:vAlign w:val="bottom"/>
            <w:tcBorders>
              <w:top w:val="single" w:sz="8" w:color="F5F5F5"/>
              <w:bottom w:val="single" w:sz="8" w:color="auto"/>
            </w:tcBorders>
          </w:tcPr>
          <w:p>
            <w:pPr>
              <w:spacing w:after="0" w:line="20" w:lineRule="exact"/>
              <w:rPr>
                <w:sz w:val="1"/>
                <w:szCs w:val="1"/>
                <w:color w:val="auto"/>
              </w:rPr>
            </w:pPr>
          </w:p>
        </w:tc>
        <w:tc>
          <w:tcPr>
            <w:tcW w:w="480" w:type="dxa"/>
            <w:vAlign w:val="bottom"/>
            <w:tcBorders>
              <w:top w:val="single" w:sz="8" w:color="F5F5F5"/>
              <w:bottom w:val="single" w:sz="8" w:color="auto"/>
            </w:tcBorders>
          </w:tcPr>
          <w:p>
            <w:pPr>
              <w:spacing w:after="0" w:line="20" w:lineRule="exact"/>
              <w:rPr>
                <w:sz w:val="1"/>
                <w:szCs w:val="1"/>
                <w:color w:val="auto"/>
              </w:rPr>
            </w:pPr>
          </w:p>
        </w:tc>
        <w:tc>
          <w:tcPr>
            <w:tcW w:w="40" w:type="dxa"/>
            <w:vAlign w:val="bottom"/>
            <w:tcBorders>
              <w:top w:val="single" w:sz="8" w:color="F5F5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-2802255</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14"/>
          <w:szCs w:val="14"/>
          <w:color w:val="auto"/>
        </w:rPr>
        <w:t>(c) This represents the gross purchase price excluding closing adjustments and other related transacton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The Macerich Company</w:t>
      </w:r>
    </w:p>
    <w:p>
      <w:pPr>
        <w:jc w:val="center"/>
        <w:ind w:right="40"/>
        <w:spacing w:after="0" w:line="206" w:lineRule="auto"/>
        <w:rPr>
          <w:sz w:val="20"/>
          <w:szCs w:val="20"/>
          <w:color w:val="auto"/>
        </w:rPr>
      </w:pPr>
      <w:r>
        <w:rPr>
          <w:rFonts w:ascii="Calibri" w:cs="Calibri" w:eastAsia="Calibri" w:hAnsi="Calibri"/>
          <w:sz w:val="18"/>
          <w:szCs w:val="18"/>
          <w:b w:val="1"/>
          <w:bCs w:val="1"/>
          <w:color w:val="auto"/>
        </w:rPr>
        <w:t>Supplemental Financial and Operatng Informaton (unaudited)</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Asset Dispositons / Loan Give-Backs</w:t>
      </w:r>
    </w:p>
    <w:p>
      <w:pPr>
        <w:jc w:val="center"/>
        <w:ind w:right="-39"/>
        <w:spacing w:after="0" w:line="221" w:lineRule="auto"/>
        <w:rPr>
          <w:sz w:val="20"/>
          <w:szCs w:val="20"/>
          <w:color w:val="auto"/>
        </w:rPr>
      </w:pPr>
      <w:r>
        <w:rPr>
          <w:rFonts w:ascii="Calibri" w:cs="Calibri" w:eastAsia="Calibri" w:hAnsi="Calibri"/>
          <w:sz w:val="18"/>
          <w:szCs w:val="18"/>
          <w:b w:val="1"/>
          <w:bCs w:val="1"/>
          <w:color w:val="auto"/>
        </w:rPr>
        <w:t>(Dollars in millions)</w:t>
      </w:r>
    </w:p>
    <w:p>
      <w:pPr>
        <w:spacing w:after="0" w:line="110" w:lineRule="exact"/>
        <w:rPr>
          <w:sz w:val="20"/>
          <w:szCs w:val="20"/>
          <w:color w:val="auto"/>
        </w:rPr>
      </w:pPr>
    </w:p>
    <w:p>
      <w:pPr>
        <w:ind w:left="80" w:right="420"/>
        <w:spacing w:after="0" w:line="260" w:lineRule="auto"/>
        <w:rPr>
          <w:sz w:val="20"/>
          <w:szCs w:val="20"/>
          <w:color w:val="auto"/>
        </w:rPr>
      </w:pPr>
      <w:r>
        <w:rPr>
          <w:rFonts w:ascii="Calibri" w:cs="Calibri" w:eastAsia="Calibri" w:hAnsi="Calibri"/>
          <w:sz w:val="18"/>
          <w:szCs w:val="18"/>
          <w:color w:val="auto"/>
        </w:rPr>
        <w:t>The following is a summary of the Company’s Asset Dispositons and Loan Givebacks for the three months ended March 31, 2026, and for the twelve months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40" w:type="dxa"/>
        <w:tblCellMar>
          <w:top w:w="0" w:type="dxa"/>
          <w:left w:w="0" w:type="dxa"/>
          <w:bottom w:w="0" w:type="dxa"/>
          <w:right w:w="0" w:type="dxa"/>
        </w:tblCellMar>
      </w:tblPr>
      <w:tr>
        <w:trPr>
          <w:trHeight w:val="220"/>
        </w:trPr>
        <w:tc>
          <w:tcPr>
            <w:tcW w:w="4980" w:type="dxa"/>
            <w:vAlign w:val="bottom"/>
            <w:gridSpan w:val="2"/>
          </w:tcPr>
          <w:p>
            <w:pPr>
              <w:spacing w:after="0"/>
              <w:rPr>
                <w:sz w:val="20"/>
                <w:szCs w:val="20"/>
                <w:color w:val="auto"/>
              </w:rPr>
            </w:pPr>
            <w:r>
              <w:rPr>
                <w:rFonts w:ascii="Calibri" w:cs="Calibri" w:eastAsia="Calibri" w:hAnsi="Calibri"/>
                <w:sz w:val="18"/>
                <w:szCs w:val="18"/>
                <w:b w:val="1"/>
                <w:bCs w:val="1"/>
                <w:color w:val="auto"/>
              </w:rPr>
              <w:t>I. Asset Dispositons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41"/>
        </w:trPr>
        <w:tc>
          <w:tcPr>
            <w:tcW w:w="4980" w:type="dxa"/>
            <w:vAlign w:val="bottom"/>
            <w:gridSpan w:val="2"/>
          </w:tcPr>
          <w:p>
            <w:pPr>
              <w:spacing w:after="0"/>
              <w:rPr>
                <w:sz w:val="20"/>
                <w:szCs w:val="20"/>
                <w:color w:val="auto"/>
              </w:rPr>
            </w:pPr>
            <w:r>
              <w:rPr>
                <w:rFonts w:ascii="Calibri" w:cs="Calibri" w:eastAsia="Calibri" w:hAnsi="Calibri"/>
                <w:sz w:val="18"/>
                <w:szCs w:val="18"/>
                <w:color w:val="auto"/>
              </w:rPr>
              <w:t>Former department store parcel at Freehold Raceway Mall,</w:t>
            </w: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2"/>
        </w:trPr>
        <w:tc>
          <w:tcPr>
            <w:tcW w:w="4980" w:type="dxa"/>
            <w:vAlign w:val="bottom"/>
            <w:gridSpan w:val="2"/>
          </w:tcPr>
          <w:p>
            <w:pPr>
              <w:spacing w:after="0" w:line="215" w:lineRule="exact"/>
              <w:rPr>
                <w:sz w:val="20"/>
                <w:szCs w:val="20"/>
                <w:color w:val="auto"/>
              </w:rPr>
            </w:pPr>
            <w:r>
              <w:rPr>
                <w:rFonts w:ascii="Calibri" w:cs="Calibri" w:eastAsia="Calibri" w:hAnsi="Calibri"/>
                <w:sz w:val="18"/>
                <w:szCs w:val="18"/>
                <w:color w:val="auto"/>
              </w:rPr>
              <w:t>Freehold, New Jersey</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02-02-2026</w:t>
            </w:r>
          </w:p>
        </w:tc>
        <w:tc>
          <w:tcPr>
            <w:tcW w:w="640" w:type="dxa"/>
            <w:vAlign w:val="bottom"/>
          </w:tcPr>
          <w:p>
            <w:pPr>
              <w:jc w:val="right"/>
              <w:ind w:right="99"/>
              <w:spacing w:after="0"/>
              <w:rPr>
                <w:sz w:val="20"/>
                <w:szCs w:val="20"/>
                <w:color w:val="auto"/>
              </w:rPr>
            </w:pPr>
            <w:r>
              <w:rPr>
                <w:rFonts w:ascii="Calibri" w:cs="Calibri" w:eastAsia="Calibri" w:hAnsi="Calibri"/>
                <w:sz w:val="18"/>
                <w:szCs w:val="18"/>
                <w:color w:val="auto"/>
              </w:rPr>
              <w:t>$</w:t>
            </w:r>
          </w:p>
        </w:tc>
        <w:tc>
          <w:tcPr>
            <w:tcW w:w="660" w:type="dxa"/>
            <w:vAlign w:val="bottom"/>
          </w:tcPr>
          <w:p>
            <w:pPr>
              <w:jc w:val="right"/>
              <w:ind w:right="10"/>
              <w:spacing w:after="0"/>
              <w:rPr>
                <w:sz w:val="20"/>
                <w:szCs w:val="20"/>
                <w:color w:val="auto"/>
              </w:rPr>
            </w:pPr>
            <w:r>
              <w:rPr>
                <w:rFonts w:ascii="Calibri" w:cs="Calibri" w:eastAsia="Calibri" w:hAnsi="Calibri"/>
                <w:sz w:val="18"/>
                <w:szCs w:val="18"/>
                <w:color w:val="auto"/>
              </w:rPr>
              <w:t>1.5</w:t>
            </w:r>
          </w:p>
        </w:tc>
        <w:tc>
          <w:tcPr>
            <w:tcW w:w="460" w:type="dxa"/>
            <w:vAlign w:val="bottom"/>
          </w:tcPr>
          <w:p>
            <w:pPr>
              <w:jc w:val="right"/>
              <w:ind w:right="210"/>
              <w:spacing w:after="0"/>
              <w:rPr>
                <w:sz w:val="20"/>
                <w:szCs w:val="20"/>
                <w:color w:val="auto"/>
              </w:rPr>
            </w:pPr>
            <w:r>
              <w:rPr>
                <w:rFonts w:ascii="Calibri" w:cs="Calibri" w:eastAsia="Calibri" w:hAnsi="Calibri"/>
                <w:sz w:val="18"/>
                <w:szCs w:val="18"/>
                <w:color w:val="auto"/>
              </w:rPr>
              <w:t>$</w:t>
            </w:r>
          </w:p>
        </w:tc>
        <w:tc>
          <w:tcPr>
            <w:tcW w:w="760" w:type="dxa"/>
            <w:vAlign w:val="bottom"/>
          </w:tcPr>
          <w:p>
            <w:pPr>
              <w:jc w:val="right"/>
              <w:ind w:right="10"/>
              <w:spacing w:after="0"/>
              <w:rPr>
                <w:sz w:val="20"/>
                <w:szCs w:val="20"/>
                <w:color w:val="auto"/>
              </w:rPr>
            </w:pPr>
            <w:r>
              <w:rPr>
                <w:rFonts w:ascii="Calibri" w:cs="Calibri" w:eastAsia="Calibri" w:hAnsi="Calibri"/>
                <w:sz w:val="18"/>
                <w:szCs w:val="18"/>
                <w:color w:val="auto"/>
              </w:rPr>
              <w:t>1.5</w:t>
            </w:r>
          </w:p>
        </w:tc>
        <w:tc>
          <w:tcPr>
            <w:tcW w:w="460" w:type="dxa"/>
            <w:vAlign w:val="bottom"/>
          </w:tcPr>
          <w:p>
            <w:pPr>
              <w:jc w:val="right"/>
              <w:ind w:right="190"/>
              <w:spacing w:after="0"/>
              <w:rPr>
                <w:sz w:val="20"/>
                <w:szCs w:val="20"/>
                <w:color w:val="auto"/>
              </w:rPr>
            </w:pPr>
            <w:r>
              <w:rPr>
                <w:rFonts w:ascii="Calibri" w:cs="Calibri" w:eastAsia="Calibri" w:hAnsi="Calibri"/>
                <w:sz w:val="18"/>
                <w:szCs w:val="18"/>
                <w:color w:val="auto"/>
              </w:rPr>
              <w:t>$</w:t>
            </w: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56"/>
        </w:trPr>
        <w:tc>
          <w:tcPr>
            <w:tcW w:w="4980" w:type="dxa"/>
            <w:vAlign w:val="bottom"/>
            <w:gridSpan w:val="2"/>
          </w:tcPr>
          <w:p>
            <w:pPr>
              <w:spacing w:after="0"/>
              <w:rPr>
                <w:sz w:val="20"/>
                <w:szCs w:val="20"/>
                <w:color w:val="auto"/>
              </w:rPr>
            </w:pPr>
            <w:r>
              <w:rPr>
                <w:rFonts w:ascii="Calibri" w:cs="Calibri" w:eastAsia="Calibri" w:hAnsi="Calibri"/>
                <w:sz w:val="18"/>
                <w:szCs w:val="18"/>
                <w:color w:val="auto"/>
              </w:rPr>
              <w:t>Washington Square Too Retail Strip Center, Portland, Oregon</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12-19-2025</w:t>
            </w:r>
          </w:p>
        </w:tc>
        <w:tc>
          <w:tcPr>
            <w:tcW w:w="64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Calibri" w:cs="Calibri" w:eastAsia="Calibri" w:hAnsi="Calibri"/>
                <w:sz w:val="18"/>
                <w:szCs w:val="18"/>
                <w:color w:val="auto"/>
              </w:rPr>
              <w:t>25.8</w:t>
            </w:r>
          </w:p>
        </w:tc>
        <w:tc>
          <w:tcPr>
            <w:tcW w:w="46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Calibri" w:cs="Calibri" w:eastAsia="Calibri" w:hAnsi="Calibri"/>
                <w:sz w:val="18"/>
                <w:szCs w:val="18"/>
                <w:color w:val="auto"/>
              </w:rPr>
              <w:t>25.8</w:t>
            </w: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56"/>
        </w:trPr>
        <w:tc>
          <w:tcPr>
            <w:tcW w:w="4980" w:type="dxa"/>
            <w:vAlign w:val="bottom"/>
            <w:gridSpan w:val="2"/>
          </w:tcPr>
          <w:p>
            <w:pPr>
              <w:spacing w:after="0"/>
              <w:rPr>
                <w:sz w:val="20"/>
                <w:szCs w:val="20"/>
                <w:color w:val="auto"/>
              </w:rPr>
            </w:pPr>
            <w:r>
              <w:rPr>
                <w:rFonts w:ascii="Calibri" w:cs="Calibri" w:eastAsia="Calibri" w:hAnsi="Calibri"/>
                <w:sz w:val="18"/>
                <w:szCs w:val="18"/>
                <w:color w:val="auto"/>
              </w:rPr>
              <w:t>Outparcel at Washington Square, Portland, Oregon</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12-10-2025</w:t>
            </w:r>
          </w:p>
        </w:tc>
        <w:tc>
          <w:tcPr>
            <w:tcW w:w="6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5.4</w:t>
            </w:r>
          </w:p>
        </w:tc>
        <w:tc>
          <w:tcPr>
            <w:tcW w:w="4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5.4</w:t>
            </w: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56"/>
        </w:trPr>
        <w:tc>
          <w:tcPr>
            <w:tcW w:w="4980" w:type="dxa"/>
            <w:vAlign w:val="bottom"/>
            <w:gridSpan w:val="2"/>
          </w:tcPr>
          <w:p>
            <w:pPr>
              <w:spacing w:after="0"/>
              <w:rPr>
                <w:sz w:val="20"/>
                <w:szCs w:val="20"/>
                <w:color w:val="auto"/>
              </w:rPr>
            </w:pPr>
            <w:r>
              <w:rPr>
                <w:rFonts w:ascii="Calibri" w:cs="Calibri" w:eastAsia="Calibri" w:hAnsi="Calibri"/>
                <w:sz w:val="18"/>
                <w:szCs w:val="18"/>
                <w:color w:val="auto"/>
              </w:rPr>
              <w:t>Outparcel at Los Cerritos Center, Cerritos, California</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11-17-2025</w:t>
            </w:r>
          </w:p>
        </w:tc>
        <w:tc>
          <w:tcPr>
            <w:tcW w:w="6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4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4.5</w:t>
            </w:r>
          </w:p>
        </w:tc>
      </w:tr>
      <w:tr>
        <w:trPr>
          <w:trHeight w:val="256"/>
        </w:trPr>
        <w:tc>
          <w:tcPr>
            <w:tcW w:w="4980" w:type="dxa"/>
            <w:vAlign w:val="bottom"/>
            <w:gridSpan w:val="2"/>
          </w:tcPr>
          <w:p>
            <w:pPr>
              <w:spacing w:after="0"/>
              <w:rPr>
                <w:sz w:val="20"/>
                <w:szCs w:val="20"/>
                <w:color w:val="auto"/>
              </w:rPr>
            </w:pPr>
            <w:r>
              <w:rPr>
                <w:rFonts w:ascii="Calibri" w:cs="Calibri" w:eastAsia="Calibri" w:hAnsi="Calibri"/>
                <w:sz w:val="18"/>
                <w:szCs w:val="18"/>
                <w:color w:val="auto"/>
              </w:rPr>
              <w:t>Valley Mall, Harrisonburg, Virginia</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08-20-2025</w:t>
            </w:r>
          </w:p>
        </w:tc>
        <w:tc>
          <w:tcPr>
            <w:tcW w:w="6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22.1</w:t>
            </w:r>
          </w:p>
        </w:tc>
        <w:tc>
          <w:tcPr>
            <w:tcW w:w="4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22.1</w:t>
            </w: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57"/>
        </w:trPr>
        <w:tc>
          <w:tcPr>
            <w:tcW w:w="4980" w:type="dxa"/>
            <w:vAlign w:val="bottom"/>
            <w:gridSpan w:val="2"/>
          </w:tcPr>
          <w:p>
            <w:pPr>
              <w:spacing w:after="0"/>
              <w:rPr>
                <w:sz w:val="20"/>
                <w:szCs w:val="20"/>
                <w:color w:val="auto"/>
              </w:rPr>
            </w:pPr>
            <w:r>
              <w:rPr>
                <w:rFonts w:ascii="Calibri" w:cs="Calibri" w:eastAsia="Calibri" w:hAnsi="Calibri"/>
                <w:sz w:val="18"/>
                <w:szCs w:val="18"/>
                <w:color w:val="auto"/>
              </w:rPr>
              <w:t>Lakewood Center, Lakewood, California</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08-18-2025</w:t>
            </w:r>
          </w:p>
        </w:tc>
        <w:tc>
          <w:tcPr>
            <w:tcW w:w="6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332.1</w:t>
            </w:r>
          </w:p>
        </w:tc>
        <w:tc>
          <w:tcPr>
            <w:tcW w:w="4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332.1</w:t>
            </w: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317.1</w:t>
            </w:r>
          </w:p>
        </w:tc>
      </w:tr>
      <w:tr>
        <w:trPr>
          <w:trHeight w:val="256"/>
        </w:trPr>
        <w:tc>
          <w:tcPr>
            <w:tcW w:w="4980" w:type="dxa"/>
            <w:vAlign w:val="bottom"/>
            <w:gridSpan w:val="2"/>
          </w:tcPr>
          <w:p>
            <w:pPr>
              <w:spacing w:after="0"/>
              <w:rPr>
                <w:sz w:val="20"/>
                <w:szCs w:val="20"/>
                <w:color w:val="auto"/>
              </w:rPr>
            </w:pPr>
            <w:r>
              <w:rPr>
                <w:rFonts w:ascii="Calibri" w:cs="Calibri" w:eastAsia="Calibri" w:hAnsi="Calibri"/>
                <w:sz w:val="18"/>
                <w:szCs w:val="18"/>
                <w:color w:val="auto"/>
              </w:rPr>
              <w:t>Atlas Park, The Shops at, Queens, New York</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07-30-2025</w:t>
            </w:r>
          </w:p>
        </w:tc>
        <w:tc>
          <w:tcPr>
            <w:tcW w:w="6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72.0</w:t>
            </w:r>
          </w:p>
        </w:tc>
        <w:tc>
          <w:tcPr>
            <w:tcW w:w="4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36.0</w:t>
            </w: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32.5</w:t>
            </w:r>
          </w:p>
        </w:tc>
      </w:tr>
      <w:tr>
        <w:trPr>
          <w:trHeight w:val="256"/>
        </w:trPr>
        <w:tc>
          <w:tcPr>
            <w:tcW w:w="4980" w:type="dxa"/>
            <w:vAlign w:val="bottom"/>
            <w:gridSpan w:val="2"/>
          </w:tcPr>
          <w:p>
            <w:pPr>
              <w:spacing w:after="0"/>
              <w:rPr>
                <w:sz w:val="20"/>
                <w:szCs w:val="20"/>
                <w:color w:val="auto"/>
              </w:rPr>
            </w:pPr>
            <w:r>
              <w:rPr>
                <w:rFonts w:ascii="Calibri" w:cs="Calibri" w:eastAsia="Calibri" w:hAnsi="Calibri"/>
                <w:sz w:val="18"/>
                <w:szCs w:val="18"/>
                <w:color w:val="auto"/>
              </w:rPr>
              <w:t>Paradise Valley Mall, Phoenix, Arizona</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06-30-2025</w:t>
            </w:r>
          </w:p>
        </w:tc>
        <w:tc>
          <w:tcPr>
            <w:tcW w:w="640" w:type="dxa"/>
            <w:vAlign w:val="bottom"/>
          </w:tcPr>
          <w:p>
            <w:pPr>
              <w:jc w:val="right"/>
              <w:ind w:right="359"/>
              <w:spacing w:after="0"/>
              <w:rPr>
                <w:sz w:val="20"/>
                <w:szCs w:val="20"/>
                <w:color w:val="auto"/>
              </w:rPr>
            </w:pPr>
            <w:r>
              <w:rPr>
                <w:rFonts w:ascii="Calibri" w:cs="Calibri" w:eastAsia="Calibri" w:hAnsi="Calibri"/>
                <w:sz w:val="14"/>
                <w:szCs w:val="14"/>
                <w:color w:val="auto"/>
              </w:rPr>
              <w:t>(a)</w:t>
            </w:r>
          </w:p>
        </w:tc>
        <w:tc>
          <w:tcPr>
            <w:tcW w:w="660" w:type="dxa"/>
            <w:vAlign w:val="bottom"/>
          </w:tcPr>
          <w:p>
            <w:pPr>
              <w:jc w:val="right"/>
              <w:spacing w:after="0"/>
              <w:rPr>
                <w:sz w:val="20"/>
                <w:szCs w:val="20"/>
                <w:color w:val="auto"/>
              </w:rPr>
            </w:pPr>
            <w:r>
              <w:rPr>
                <w:rFonts w:ascii="Calibri" w:cs="Calibri" w:eastAsia="Calibri" w:hAnsi="Calibri"/>
                <w:sz w:val="18"/>
                <w:szCs w:val="18"/>
                <w:color w:val="auto"/>
              </w:rPr>
              <w:t>5.5</w:t>
            </w:r>
          </w:p>
        </w:tc>
        <w:tc>
          <w:tcPr>
            <w:tcW w:w="4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5.5</w:t>
            </w: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3.1</w:t>
            </w:r>
          </w:p>
        </w:tc>
      </w:tr>
      <w:tr>
        <w:trPr>
          <w:trHeight w:val="204"/>
        </w:trPr>
        <w:tc>
          <w:tcPr>
            <w:tcW w:w="4980" w:type="dxa"/>
            <w:vAlign w:val="bottom"/>
            <w:gridSpan w:val="2"/>
          </w:tcPr>
          <w:p>
            <w:pPr>
              <w:spacing w:after="0" w:line="204" w:lineRule="exact"/>
              <w:rPr>
                <w:sz w:val="20"/>
                <w:szCs w:val="20"/>
                <w:color w:val="auto"/>
              </w:rPr>
            </w:pPr>
            <w:r>
              <w:rPr>
                <w:rFonts w:ascii="Calibri" w:cs="Calibri" w:eastAsia="Calibri" w:hAnsi="Calibri"/>
                <w:sz w:val="18"/>
                <w:szCs w:val="18"/>
                <w:color w:val="auto"/>
              </w:rPr>
              <w:t>1010-1016 Market Street parcels at Fashion District Philadelphia,</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42"/>
        </w:trPr>
        <w:tc>
          <w:tcPr>
            <w:tcW w:w="4980" w:type="dxa"/>
            <w:vAlign w:val="bottom"/>
            <w:gridSpan w:val="2"/>
          </w:tcPr>
          <w:p>
            <w:pPr>
              <w:spacing w:after="0" w:line="215" w:lineRule="exact"/>
              <w:rPr>
                <w:sz w:val="20"/>
                <w:szCs w:val="20"/>
                <w:color w:val="auto"/>
              </w:rPr>
            </w:pPr>
            <w:r>
              <w:rPr>
                <w:rFonts w:ascii="Calibri" w:cs="Calibri" w:eastAsia="Calibri" w:hAnsi="Calibri"/>
                <w:sz w:val="18"/>
                <w:szCs w:val="18"/>
                <w:color w:val="auto"/>
              </w:rPr>
              <w:t>Philadelphia, Pennsylvania</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06-30-2025</w:t>
            </w:r>
          </w:p>
        </w:tc>
        <w:tc>
          <w:tcPr>
            <w:tcW w:w="640" w:type="dxa"/>
            <w:vAlign w:val="bottom"/>
          </w:tcPr>
          <w:p>
            <w:pPr>
              <w:spacing w:after="0"/>
              <w:rPr>
                <w:sz w:val="21"/>
                <w:szCs w:val="21"/>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10.8</w:t>
            </w:r>
          </w:p>
        </w:tc>
        <w:tc>
          <w:tcPr>
            <w:tcW w:w="460" w:type="dxa"/>
            <w:vAlign w:val="bottom"/>
          </w:tcPr>
          <w:p>
            <w:pPr>
              <w:spacing w:after="0"/>
              <w:rPr>
                <w:sz w:val="21"/>
                <w:szCs w:val="21"/>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10.8</w:t>
            </w: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04"/>
        </w:trPr>
        <w:tc>
          <w:tcPr>
            <w:tcW w:w="4980" w:type="dxa"/>
            <w:vAlign w:val="bottom"/>
            <w:gridSpan w:val="2"/>
          </w:tcPr>
          <w:p>
            <w:pPr>
              <w:spacing w:after="0" w:line="204" w:lineRule="exact"/>
              <w:rPr>
                <w:sz w:val="20"/>
                <w:szCs w:val="20"/>
                <w:color w:val="auto"/>
              </w:rPr>
            </w:pPr>
            <w:r>
              <w:rPr>
                <w:rFonts w:ascii="Calibri" w:cs="Calibri" w:eastAsia="Calibri" w:hAnsi="Calibri"/>
                <w:sz w:val="18"/>
                <w:szCs w:val="18"/>
                <w:color w:val="auto"/>
              </w:rPr>
              <w:t>Former department store parcel at Washington Square, Petaluma,</w:t>
            </w: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42"/>
        </w:trPr>
        <w:tc>
          <w:tcPr>
            <w:tcW w:w="4980" w:type="dxa"/>
            <w:vAlign w:val="bottom"/>
            <w:gridSpan w:val="2"/>
          </w:tcPr>
          <w:p>
            <w:pPr>
              <w:spacing w:after="0" w:line="215" w:lineRule="exact"/>
              <w:rPr>
                <w:sz w:val="20"/>
                <w:szCs w:val="20"/>
                <w:color w:val="auto"/>
              </w:rPr>
            </w:pPr>
            <w:r>
              <w:rPr>
                <w:rFonts w:ascii="Calibri" w:cs="Calibri" w:eastAsia="Calibri" w:hAnsi="Calibri"/>
                <w:sz w:val="18"/>
                <w:szCs w:val="18"/>
                <w:color w:val="auto"/>
              </w:rPr>
              <w:t>California</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06-11-2025</w:t>
            </w:r>
          </w:p>
        </w:tc>
        <w:tc>
          <w:tcPr>
            <w:tcW w:w="640" w:type="dxa"/>
            <w:vAlign w:val="bottom"/>
          </w:tcPr>
          <w:p>
            <w:pPr>
              <w:spacing w:after="0"/>
              <w:rPr>
                <w:sz w:val="21"/>
                <w:szCs w:val="21"/>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2.6</w:t>
            </w:r>
          </w:p>
        </w:tc>
        <w:tc>
          <w:tcPr>
            <w:tcW w:w="460" w:type="dxa"/>
            <w:vAlign w:val="bottom"/>
          </w:tcPr>
          <w:p>
            <w:pPr>
              <w:spacing w:after="0"/>
              <w:rPr>
                <w:sz w:val="21"/>
                <w:szCs w:val="21"/>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2.6</w:t>
            </w: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56"/>
        </w:trPr>
        <w:tc>
          <w:tcPr>
            <w:tcW w:w="4980" w:type="dxa"/>
            <w:vAlign w:val="bottom"/>
            <w:gridSpan w:val="2"/>
          </w:tcPr>
          <w:p>
            <w:pPr>
              <w:spacing w:after="0"/>
              <w:rPr>
                <w:sz w:val="20"/>
                <w:szCs w:val="20"/>
                <w:color w:val="auto"/>
              </w:rPr>
            </w:pPr>
            <w:r>
              <w:rPr>
                <w:rFonts w:ascii="Calibri" w:cs="Calibri" w:eastAsia="Calibri" w:hAnsi="Calibri"/>
                <w:sz w:val="18"/>
                <w:szCs w:val="18"/>
                <w:color w:val="auto"/>
              </w:rPr>
              <w:t>Paradise Valley Ofce Park, Phoenix, Arizona</w:t>
            </w:r>
          </w:p>
        </w:tc>
        <w:tc>
          <w:tcPr>
            <w:tcW w:w="1120" w:type="dxa"/>
            <w:vAlign w:val="bottom"/>
          </w:tcPr>
          <w:p>
            <w:pPr>
              <w:jc w:val="right"/>
              <w:spacing w:after="0"/>
              <w:rPr>
                <w:sz w:val="20"/>
                <w:szCs w:val="20"/>
                <w:color w:val="auto"/>
              </w:rPr>
            </w:pPr>
            <w:r>
              <w:rPr>
                <w:rFonts w:ascii="Calibri" w:cs="Calibri" w:eastAsia="Calibri" w:hAnsi="Calibri"/>
                <w:sz w:val="18"/>
                <w:szCs w:val="18"/>
                <w:color w:val="auto"/>
              </w:rPr>
              <w:t>05-28-2025</w:t>
            </w:r>
          </w:p>
        </w:tc>
        <w:tc>
          <w:tcPr>
            <w:tcW w:w="6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alibri" w:cs="Calibri" w:eastAsia="Calibri" w:hAnsi="Calibri"/>
                <w:sz w:val="18"/>
                <w:szCs w:val="18"/>
                <w:color w:val="auto"/>
              </w:rPr>
              <w:t>6.2</w:t>
            </w:r>
          </w:p>
        </w:tc>
        <w:tc>
          <w:tcPr>
            <w:tcW w:w="4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6.2</w:t>
            </w:r>
          </w:p>
        </w:tc>
        <w:tc>
          <w:tcPr>
            <w:tcW w:w="4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Calibri" w:cs="Calibri" w:eastAsia="Calibri" w:hAnsi="Calibri"/>
                <w:sz w:val="18"/>
                <w:szCs w:val="18"/>
                <w:color w:val="auto"/>
              </w:rPr>
              <w:t>—</w:t>
            </w:r>
          </w:p>
        </w:tc>
      </w:tr>
    </w:tbl>
    <w:p>
      <w:pPr>
        <w:sectPr>
          <w:pgSz w:w="11900" w:h="16854" w:orient="portrait"/>
          <w:cols w:equalWidth="0" w:num="1">
            <w:col w:w="10020"/>
          </w:cols>
          <w:pgMar w:left="900" w:top="68" w:right="979" w:bottom="0" w:gutter="0" w:footer="0" w:header="0"/>
        </w:sectPr>
      </w:pPr>
    </w:p>
    <w:bookmarkStart w:id="21" w:name="page22"/>
    <w:bookmarkEnd w:id="21"/>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Calibri" w:cs="Calibri" w:eastAsia="Calibri" w:hAnsi="Calibri"/>
                <w:sz w:val="18"/>
                <w:szCs w:val="18"/>
                <w:color w:val="auto"/>
              </w:rPr>
              <w:t>SouthPark Mall, Moline, Illinois</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04-30-2025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10.5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10.5</w:t>
            </w:r>
          </w:p>
        </w:tc>
        <w:tc>
          <w:tcPr>
            <w:tcW w:w="60" w:type="dxa"/>
            <w:vAlign w:val="bottom"/>
          </w:tcPr>
          <w:p>
            <w:pPr>
              <w:spacing w:after="0"/>
              <w:rPr>
                <w:sz w:val="19"/>
                <w:szCs w:val="19"/>
                <w:color w:val="auto"/>
              </w:rPr>
            </w:pPr>
          </w:p>
        </w:tc>
        <w:tc>
          <w:tcPr>
            <w:tcW w:w="1180" w:type="dxa"/>
            <w:vAlign w:val="bottom"/>
            <w:gridSpan w:val="3"/>
            <w:vMerge w:val="restart"/>
          </w:tcPr>
          <w:p>
            <w:pPr>
              <w:jc w:val="right"/>
              <w:spacing w:after="0"/>
              <w:rPr>
                <w:sz w:val="20"/>
                <w:szCs w:val="20"/>
                <w:color w:val="auto"/>
              </w:rPr>
            </w:pPr>
            <w:r>
              <w:rPr>
                <w:rFonts w:ascii="Calibri" w:cs="Calibri" w:eastAsia="Calibri" w:hAnsi="Calibri"/>
                <w:sz w:val="18"/>
                <w:szCs w:val="18"/>
                <w:b w:val="1"/>
                <w:bCs w:val="1"/>
                <w:color w:val="auto"/>
              </w:rPr>
              <w:t>Reducton of</w:t>
            </w: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59"/>
        </w:trPr>
        <w:tc>
          <w:tcPr>
            <w:tcW w:w="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74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gridSpan w:val="3"/>
            <w:vMerge w:val="restart"/>
          </w:tcPr>
          <w:p>
            <w:pPr>
              <w:jc w:val="center"/>
              <w:ind w:right="80"/>
              <w:spacing w:after="0" w:line="175" w:lineRule="exact"/>
              <w:rPr>
                <w:sz w:val="20"/>
                <w:szCs w:val="20"/>
                <w:color w:val="auto"/>
              </w:rPr>
            </w:pPr>
            <w:r>
              <w:rPr>
                <w:rFonts w:ascii="Calibri" w:cs="Calibri" w:eastAsia="Calibri" w:hAnsi="Calibri"/>
                <w:sz w:val="18"/>
                <w:szCs w:val="18"/>
                <w:b w:val="1"/>
                <w:bCs w:val="1"/>
                <w:color w:val="auto"/>
                <w:w w:val="98"/>
              </w:rPr>
              <w:t>Gross Sale</w:t>
            </w:r>
          </w:p>
        </w:tc>
        <w:tc>
          <w:tcPr>
            <w:tcW w:w="180" w:type="dxa"/>
            <w:vAlign w:val="bottom"/>
          </w:tcPr>
          <w:p>
            <w:pPr>
              <w:spacing w:after="0"/>
              <w:rPr>
                <w:sz w:val="5"/>
                <w:szCs w:val="5"/>
                <w:color w:val="auto"/>
              </w:rPr>
            </w:pPr>
          </w:p>
        </w:tc>
        <w:tc>
          <w:tcPr>
            <w:tcW w:w="1060" w:type="dxa"/>
            <w:vAlign w:val="bottom"/>
            <w:gridSpan w:val="3"/>
          </w:tcPr>
          <w:p>
            <w:pPr>
              <w:jc w:val="center"/>
              <w:ind w:right="260"/>
              <w:spacing w:after="0" w:line="59" w:lineRule="exact"/>
              <w:rPr>
                <w:sz w:val="20"/>
                <w:szCs w:val="20"/>
                <w:color w:val="auto"/>
              </w:rPr>
            </w:pPr>
            <w:r>
              <w:rPr>
                <w:rFonts w:ascii="Calibri" w:cs="Calibri" w:eastAsia="Calibri" w:hAnsi="Calibri"/>
                <w:sz w:val="6"/>
                <w:szCs w:val="6"/>
                <w:b w:val="1"/>
                <w:bCs w:val="1"/>
                <w:color w:val="auto"/>
              </w:rPr>
              <w:t>Gross Sale</w:t>
            </w: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5140" w:type="dxa"/>
            <w:vAlign w:val="bottom"/>
            <w:gridSpan w:val="3"/>
            <w:vMerge w:val="restart"/>
          </w:tcPr>
          <w:p>
            <w:pPr>
              <w:spacing w:after="0" w:line="198" w:lineRule="exact"/>
              <w:rPr>
                <w:sz w:val="20"/>
                <w:szCs w:val="20"/>
                <w:color w:val="auto"/>
              </w:rPr>
            </w:pPr>
            <w:r>
              <w:rPr>
                <w:rFonts w:ascii="Calibri" w:cs="Calibri" w:eastAsia="Calibri" w:hAnsi="Calibri"/>
                <w:sz w:val="18"/>
                <w:szCs w:val="18"/>
                <w:color w:val="auto"/>
              </w:rPr>
              <w:t>Various parcels at Santan Adjacent, Gilbert, Arizona</w:t>
            </w:r>
          </w:p>
        </w:tc>
        <w:tc>
          <w:tcPr>
            <w:tcW w:w="960" w:type="dxa"/>
            <w:vAlign w:val="bottom"/>
            <w:vMerge w:val="restart"/>
          </w:tcPr>
          <w:p>
            <w:pPr>
              <w:jc w:val="right"/>
              <w:spacing w:after="0" w:line="198" w:lineRule="exact"/>
              <w:rPr>
                <w:sz w:val="20"/>
                <w:szCs w:val="20"/>
                <w:color w:val="auto"/>
              </w:rPr>
            </w:pPr>
            <w:r>
              <w:rPr>
                <w:rFonts w:ascii="Calibri" w:cs="Calibri" w:eastAsia="Calibri" w:hAnsi="Calibri"/>
                <w:sz w:val="18"/>
                <w:szCs w:val="18"/>
                <w:color w:val="auto"/>
              </w:rPr>
              <w:t>04-28-2025</w:t>
            </w:r>
          </w:p>
        </w:tc>
        <w:tc>
          <w:tcPr>
            <w:tcW w:w="3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3"/>
            <w:vMerge w:val="restart"/>
          </w:tcPr>
          <w:p>
            <w:pPr>
              <w:ind w:left="220"/>
              <w:spacing w:after="0" w:line="198" w:lineRule="exact"/>
              <w:rPr>
                <w:sz w:val="20"/>
                <w:szCs w:val="20"/>
                <w:color w:val="auto"/>
              </w:rPr>
            </w:pPr>
            <w:r>
              <w:rPr>
                <w:rFonts w:ascii="Calibri" w:cs="Calibri" w:eastAsia="Calibri" w:hAnsi="Calibri"/>
                <w:sz w:val="13"/>
                <w:szCs w:val="13"/>
                <w:b w:val="1"/>
                <w:bCs w:val="1"/>
                <w:color w:val="auto"/>
              </w:rPr>
              <w:t xml:space="preserve">Price </w:t>
            </w:r>
            <w:r>
              <w:rPr>
                <w:rFonts w:ascii="Calibri" w:cs="Calibri" w:eastAsia="Calibri" w:hAnsi="Calibri"/>
                <w:sz w:val="21"/>
                <w:szCs w:val="21"/>
                <w:color w:val="auto"/>
                <w:vertAlign w:val="subscript"/>
              </w:rPr>
              <w:t>24.5</w:t>
            </w:r>
          </w:p>
        </w:tc>
        <w:tc>
          <w:tcPr>
            <w:tcW w:w="240" w:type="dxa"/>
            <w:vAlign w:val="bottom"/>
          </w:tcPr>
          <w:p>
            <w:pPr>
              <w:spacing w:after="0"/>
              <w:rPr>
                <w:sz w:val="10"/>
                <w:szCs w:val="10"/>
                <w:color w:val="auto"/>
              </w:rPr>
            </w:pPr>
          </w:p>
        </w:tc>
        <w:tc>
          <w:tcPr>
            <w:tcW w:w="640" w:type="dxa"/>
            <w:vAlign w:val="bottom"/>
            <w:vMerge w:val="restart"/>
          </w:tcPr>
          <w:p>
            <w:pPr>
              <w:jc w:val="center"/>
              <w:spacing w:after="0" w:line="198" w:lineRule="exact"/>
              <w:rPr>
                <w:sz w:val="20"/>
                <w:szCs w:val="20"/>
                <w:color w:val="auto"/>
              </w:rPr>
            </w:pPr>
            <w:r>
              <w:rPr>
                <w:rFonts w:ascii="Calibri" w:cs="Calibri" w:eastAsia="Calibri" w:hAnsi="Calibri"/>
                <w:sz w:val="18"/>
                <w:szCs w:val="18"/>
                <w:b w:val="1"/>
                <w:bCs w:val="1"/>
                <w:color w:val="auto"/>
                <w:w w:val="99"/>
              </w:rPr>
              <w:t>Debt</w:t>
            </w:r>
          </w:p>
        </w:tc>
        <w:tc>
          <w:tcPr>
            <w:tcW w:w="300" w:type="dxa"/>
            <w:vAlign w:val="bottom"/>
            <w:vMerge w:val="restart"/>
          </w:tcPr>
          <w:p>
            <w:pPr>
              <w:jc w:val="right"/>
              <w:spacing w:after="0" w:line="198"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5140" w:type="dxa"/>
            <w:vAlign w:val="bottom"/>
            <w:gridSpan w:val="3"/>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jc w:val="right"/>
              <w:spacing w:after="0" w:line="81" w:lineRule="exact"/>
              <w:rPr>
                <w:sz w:val="20"/>
                <w:szCs w:val="20"/>
                <w:color w:val="auto"/>
              </w:rPr>
            </w:pPr>
            <w:r>
              <w:rPr>
                <w:rFonts w:ascii="Calibri" w:cs="Calibri" w:eastAsia="Calibri" w:hAnsi="Calibri"/>
                <w:sz w:val="8"/>
                <w:szCs w:val="8"/>
                <w:color w:val="auto"/>
              </w:rPr>
              <w:t>24.5</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5140" w:type="dxa"/>
            <w:vAlign w:val="bottom"/>
            <w:gridSpan w:val="3"/>
            <w:vMerge w:val="restart"/>
          </w:tcPr>
          <w:p>
            <w:pPr>
              <w:spacing w:after="0"/>
              <w:rPr>
                <w:sz w:val="20"/>
                <w:szCs w:val="20"/>
                <w:color w:val="auto"/>
              </w:rPr>
            </w:pPr>
            <w:r>
              <w:rPr>
                <w:rFonts w:ascii="Calibri" w:cs="Calibri" w:eastAsia="Calibri" w:hAnsi="Calibri"/>
                <w:sz w:val="18"/>
                <w:szCs w:val="18"/>
                <w:b w:val="1"/>
                <w:bCs w:val="1"/>
                <w:color w:val="auto"/>
              </w:rPr>
              <w:t>P</w:t>
            </w:r>
            <w:r>
              <w:rPr>
                <w:rFonts w:ascii="Calibri" w:cs="Calibri" w:eastAsia="Calibri" w:hAnsi="Calibri"/>
                <w:sz w:val="18"/>
                <w:szCs w:val="18"/>
                <w:color w:val="auto"/>
              </w:rPr>
              <w:t>ortllo's parcel at Santan Adjacent, Gilbert, Arizona</w:t>
            </w:r>
          </w:p>
        </w:tc>
        <w:tc>
          <w:tcPr>
            <w:tcW w:w="960" w:type="dxa"/>
            <w:vAlign w:val="bottom"/>
          </w:tcPr>
          <w:p>
            <w:pPr>
              <w:jc w:val="right"/>
              <w:spacing w:after="0" w:line="149" w:lineRule="exact"/>
              <w:rPr>
                <w:sz w:val="20"/>
                <w:szCs w:val="20"/>
                <w:color w:val="auto"/>
              </w:rPr>
            </w:pPr>
            <w:r>
              <w:rPr>
                <w:rFonts w:ascii="Calibri" w:cs="Calibri" w:eastAsia="Calibri" w:hAnsi="Calibri"/>
                <w:sz w:val="16"/>
                <w:szCs w:val="16"/>
                <w:b w:val="1"/>
                <w:bCs w:val="1"/>
                <w:color w:val="auto"/>
              </w:rPr>
              <w:t>Dispositon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Calibri" w:cs="Calibri" w:eastAsia="Calibri" w:hAnsi="Calibri"/>
                <w:sz w:val="16"/>
                <w:szCs w:val="16"/>
                <w:b w:val="1"/>
                <w:bCs w:val="1"/>
                <w:color w:val="auto"/>
              </w:rPr>
              <w:t>Price</w:t>
            </w:r>
          </w:p>
        </w:tc>
        <w:tc>
          <w:tcPr>
            <w:tcW w:w="1240" w:type="dxa"/>
            <w:vAlign w:val="bottom"/>
            <w:gridSpan w:val="4"/>
          </w:tcPr>
          <w:p>
            <w:pPr>
              <w:ind w:left="60"/>
              <w:spacing w:after="0" w:line="149" w:lineRule="exact"/>
              <w:rPr>
                <w:sz w:val="20"/>
                <w:szCs w:val="20"/>
                <w:color w:val="auto"/>
              </w:rPr>
            </w:pPr>
            <w:r>
              <w:rPr>
                <w:rFonts w:ascii="Calibri" w:cs="Calibri" w:eastAsia="Calibri" w:hAnsi="Calibri"/>
                <w:sz w:val="16"/>
                <w:szCs w:val="16"/>
                <w:b w:val="1"/>
                <w:bCs w:val="1"/>
                <w:color w:val="auto"/>
              </w:rPr>
              <w:t>(at Company's</w:t>
            </w:r>
          </w:p>
        </w:tc>
        <w:tc>
          <w:tcPr>
            <w:tcW w:w="1180" w:type="dxa"/>
            <w:vAlign w:val="bottom"/>
            <w:gridSpan w:val="3"/>
          </w:tcPr>
          <w:p>
            <w:pPr>
              <w:ind w:left="40"/>
              <w:spacing w:after="0" w:line="149" w:lineRule="exact"/>
              <w:rPr>
                <w:sz w:val="20"/>
                <w:szCs w:val="20"/>
                <w:color w:val="auto"/>
              </w:rPr>
            </w:pPr>
            <w:r>
              <w:rPr>
                <w:rFonts w:ascii="Calibri" w:cs="Calibri" w:eastAsia="Calibri" w:hAnsi="Calibri"/>
                <w:sz w:val="16"/>
                <w:szCs w:val="16"/>
                <w:b w:val="1"/>
                <w:bCs w:val="1"/>
                <w:color w:val="auto"/>
              </w:rPr>
              <w:t>(at Company's</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5140" w:type="dxa"/>
            <w:vAlign w:val="bottom"/>
            <w:gridSpan w:val="3"/>
            <w:vMerge w:val="continue"/>
          </w:tcPr>
          <w:p>
            <w:pPr>
              <w:spacing w:after="0"/>
              <w:rPr>
                <w:sz w:val="9"/>
                <w:szCs w:val="9"/>
                <w:color w:val="auto"/>
              </w:rPr>
            </w:pPr>
          </w:p>
        </w:tc>
        <w:tc>
          <w:tcPr>
            <w:tcW w:w="960" w:type="dxa"/>
            <w:vAlign w:val="bottom"/>
          </w:tcPr>
          <w:p>
            <w:pPr>
              <w:jc w:val="right"/>
              <w:spacing w:after="0" w:line="108" w:lineRule="exact"/>
              <w:rPr>
                <w:sz w:val="20"/>
                <w:szCs w:val="20"/>
                <w:color w:val="auto"/>
              </w:rPr>
            </w:pPr>
            <w:r>
              <w:rPr>
                <w:rFonts w:ascii="Calibri" w:cs="Calibri" w:eastAsia="Calibri" w:hAnsi="Calibri"/>
                <w:sz w:val="11"/>
                <w:szCs w:val="11"/>
                <w:color w:val="auto"/>
              </w:rPr>
              <w:t>04-16-2025</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Calibri" w:cs="Calibri" w:eastAsia="Calibri" w:hAnsi="Calibri"/>
                <w:sz w:val="11"/>
                <w:szCs w:val="11"/>
                <w:color w:val="auto"/>
              </w:rPr>
              <w:t>3.0</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center"/>
              <w:ind w:left="56"/>
              <w:spacing w:after="0" w:line="216" w:lineRule="exact"/>
              <w:rPr>
                <w:sz w:val="20"/>
                <w:szCs w:val="20"/>
                <w:color w:val="auto"/>
              </w:rPr>
            </w:pPr>
            <w:r>
              <w:rPr>
                <w:rFonts w:ascii="Calibri" w:cs="Calibri" w:eastAsia="Calibri" w:hAnsi="Calibri"/>
                <w:sz w:val="18"/>
                <w:szCs w:val="18"/>
                <w:b w:val="1"/>
                <w:bCs w:val="1"/>
                <w:color w:val="auto"/>
                <w:w w:val="95"/>
              </w:rPr>
              <w:t>Share)</w:t>
            </w:r>
          </w:p>
        </w:tc>
        <w:tc>
          <w:tcPr>
            <w:tcW w:w="320" w:type="dxa"/>
            <w:vAlign w:val="bottom"/>
          </w:tcPr>
          <w:p>
            <w:pPr>
              <w:jc w:val="right"/>
              <w:spacing w:after="0" w:line="108" w:lineRule="exact"/>
              <w:rPr>
                <w:sz w:val="20"/>
                <w:szCs w:val="20"/>
                <w:color w:val="auto"/>
              </w:rPr>
            </w:pPr>
            <w:r>
              <w:rPr>
                <w:rFonts w:ascii="Calibri" w:cs="Calibri" w:eastAsia="Calibri" w:hAnsi="Calibri"/>
                <w:sz w:val="11"/>
                <w:szCs w:val="11"/>
                <w:color w:val="auto"/>
              </w:rPr>
              <w:t>3.0</w:t>
            </w: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vMerge w:val="restart"/>
          </w:tcPr>
          <w:p>
            <w:pPr>
              <w:jc w:val="center"/>
              <w:spacing w:after="0" w:line="216" w:lineRule="exact"/>
              <w:rPr>
                <w:sz w:val="20"/>
                <w:szCs w:val="20"/>
                <w:color w:val="auto"/>
              </w:rPr>
            </w:pPr>
            <w:r>
              <w:rPr>
                <w:rFonts w:ascii="Calibri" w:cs="Calibri" w:eastAsia="Calibri" w:hAnsi="Calibri"/>
                <w:sz w:val="18"/>
                <w:szCs w:val="18"/>
                <w:b w:val="1"/>
                <w:bCs w:val="1"/>
                <w:color w:val="auto"/>
                <w:w w:val="95"/>
              </w:rPr>
              <w:t>Share)</w:t>
            </w:r>
          </w:p>
        </w:tc>
        <w:tc>
          <w:tcPr>
            <w:tcW w:w="300" w:type="dxa"/>
            <w:vAlign w:val="bottom"/>
            <w:vMerge w:val="restart"/>
          </w:tcPr>
          <w:p>
            <w:pPr>
              <w:jc w:val="right"/>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5140" w:type="dxa"/>
            <w:vAlign w:val="bottom"/>
            <w:gridSpan w:val="3"/>
          </w:tcPr>
          <w:p>
            <w:pPr>
              <w:ind w:left="100"/>
              <w:spacing w:after="0" w:line="108" w:lineRule="exact"/>
              <w:rPr>
                <w:sz w:val="20"/>
                <w:szCs w:val="20"/>
                <w:color w:val="auto"/>
              </w:rPr>
            </w:pPr>
            <w:r>
              <w:rPr>
                <w:rFonts w:ascii="Calibri" w:cs="Calibri" w:eastAsia="Calibri" w:hAnsi="Calibri"/>
                <w:sz w:val="11"/>
                <w:szCs w:val="11"/>
                <w:b w:val="1"/>
                <w:bCs w:val="1"/>
                <w:color w:val="auto"/>
              </w:rPr>
              <w:t>roperty/Lo aton</w:t>
            </w:r>
          </w:p>
        </w:tc>
        <w:tc>
          <w:tcPr>
            <w:tcW w:w="960" w:type="dxa"/>
            <w:vAlign w:val="bottom"/>
          </w:tcPr>
          <w:p>
            <w:pPr>
              <w:jc w:val="right"/>
              <w:ind w:right="216"/>
              <w:spacing w:after="0" w:line="108" w:lineRule="exact"/>
              <w:rPr>
                <w:sz w:val="20"/>
                <w:szCs w:val="20"/>
                <w:color w:val="auto"/>
              </w:rPr>
            </w:pPr>
            <w:r>
              <w:rPr>
                <w:rFonts w:ascii="Calibri" w:cs="Calibri" w:eastAsia="Calibri" w:hAnsi="Calibri"/>
                <w:sz w:val="11"/>
                <w:szCs w:val="11"/>
                <w:b w:val="1"/>
                <w:bCs w:val="1"/>
                <w:color w:val="auto"/>
              </w:rPr>
              <w:t>Date</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Calibri" w:cs="Calibri" w:eastAsia="Calibri" w:hAnsi="Calibri"/>
                <w:sz w:val="11"/>
                <w:szCs w:val="11"/>
                <w:b w:val="1"/>
                <w:bCs w:val="1"/>
                <w:color w:val="auto"/>
              </w:rPr>
              <w:t>(at 100%)</w:t>
            </w: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60" w:type="dxa"/>
            <w:vAlign w:val="bottom"/>
            <w:tcBorders>
              <w:top w:val="single" w:sz="8" w:color="auto"/>
            </w:tcBorders>
          </w:tcPr>
          <w:p>
            <w:pPr>
              <w:spacing w:after="0"/>
              <w:rPr>
                <w:sz w:val="13"/>
                <w:szCs w:val="13"/>
                <w:color w:val="auto"/>
              </w:rPr>
            </w:pPr>
          </w:p>
        </w:tc>
        <w:tc>
          <w:tcPr>
            <w:tcW w:w="5100" w:type="dxa"/>
            <w:vAlign w:val="bottom"/>
            <w:tcBorders>
              <w:top w:val="single" w:sz="8" w:color="auto"/>
            </w:tcBorders>
            <w:gridSpan w:val="2"/>
          </w:tcPr>
          <w:p>
            <w:pPr>
              <w:spacing w:after="0" w:line="156" w:lineRule="exact"/>
              <w:rPr>
                <w:sz w:val="20"/>
                <w:szCs w:val="20"/>
                <w:color w:val="auto"/>
              </w:rPr>
            </w:pPr>
            <w:r>
              <w:rPr>
                <w:rFonts w:ascii="Calibri" w:cs="Calibri" w:eastAsia="Calibri" w:hAnsi="Calibri"/>
                <w:sz w:val="16"/>
                <w:szCs w:val="16"/>
                <w:color w:val="auto"/>
              </w:rPr>
              <w:t>Wilton Mall, Saratoga Springs, New York</w:t>
            </w:r>
          </w:p>
        </w:tc>
        <w:tc>
          <w:tcPr>
            <w:tcW w:w="40" w:type="dxa"/>
            <w:vAlign w:val="bottom"/>
          </w:tcPr>
          <w:p>
            <w:pPr>
              <w:spacing w:after="0"/>
              <w:rPr>
                <w:sz w:val="13"/>
                <w:szCs w:val="13"/>
                <w:color w:val="auto"/>
              </w:rPr>
            </w:pPr>
          </w:p>
        </w:tc>
        <w:tc>
          <w:tcPr>
            <w:tcW w:w="96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6"/>
                <w:szCs w:val="16"/>
                <w:color w:val="auto"/>
              </w:rPr>
              <w:t>03-27-2025</w:t>
            </w: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6" w:lineRule="exact"/>
              <w:rPr>
                <w:sz w:val="20"/>
                <w:szCs w:val="20"/>
                <w:color w:val="auto"/>
              </w:rPr>
            </w:pPr>
            <w:r>
              <w:rPr>
                <w:rFonts w:ascii="Calibri" w:cs="Calibri" w:eastAsia="Calibri" w:hAnsi="Calibri"/>
                <w:sz w:val="16"/>
                <w:szCs w:val="16"/>
                <w:color w:val="auto"/>
              </w:rPr>
              <w:t>24.8</w:t>
            </w: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spacing w:after="0" w:line="156" w:lineRule="exact"/>
              <w:rPr>
                <w:sz w:val="20"/>
                <w:szCs w:val="20"/>
                <w:color w:val="auto"/>
              </w:rPr>
            </w:pPr>
            <w:r>
              <w:rPr>
                <w:rFonts w:ascii="Calibri" w:cs="Calibri" w:eastAsia="Calibri" w:hAnsi="Calibri"/>
                <w:sz w:val="16"/>
                <w:szCs w:val="16"/>
                <w:color w:val="auto"/>
              </w:rPr>
              <w:t>24.8</w:t>
            </w: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vMerge w:val="restart"/>
          </w:tcPr>
          <w:p>
            <w:pPr>
              <w:jc w:val="right"/>
              <w:spacing w:after="0" w:line="208"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5140" w:type="dxa"/>
            <w:vAlign w:val="bottom"/>
            <w:gridSpan w:val="3"/>
            <w:vMerge w:val="restart"/>
          </w:tcPr>
          <w:p>
            <w:pPr>
              <w:spacing w:after="0"/>
              <w:rPr>
                <w:sz w:val="20"/>
                <w:szCs w:val="20"/>
                <w:color w:val="auto"/>
              </w:rPr>
            </w:pPr>
            <w:r>
              <w:rPr>
                <w:rFonts w:ascii="Calibri" w:cs="Calibri" w:eastAsia="Calibri" w:hAnsi="Calibri"/>
                <w:sz w:val="18"/>
                <w:szCs w:val="18"/>
                <w:color w:val="auto"/>
              </w:rPr>
              <w:t>The Oaks, Thousand Oaks, California</w:t>
            </w:r>
          </w:p>
        </w:tc>
        <w:tc>
          <w:tcPr>
            <w:tcW w:w="960" w:type="dxa"/>
            <w:vAlign w:val="bottom"/>
            <w:vMerge w:val="restart"/>
          </w:tcPr>
          <w:p>
            <w:pPr>
              <w:jc w:val="right"/>
              <w:spacing w:after="0"/>
              <w:rPr>
                <w:sz w:val="20"/>
                <w:szCs w:val="20"/>
                <w:color w:val="auto"/>
              </w:rPr>
            </w:pPr>
            <w:r>
              <w:rPr>
                <w:rFonts w:ascii="Calibri" w:cs="Calibri" w:eastAsia="Calibri" w:hAnsi="Calibri"/>
                <w:sz w:val="18"/>
                <w:szCs w:val="18"/>
                <w:color w:val="auto"/>
              </w:rPr>
              <w:t>12-10-2024</w:t>
            </w: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Calibri" w:cs="Calibri" w:eastAsia="Calibri" w:hAnsi="Calibri"/>
                <w:sz w:val="18"/>
                <w:szCs w:val="18"/>
                <w:color w:val="auto"/>
              </w:rPr>
              <w:t>157.0</w:t>
            </w: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157.0</w:t>
            </w: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140" w:type="dxa"/>
            <w:vAlign w:val="bottom"/>
            <w:gridSpan w:val="3"/>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147.8</w:t>
            </w: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5140" w:type="dxa"/>
            <w:vAlign w:val="bottom"/>
            <w:gridSpan w:val="3"/>
            <w:vMerge w:val="restart"/>
          </w:tcPr>
          <w:p>
            <w:pPr>
              <w:spacing w:after="0"/>
              <w:rPr>
                <w:sz w:val="20"/>
                <w:szCs w:val="20"/>
                <w:color w:val="auto"/>
              </w:rPr>
            </w:pPr>
            <w:r>
              <w:rPr>
                <w:rFonts w:ascii="Calibri" w:cs="Calibri" w:eastAsia="Calibri" w:hAnsi="Calibri"/>
                <w:sz w:val="18"/>
                <w:szCs w:val="18"/>
                <w:color w:val="auto"/>
              </w:rPr>
              <w:t>Southridge Mall, Des Moines, Iowa</w:t>
            </w:r>
          </w:p>
        </w:tc>
        <w:tc>
          <w:tcPr>
            <w:tcW w:w="960" w:type="dxa"/>
            <w:vAlign w:val="bottom"/>
            <w:vMerge w:val="restart"/>
          </w:tcPr>
          <w:p>
            <w:pPr>
              <w:jc w:val="right"/>
              <w:spacing w:after="0"/>
              <w:rPr>
                <w:sz w:val="20"/>
                <w:szCs w:val="20"/>
                <w:color w:val="auto"/>
              </w:rPr>
            </w:pPr>
            <w:r>
              <w:rPr>
                <w:rFonts w:ascii="Calibri" w:cs="Calibri" w:eastAsia="Calibri" w:hAnsi="Calibri"/>
                <w:sz w:val="18"/>
                <w:szCs w:val="18"/>
                <w:color w:val="auto"/>
              </w:rPr>
              <w:t>11-25-2024</w:t>
            </w: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vMerge w:val="restart"/>
          </w:tcPr>
          <w:p>
            <w:pPr>
              <w:jc w:val="right"/>
              <w:spacing w:after="0"/>
              <w:rPr>
                <w:sz w:val="20"/>
                <w:szCs w:val="20"/>
                <w:color w:val="auto"/>
              </w:rPr>
            </w:pPr>
            <w:r>
              <w:rPr>
                <w:rFonts w:ascii="Calibri" w:cs="Calibri" w:eastAsia="Calibri" w:hAnsi="Calibri"/>
                <w:sz w:val="18"/>
                <w:szCs w:val="18"/>
                <w:color w:val="auto"/>
              </w:rPr>
              <w:t>4.0</w:t>
            </w: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5140" w:type="dxa"/>
            <w:vAlign w:val="bottom"/>
            <w:gridSpan w:val="3"/>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Calibri" w:cs="Calibri" w:eastAsia="Calibri" w:hAnsi="Calibri"/>
                <w:sz w:val="18"/>
                <w:szCs w:val="18"/>
                <w:color w:val="auto"/>
              </w:rPr>
              <w:t>4.0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gridSpan w:val="3"/>
          </w:tcPr>
          <w:p>
            <w:pPr>
              <w:spacing w:after="0"/>
              <w:rPr>
                <w:sz w:val="20"/>
                <w:szCs w:val="20"/>
                <w:color w:val="auto"/>
              </w:rPr>
            </w:pPr>
            <w:r>
              <w:rPr>
                <w:rFonts w:ascii="Calibri" w:cs="Calibri" w:eastAsia="Calibri" w:hAnsi="Calibri"/>
                <w:sz w:val="18"/>
                <w:szCs w:val="18"/>
                <w:color w:val="auto"/>
              </w:rPr>
              <w:t>Biltmore Fashion Park, Phoenix, Arizona</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07-31-2024</w:t>
            </w:r>
          </w:p>
        </w:tc>
        <w:tc>
          <w:tcPr>
            <w:tcW w:w="320" w:type="dxa"/>
            <w:vAlign w:val="bottom"/>
          </w:tcPr>
          <w:p>
            <w:pPr>
              <w:jc w:val="right"/>
              <w:ind w:right="28"/>
              <w:spacing w:after="0"/>
              <w:rPr>
                <w:sz w:val="20"/>
                <w:szCs w:val="20"/>
                <w:color w:val="auto"/>
              </w:rPr>
            </w:pPr>
            <w:r>
              <w:rPr>
                <w:rFonts w:ascii="Calibri" w:cs="Calibri" w:eastAsia="Calibri" w:hAnsi="Calibri"/>
                <w:sz w:val="14"/>
                <w:szCs w:val="14"/>
                <w:color w:val="auto"/>
              </w:rPr>
              <w:t>(b)</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110.0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110.0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gridSpan w:val="3"/>
          </w:tcPr>
          <w:p>
            <w:pPr>
              <w:spacing w:after="0"/>
              <w:rPr>
                <w:sz w:val="20"/>
                <w:szCs w:val="20"/>
                <w:color w:val="auto"/>
              </w:rPr>
            </w:pPr>
            <w:r>
              <w:rPr>
                <w:rFonts w:ascii="Calibri" w:cs="Calibri" w:eastAsia="Calibri" w:hAnsi="Calibri"/>
                <w:sz w:val="18"/>
                <w:szCs w:val="18"/>
                <w:color w:val="auto"/>
              </w:rPr>
              <w:t>Former department store parcel at Valle Vista Mall, Harlingen, Texas</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06-28-2024</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7.1</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Calibri" w:cs="Calibri" w:eastAsia="Calibri" w:hAnsi="Calibri"/>
                <w:sz w:val="18"/>
                <w:szCs w:val="18"/>
                <w:color w:val="auto"/>
              </w:rPr>
              <w:t>7.1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Calibri" w:cs="Calibri" w:eastAsia="Calibri" w:hAnsi="Calibri"/>
                <w:sz w:val="18"/>
                <w:szCs w:val="18"/>
                <w:color w:val="auto"/>
              </w:rPr>
              <w:t>Country Club Plaza, Kansas City, Missouri</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06-28-2024</w:t>
            </w:r>
          </w:p>
        </w:tc>
        <w:tc>
          <w:tcPr>
            <w:tcW w:w="320" w:type="dxa"/>
            <w:vAlign w:val="bottom"/>
          </w:tcPr>
          <w:p>
            <w:pPr>
              <w:jc w:val="right"/>
              <w:ind w:right="48"/>
              <w:spacing w:after="0"/>
              <w:rPr>
                <w:sz w:val="20"/>
                <w:szCs w:val="20"/>
                <w:color w:val="auto"/>
              </w:rPr>
            </w:pPr>
            <w:r>
              <w:rPr>
                <w:rFonts w:ascii="Calibri" w:cs="Calibri" w:eastAsia="Calibri" w:hAnsi="Calibri"/>
                <w:sz w:val="14"/>
                <w:szCs w:val="14"/>
                <w:color w:val="auto"/>
              </w:rPr>
              <w:t>(c)</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175.6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147.7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Calibri" w:cs="Calibri" w:eastAsia="Calibri" w:hAnsi="Calibri"/>
                <w:sz w:val="18"/>
                <w:szCs w:val="18"/>
                <w:color w:val="auto"/>
              </w:rPr>
              <w:t>147.7</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5140" w:type="dxa"/>
            <w:vAlign w:val="bottom"/>
            <w:gridSpan w:val="3"/>
          </w:tcPr>
          <w:p>
            <w:pPr>
              <w:ind w:left="240"/>
              <w:spacing w:after="0"/>
              <w:rPr>
                <w:sz w:val="20"/>
                <w:szCs w:val="20"/>
                <w:color w:val="auto"/>
              </w:rPr>
            </w:pPr>
            <w:r>
              <w:rPr>
                <w:rFonts w:ascii="Calibri" w:cs="Calibri" w:eastAsia="Calibri" w:hAnsi="Calibri"/>
                <w:sz w:val="18"/>
                <w:szCs w:val="18"/>
                <w:b w:val="1"/>
                <w:bCs w:val="1"/>
                <w:color w:val="auto"/>
              </w:rPr>
              <w:t>Subtotal</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1,005.5</w:t>
            </w:r>
          </w:p>
        </w:tc>
        <w:tc>
          <w:tcPr>
            <w:tcW w:w="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941.6</w:t>
            </w:r>
          </w:p>
        </w:tc>
        <w:tc>
          <w:tcPr>
            <w:tcW w:w="6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Calibri" w:cs="Calibri" w:eastAsia="Calibri" w:hAnsi="Calibri"/>
                <w:sz w:val="18"/>
                <w:szCs w:val="18"/>
                <w:color w:val="auto"/>
              </w:rPr>
              <w:t>$</w:t>
            </w:r>
          </w:p>
        </w:tc>
        <w:tc>
          <w:tcPr>
            <w:tcW w:w="940" w:type="dxa"/>
            <w:vAlign w:val="bottom"/>
            <w:gridSpan w:val="2"/>
          </w:tcPr>
          <w:p>
            <w:pPr>
              <w:jc w:val="right"/>
              <w:spacing w:after="0"/>
              <w:rPr>
                <w:sz w:val="20"/>
                <w:szCs w:val="20"/>
                <w:color w:val="auto"/>
              </w:rPr>
            </w:pPr>
            <w:r>
              <w:rPr>
                <w:rFonts w:ascii="Calibri" w:cs="Calibri" w:eastAsia="Calibri" w:hAnsi="Calibri"/>
                <w:sz w:val="18"/>
                <w:szCs w:val="18"/>
                <w:color w:val="auto"/>
              </w:rPr>
              <w:t>652.7</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5140" w:type="dxa"/>
            <w:vAlign w:val="bottom"/>
            <w:gridSpan w:val="3"/>
          </w:tcPr>
          <w:p>
            <w:pPr>
              <w:spacing w:after="0"/>
              <w:rPr>
                <w:sz w:val="20"/>
                <w:szCs w:val="20"/>
                <w:color w:val="auto"/>
              </w:rPr>
            </w:pPr>
            <w:r>
              <w:rPr>
                <w:rFonts w:ascii="Calibri" w:cs="Calibri" w:eastAsia="Calibri" w:hAnsi="Calibri"/>
                <w:sz w:val="18"/>
                <w:szCs w:val="18"/>
                <w:color w:val="auto"/>
              </w:rPr>
              <w:t>Various land parcels (undepreciated asset sales), including separate</w:t>
            </w: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140" w:type="dxa"/>
            <w:vAlign w:val="bottom"/>
            <w:gridSpan w:val="3"/>
          </w:tcPr>
          <w:p>
            <w:pPr>
              <w:spacing w:after="0" w:line="215" w:lineRule="exact"/>
              <w:rPr>
                <w:sz w:val="20"/>
                <w:szCs w:val="20"/>
                <w:color w:val="auto"/>
              </w:rPr>
            </w:pPr>
            <w:r>
              <w:rPr>
                <w:rFonts w:ascii="Calibri" w:cs="Calibri" w:eastAsia="Calibri" w:hAnsi="Calibri"/>
                <w:sz w:val="18"/>
                <w:szCs w:val="18"/>
                <w:color w:val="auto"/>
              </w:rPr>
              <w:t>transactons with certain joint venture partners:</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Calibri" w:cs="Calibri" w:eastAsia="Calibri" w:hAnsi="Calibri"/>
                <w:sz w:val="18"/>
                <w:szCs w:val="18"/>
                <w:color w:val="auto"/>
              </w:rPr>
              <w:t>For the three months ended March 31, 2026</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2026</w:t>
            </w:r>
          </w:p>
        </w:tc>
        <w:tc>
          <w:tcPr>
            <w:tcW w:w="320" w:type="dxa"/>
            <w:vAlign w:val="bottom"/>
          </w:tcPr>
          <w:p>
            <w:pPr>
              <w:jc w:val="right"/>
              <w:ind w:right="28"/>
              <w:spacing w:after="0"/>
              <w:rPr>
                <w:sz w:val="20"/>
                <w:szCs w:val="20"/>
                <w:color w:val="auto"/>
              </w:rPr>
            </w:pPr>
            <w:r>
              <w:rPr>
                <w:rFonts w:ascii="Calibri" w:cs="Calibri" w:eastAsia="Calibri" w:hAnsi="Calibri"/>
                <w:sz w:val="14"/>
                <w:szCs w:val="14"/>
                <w:color w:val="auto"/>
              </w:rPr>
              <w:t>(d)</w:t>
            </w:r>
          </w:p>
        </w:tc>
        <w:tc>
          <w:tcPr>
            <w:tcW w:w="1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13.0</w:t>
            </w:r>
          </w:p>
        </w:tc>
        <w:tc>
          <w:tcPr>
            <w:tcW w:w="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13.0</w:t>
            </w:r>
          </w:p>
        </w:tc>
        <w:tc>
          <w:tcPr>
            <w:tcW w:w="6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Calibri" w:cs="Calibri" w:eastAsia="Calibri" w:hAnsi="Calibri"/>
                <w:sz w:val="18"/>
                <w:szCs w:val="18"/>
                <w:color w:val="auto"/>
              </w:rPr>
              <w:t>$</w:t>
            </w:r>
          </w:p>
        </w:tc>
        <w:tc>
          <w:tcPr>
            <w:tcW w:w="6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gridSpan w:val="3"/>
          </w:tcPr>
          <w:p>
            <w:pPr>
              <w:spacing w:after="0"/>
              <w:rPr>
                <w:sz w:val="20"/>
                <w:szCs w:val="20"/>
                <w:color w:val="auto"/>
              </w:rPr>
            </w:pPr>
            <w:r>
              <w:rPr>
                <w:rFonts w:ascii="Calibri" w:cs="Calibri" w:eastAsia="Calibri" w:hAnsi="Calibri"/>
                <w:sz w:val="18"/>
                <w:szCs w:val="18"/>
                <w:color w:val="auto"/>
              </w:rPr>
              <w:t>For the twelve months ending December 31, 2025</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2025</w:t>
            </w:r>
          </w:p>
        </w:tc>
        <w:tc>
          <w:tcPr>
            <w:tcW w:w="320" w:type="dxa"/>
            <w:vAlign w:val="bottom"/>
          </w:tcPr>
          <w:p>
            <w:pPr>
              <w:jc w:val="right"/>
              <w:ind w:right="28"/>
              <w:spacing w:after="0"/>
              <w:rPr>
                <w:sz w:val="20"/>
                <w:szCs w:val="20"/>
                <w:color w:val="auto"/>
              </w:rPr>
            </w:pPr>
            <w:r>
              <w:rPr>
                <w:rFonts w:ascii="Calibri" w:cs="Calibri" w:eastAsia="Calibri" w:hAnsi="Calibri"/>
                <w:sz w:val="14"/>
                <w:szCs w:val="14"/>
                <w:color w:val="auto"/>
              </w:rPr>
              <w:t>(d)</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38.1</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19.5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5140" w:type="dxa"/>
            <w:vAlign w:val="bottom"/>
            <w:gridSpan w:val="3"/>
          </w:tcPr>
          <w:p>
            <w:pPr>
              <w:spacing w:after="0"/>
              <w:rPr>
                <w:sz w:val="20"/>
                <w:szCs w:val="20"/>
                <w:color w:val="auto"/>
              </w:rPr>
            </w:pPr>
            <w:r>
              <w:rPr>
                <w:rFonts w:ascii="Calibri" w:cs="Calibri" w:eastAsia="Calibri" w:hAnsi="Calibri"/>
                <w:sz w:val="18"/>
                <w:szCs w:val="18"/>
                <w:color w:val="auto"/>
              </w:rPr>
              <w:t>For the twelve months ending December 31, 2024</w:t>
            </w:r>
          </w:p>
        </w:tc>
        <w:tc>
          <w:tcPr>
            <w:tcW w:w="960" w:type="dxa"/>
            <w:vAlign w:val="bottom"/>
          </w:tcPr>
          <w:p>
            <w:pPr>
              <w:jc w:val="right"/>
              <w:spacing w:after="0"/>
              <w:rPr>
                <w:sz w:val="20"/>
                <w:szCs w:val="20"/>
                <w:color w:val="auto"/>
              </w:rPr>
            </w:pPr>
            <w:r>
              <w:rPr>
                <w:rFonts w:ascii="Calibri" w:cs="Calibri" w:eastAsia="Calibri" w:hAnsi="Calibri"/>
                <w:sz w:val="18"/>
                <w:szCs w:val="18"/>
                <w:color w:val="auto"/>
              </w:rPr>
              <w:t>2024</w:t>
            </w:r>
          </w:p>
        </w:tc>
        <w:tc>
          <w:tcPr>
            <w:tcW w:w="320" w:type="dxa"/>
            <w:vAlign w:val="bottom"/>
          </w:tcPr>
          <w:p>
            <w:pPr>
              <w:jc w:val="right"/>
              <w:ind w:right="28"/>
              <w:spacing w:after="0"/>
              <w:rPr>
                <w:sz w:val="20"/>
                <w:szCs w:val="20"/>
                <w:color w:val="auto"/>
              </w:rPr>
            </w:pPr>
            <w:r>
              <w:rPr>
                <w:rFonts w:ascii="Calibri" w:cs="Calibri" w:eastAsia="Calibri" w:hAnsi="Calibri"/>
                <w:sz w:val="14"/>
                <w:szCs w:val="14"/>
                <w:color w:val="auto"/>
              </w:rPr>
              <w:t>(d)</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36.3</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Calibri" w:cs="Calibri" w:eastAsia="Calibri" w:hAnsi="Calibri"/>
                <w:sz w:val="18"/>
                <w:szCs w:val="18"/>
                <w:color w:val="auto"/>
              </w:rPr>
              <w:t>6.3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gridSpan w:val="3"/>
          </w:tcPr>
          <w:p>
            <w:pPr>
              <w:ind w:left="240"/>
              <w:spacing w:after="0"/>
              <w:rPr>
                <w:sz w:val="20"/>
                <w:szCs w:val="20"/>
                <w:color w:val="auto"/>
              </w:rPr>
            </w:pPr>
            <w:r>
              <w:rPr>
                <w:rFonts w:ascii="Calibri" w:cs="Calibri" w:eastAsia="Calibri" w:hAnsi="Calibri"/>
                <w:sz w:val="18"/>
                <w:szCs w:val="18"/>
                <w:b w:val="1"/>
                <w:bCs w:val="1"/>
                <w:color w:val="auto"/>
              </w:rPr>
              <w:t>Subtotal</w:t>
            </w: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auto"/>
              </w:rPr>
              <w:t>87.4</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38.8</w:t>
            </w:r>
          </w:p>
        </w:tc>
        <w:tc>
          <w:tcPr>
            <w:tcW w:w="6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Calibri" w:cs="Calibri" w:eastAsia="Calibri" w:hAnsi="Calibri"/>
                <w:sz w:val="18"/>
                <w:szCs w:val="18"/>
                <w:color w:val="auto"/>
              </w:rPr>
              <w:t>$</w:t>
            </w:r>
          </w:p>
        </w:tc>
        <w:tc>
          <w:tcPr>
            <w:tcW w:w="6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418"/>
        </w:trPr>
        <w:tc>
          <w:tcPr>
            <w:tcW w:w="6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Calibri" w:cs="Calibri" w:eastAsia="Calibri" w:hAnsi="Calibri"/>
                <w:sz w:val="18"/>
                <w:szCs w:val="18"/>
                <w:b w:val="1"/>
                <w:bCs w:val="1"/>
                <w:color w:val="auto"/>
              </w:rPr>
              <w:t>Total - Asset Dispositons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1,092.9</w:t>
            </w:r>
          </w:p>
        </w:tc>
        <w:tc>
          <w:tcPr>
            <w:tcW w:w="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980.4</w:t>
            </w:r>
          </w:p>
        </w:tc>
        <w:tc>
          <w:tcPr>
            <w:tcW w:w="6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Calibri" w:cs="Calibri" w:eastAsia="Calibri" w:hAnsi="Calibri"/>
                <w:sz w:val="18"/>
                <w:szCs w:val="18"/>
                <w:color w:val="auto"/>
              </w:rPr>
              <w:t>$</w:t>
            </w:r>
          </w:p>
        </w:tc>
        <w:tc>
          <w:tcPr>
            <w:tcW w:w="940" w:type="dxa"/>
            <w:vAlign w:val="bottom"/>
            <w:gridSpan w:val="2"/>
          </w:tcPr>
          <w:p>
            <w:pPr>
              <w:jc w:val="right"/>
              <w:spacing w:after="0"/>
              <w:rPr>
                <w:sz w:val="20"/>
                <w:szCs w:val="20"/>
                <w:color w:val="auto"/>
              </w:rPr>
            </w:pPr>
            <w:r>
              <w:rPr>
                <w:rFonts w:ascii="Calibri" w:cs="Calibri" w:eastAsia="Calibri" w:hAnsi="Calibri"/>
                <w:sz w:val="18"/>
                <w:szCs w:val="18"/>
                <w:color w:val="auto"/>
              </w:rPr>
              <w:t>652.7</w:t>
            </w: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74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F5F5F5"/>
          </w:tcPr>
          <w:p>
            <w:pPr>
              <w:spacing w:after="0"/>
              <w:rPr>
                <w:sz w:val="22"/>
                <w:szCs w:val="22"/>
                <w:color w:val="auto"/>
              </w:rPr>
            </w:pPr>
          </w:p>
        </w:tc>
        <w:tc>
          <w:tcPr>
            <w:tcW w:w="5140" w:type="dxa"/>
            <w:vAlign w:val="bottom"/>
            <w:gridSpan w:val="3"/>
            <w:shd w:val="clear" w:color="auto" w:fill="F5F5F5"/>
          </w:tcPr>
          <w:p>
            <w:pPr>
              <w:spacing w:after="0"/>
              <w:rPr>
                <w:sz w:val="20"/>
                <w:szCs w:val="20"/>
                <w:color w:val="auto"/>
              </w:rPr>
            </w:pPr>
            <w:r>
              <w:rPr>
                <w:rFonts w:ascii="Calibri" w:cs="Calibri" w:eastAsia="Calibri" w:hAnsi="Calibri"/>
                <w:sz w:val="18"/>
                <w:szCs w:val="18"/>
                <w:b w:val="1"/>
                <w:bCs w:val="1"/>
                <w:color w:val="auto"/>
              </w:rPr>
              <w:t>II. Loan Give-Backs</w:t>
            </w:r>
          </w:p>
        </w:tc>
        <w:tc>
          <w:tcPr>
            <w:tcW w:w="960" w:type="dxa"/>
            <w:vAlign w:val="bottom"/>
            <w:shd w:val="clear" w:color="auto" w:fill="F5F5F5"/>
          </w:tcPr>
          <w:p>
            <w:pPr>
              <w:spacing w:after="0"/>
              <w:rPr>
                <w:sz w:val="22"/>
                <w:szCs w:val="22"/>
                <w:color w:val="auto"/>
              </w:rPr>
            </w:pPr>
          </w:p>
        </w:tc>
        <w:tc>
          <w:tcPr>
            <w:tcW w:w="320" w:type="dxa"/>
            <w:vAlign w:val="bottom"/>
            <w:shd w:val="clear" w:color="auto" w:fill="F5F5F5"/>
          </w:tcPr>
          <w:p>
            <w:pPr>
              <w:spacing w:after="0"/>
              <w:rPr>
                <w:sz w:val="22"/>
                <w:szCs w:val="22"/>
                <w:color w:val="auto"/>
              </w:rPr>
            </w:pPr>
          </w:p>
        </w:tc>
        <w:tc>
          <w:tcPr>
            <w:tcW w:w="140" w:type="dxa"/>
            <w:vAlign w:val="bottom"/>
            <w:shd w:val="clear" w:color="auto" w:fill="F5F5F5"/>
          </w:tcPr>
          <w:p>
            <w:pPr>
              <w:spacing w:after="0"/>
              <w:rPr>
                <w:sz w:val="22"/>
                <w:szCs w:val="22"/>
                <w:color w:val="auto"/>
              </w:rPr>
            </w:pPr>
          </w:p>
        </w:tc>
        <w:tc>
          <w:tcPr>
            <w:tcW w:w="820" w:type="dxa"/>
            <w:vAlign w:val="bottom"/>
            <w:shd w:val="clear" w:color="auto" w:fill="F5F5F5"/>
          </w:tcPr>
          <w:p>
            <w:pPr>
              <w:spacing w:after="0"/>
              <w:rPr>
                <w:sz w:val="22"/>
                <w:szCs w:val="22"/>
                <w:color w:val="auto"/>
              </w:rPr>
            </w:pPr>
          </w:p>
        </w:tc>
        <w:tc>
          <w:tcPr>
            <w:tcW w:w="40" w:type="dxa"/>
            <w:vAlign w:val="bottom"/>
            <w:shd w:val="clear" w:color="auto" w:fill="F5F5F5"/>
          </w:tcPr>
          <w:p>
            <w:pPr>
              <w:spacing w:after="0"/>
              <w:rPr>
                <w:sz w:val="22"/>
                <w:szCs w:val="22"/>
                <w:color w:val="auto"/>
              </w:rPr>
            </w:pPr>
          </w:p>
        </w:tc>
        <w:tc>
          <w:tcPr>
            <w:tcW w:w="180" w:type="dxa"/>
            <w:vAlign w:val="bottom"/>
            <w:shd w:val="clear" w:color="auto" w:fill="F5F5F5"/>
          </w:tcPr>
          <w:p>
            <w:pPr>
              <w:spacing w:after="0"/>
              <w:rPr>
                <w:sz w:val="22"/>
                <w:szCs w:val="22"/>
                <w:color w:val="auto"/>
              </w:rPr>
            </w:pPr>
          </w:p>
        </w:tc>
        <w:tc>
          <w:tcPr>
            <w:tcW w:w="680" w:type="dxa"/>
            <w:vAlign w:val="bottom"/>
            <w:shd w:val="clear" w:color="auto" w:fill="F5F5F5"/>
          </w:tcPr>
          <w:p>
            <w:pPr>
              <w:spacing w:after="0"/>
              <w:rPr>
                <w:sz w:val="22"/>
                <w:szCs w:val="22"/>
                <w:color w:val="auto"/>
              </w:rPr>
            </w:pPr>
          </w:p>
        </w:tc>
        <w:tc>
          <w:tcPr>
            <w:tcW w:w="320" w:type="dxa"/>
            <w:vAlign w:val="bottom"/>
            <w:shd w:val="clear" w:color="auto" w:fill="F5F5F5"/>
          </w:tcPr>
          <w:p>
            <w:pPr>
              <w:spacing w:after="0"/>
              <w:rPr>
                <w:sz w:val="22"/>
                <w:szCs w:val="22"/>
                <w:color w:val="auto"/>
              </w:rPr>
            </w:pPr>
          </w:p>
        </w:tc>
        <w:tc>
          <w:tcPr>
            <w:tcW w:w="60" w:type="dxa"/>
            <w:vAlign w:val="bottom"/>
            <w:shd w:val="clear" w:color="auto" w:fill="F5F5F5"/>
          </w:tcPr>
          <w:p>
            <w:pPr>
              <w:spacing w:after="0"/>
              <w:rPr>
                <w:sz w:val="22"/>
                <w:szCs w:val="22"/>
                <w:color w:val="auto"/>
              </w:rPr>
            </w:pPr>
          </w:p>
        </w:tc>
        <w:tc>
          <w:tcPr>
            <w:tcW w:w="240" w:type="dxa"/>
            <w:vAlign w:val="bottom"/>
            <w:shd w:val="clear" w:color="auto" w:fill="F5F5F5"/>
          </w:tcPr>
          <w:p>
            <w:pPr>
              <w:spacing w:after="0"/>
              <w:rPr>
                <w:sz w:val="22"/>
                <w:szCs w:val="22"/>
                <w:color w:val="auto"/>
              </w:rPr>
            </w:pPr>
          </w:p>
        </w:tc>
        <w:tc>
          <w:tcPr>
            <w:tcW w:w="640" w:type="dxa"/>
            <w:vAlign w:val="bottom"/>
            <w:shd w:val="clear" w:color="auto" w:fill="F5F5F5"/>
          </w:tcPr>
          <w:p>
            <w:pPr>
              <w:spacing w:after="0"/>
              <w:rPr>
                <w:sz w:val="22"/>
                <w:szCs w:val="22"/>
                <w:color w:val="auto"/>
              </w:rPr>
            </w:pPr>
          </w:p>
        </w:tc>
        <w:tc>
          <w:tcPr>
            <w:tcW w:w="300" w:type="dxa"/>
            <w:vAlign w:val="bottom"/>
            <w:shd w:val="clear" w:color="auto" w:fill="F5F5F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40" w:type="dxa"/>
            <w:vAlign w:val="bottom"/>
            <w:gridSpan w:val="3"/>
          </w:tcPr>
          <w:p>
            <w:pPr>
              <w:spacing w:after="0"/>
              <w:rPr>
                <w:sz w:val="20"/>
                <w:szCs w:val="20"/>
                <w:color w:val="auto"/>
              </w:rPr>
            </w:pPr>
            <w:r>
              <w:rPr>
                <w:rFonts w:ascii="Calibri" w:cs="Calibri" w:eastAsia="Calibri" w:hAnsi="Calibri"/>
                <w:sz w:val="18"/>
                <w:szCs w:val="18"/>
                <w:color w:val="auto"/>
              </w:rPr>
              <w:t>Santa Monica Place, Santa Monica, California</w:t>
            </w:r>
          </w:p>
        </w:tc>
        <w:tc>
          <w:tcPr>
            <w:tcW w:w="1280" w:type="dxa"/>
            <w:vAlign w:val="bottom"/>
            <w:gridSpan w:val="2"/>
          </w:tcPr>
          <w:p>
            <w:pPr>
              <w:jc w:val="right"/>
              <w:ind w:right="48"/>
              <w:spacing w:after="0"/>
              <w:rPr>
                <w:sz w:val="20"/>
                <w:szCs w:val="20"/>
                <w:color w:val="auto"/>
              </w:rPr>
            </w:pPr>
            <w:r>
              <w:rPr>
                <w:rFonts w:ascii="Calibri" w:cs="Calibri" w:eastAsia="Calibri" w:hAnsi="Calibri"/>
                <w:sz w:val="18"/>
                <w:szCs w:val="18"/>
                <w:color w:val="auto"/>
              </w:rPr>
              <w:t xml:space="preserve">Pending </w:t>
            </w:r>
            <w:r>
              <w:rPr>
                <w:rFonts w:ascii="Calibri" w:cs="Calibri" w:eastAsia="Calibri" w:hAnsi="Calibri"/>
                <w:sz w:val="14"/>
                <w:szCs w:val="14"/>
                <w:color w:val="auto"/>
              </w:rPr>
              <w:t>(e)</w:t>
            </w:r>
          </w:p>
        </w:tc>
        <w:tc>
          <w:tcPr>
            <w:tcW w:w="1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300.0</w:t>
            </w:r>
          </w:p>
        </w:tc>
        <w:tc>
          <w:tcPr>
            <w:tcW w:w="4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300.0</w:t>
            </w:r>
          </w:p>
        </w:tc>
        <w:tc>
          <w:tcPr>
            <w:tcW w:w="6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Calibri" w:cs="Calibri" w:eastAsia="Calibri" w:hAnsi="Calibri"/>
                <w:sz w:val="18"/>
                <w:szCs w:val="18"/>
                <w:color w:val="auto"/>
              </w:rPr>
              <w:t>$</w:t>
            </w:r>
          </w:p>
        </w:tc>
        <w:tc>
          <w:tcPr>
            <w:tcW w:w="940" w:type="dxa"/>
            <w:vAlign w:val="bottom"/>
            <w:gridSpan w:val="2"/>
          </w:tcPr>
          <w:p>
            <w:pPr>
              <w:jc w:val="right"/>
              <w:spacing w:after="0"/>
              <w:rPr>
                <w:sz w:val="20"/>
                <w:szCs w:val="20"/>
                <w:color w:val="auto"/>
              </w:rPr>
            </w:pPr>
            <w:r>
              <w:rPr>
                <w:rFonts w:ascii="Calibri" w:cs="Calibri" w:eastAsia="Calibri" w:hAnsi="Calibri"/>
                <w:sz w:val="18"/>
                <w:szCs w:val="18"/>
                <w:color w:val="auto"/>
              </w:rPr>
              <w:t>300.0</w:t>
            </w:r>
          </w:p>
        </w:tc>
        <w:tc>
          <w:tcPr>
            <w:tcW w:w="0" w:type="dxa"/>
            <w:vAlign w:val="bottom"/>
          </w:tcPr>
          <w:p>
            <w:pPr>
              <w:spacing w:after="0"/>
              <w:rPr>
                <w:sz w:val="1"/>
                <w:szCs w:val="1"/>
                <w:color w:val="auto"/>
              </w:rPr>
            </w:pPr>
          </w:p>
        </w:tc>
      </w:tr>
      <w:tr>
        <w:trPr>
          <w:trHeight w:val="368"/>
        </w:trPr>
        <w:tc>
          <w:tcPr>
            <w:tcW w:w="6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Calibri" w:cs="Calibri" w:eastAsia="Calibri" w:hAnsi="Calibri"/>
                <w:sz w:val="18"/>
                <w:szCs w:val="18"/>
                <w:b w:val="1"/>
                <w:bCs w:val="1"/>
                <w:color w:val="auto"/>
              </w:rPr>
              <w:t>Total - Loan Give-Backs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rPr>
                <w:sz w:val="20"/>
                <w:szCs w:val="20"/>
                <w:color w:val="auto"/>
              </w:rPr>
            </w:pPr>
            <w:r>
              <w:rPr>
                <w:rFonts w:ascii="Calibri" w:cs="Calibri" w:eastAsia="Calibri" w:hAnsi="Calibri"/>
                <w:sz w:val="18"/>
                <w:szCs w:val="18"/>
                <w:color w:val="auto"/>
              </w:rPr>
              <w:t>300.0</w:t>
            </w:r>
          </w:p>
        </w:tc>
        <w:tc>
          <w:tcPr>
            <w:tcW w:w="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spacing w:after="0"/>
              <w:rPr>
                <w:sz w:val="20"/>
                <w:szCs w:val="20"/>
                <w:color w:val="auto"/>
              </w:rPr>
            </w:pPr>
            <w:r>
              <w:rPr>
                <w:rFonts w:ascii="Calibri" w:cs="Calibri" w:eastAsia="Calibri" w:hAnsi="Calibri"/>
                <w:sz w:val="18"/>
                <w:szCs w:val="18"/>
                <w:color w:val="auto"/>
              </w:rPr>
              <w:t>300.0</w:t>
            </w:r>
          </w:p>
        </w:tc>
        <w:tc>
          <w:tcPr>
            <w:tcW w:w="6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Calibri" w:cs="Calibri" w:eastAsia="Calibri" w:hAnsi="Calibri"/>
                <w:sz w:val="18"/>
                <w:szCs w:val="18"/>
                <w:color w:val="auto"/>
              </w:rPr>
              <w:t>$</w:t>
            </w:r>
          </w:p>
        </w:tc>
        <w:tc>
          <w:tcPr>
            <w:tcW w:w="940" w:type="dxa"/>
            <w:vAlign w:val="bottom"/>
            <w:gridSpan w:val="2"/>
          </w:tcPr>
          <w:p>
            <w:pPr>
              <w:jc w:val="right"/>
              <w:spacing w:after="0"/>
              <w:rPr>
                <w:sz w:val="20"/>
                <w:szCs w:val="20"/>
                <w:color w:val="auto"/>
              </w:rPr>
            </w:pPr>
            <w:r>
              <w:rPr>
                <w:rFonts w:ascii="Calibri" w:cs="Calibri" w:eastAsia="Calibri" w:hAnsi="Calibri"/>
                <w:sz w:val="18"/>
                <w:szCs w:val="18"/>
                <w:color w:val="auto"/>
              </w:rPr>
              <w:t>300.0</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60" w:type="dxa"/>
            <w:vAlign w:val="bottom"/>
            <w:shd w:val="clear" w:color="auto" w:fill="F5F5F5"/>
          </w:tcPr>
          <w:p>
            <w:pPr>
              <w:spacing w:after="0"/>
              <w:rPr>
                <w:sz w:val="22"/>
                <w:szCs w:val="22"/>
                <w:color w:val="auto"/>
              </w:rPr>
            </w:pPr>
          </w:p>
        </w:tc>
        <w:tc>
          <w:tcPr>
            <w:tcW w:w="5140" w:type="dxa"/>
            <w:vAlign w:val="bottom"/>
            <w:gridSpan w:val="3"/>
            <w:shd w:val="clear" w:color="auto" w:fill="F5F5F5"/>
          </w:tcPr>
          <w:p>
            <w:pPr>
              <w:spacing w:after="0"/>
              <w:rPr>
                <w:sz w:val="20"/>
                <w:szCs w:val="20"/>
                <w:color w:val="auto"/>
              </w:rPr>
            </w:pPr>
            <w:r>
              <w:rPr>
                <w:rFonts w:ascii="Calibri" w:cs="Calibri" w:eastAsia="Calibri" w:hAnsi="Calibri"/>
                <w:sz w:val="18"/>
                <w:szCs w:val="18"/>
                <w:b w:val="1"/>
                <w:bCs w:val="1"/>
                <w:color w:val="auto"/>
              </w:rPr>
              <w:t>Grand Total - Asset Dispositons/Loan Give-Backs (f)</w:t>
            </w:r>
          </w:p>
        </w:tc>
        <w:tc>
          <w:tcPr>
            <w:tcW w:w="960" w:type="dxa"/>
            <w:vAlign w:val="bottom"/>
            <w:shd w:val="clear" w:color="auto" w:fill="F5F5F5"/>
          </w:tcPr>
          <w:p>
            <w:pPr>
              <w:spacing w:after="0"/>
              <w:rPr>
                <w:sz w:val="22"/>
                <w:szCs w:val="22"/>
                <w:color w:val="auto"/>
              </w:rPr>
            </w:pPr>
          </w:p>
        </w:tc>
        <w:tc>
          <w:tcPr>
            <w:tcW w:w="320" w:type="dxa"/>
            <w:vAlign w:val="bottom"/>
            <w:shd w:val="clear" w:color="auto" w:fill="F5F5F5"/>
          </w:tcPr>
          <w:p>
            <w:pPr>
              <w:spacing w:after="0"/>
              <w:rPr>
                <w:sz w:val="22"/>
                <w:szCs w:val="22"/>
                <w:color w:val="auto"/>
              </w:rPr>
            </w:pPr>
          </w:p>
        </w:tc>
        <w:tc>
          <w:tcPr>
            <w:tcW w:w="140" w:type="dxa"/>
            <w:vAlign w:val="bottom"/>
            <w:shd w:val="clear" w:color="auto" w:fill="F5F5F5"/>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F5F5F5"/>
          </w:tcPr>
          <w:p>
            <w:pPr>
              <w:jc w:val="right"/>
              <w:spacing w:after="0"/>
              <w:rPr>
                <w:sz w:val="20"/>
                <w:szCs w:val="20"/>
                <w:color w:val="auto"/>
              </w:rPr>
            </w:pPr>
            <w:r>
              <w:rPr>
                <w:rFonts w:ascii="Calibri" w:cs="Calibri" w:eastAsia="Calibri" w:hAnsi="Calibri"/>
                <w:sz w:val="18"/>
                <w:szCs w:val="18"/>
                <w:color w:val="auto"/>
              </w:rPr>
              <w:t>1,392.9</w:t>
            </w:r>
          </w:p>
        </w:tc>
        <w:tc>
          <w:tcPr>
            <w:tcW w:w="40" w:type="dxa"/>
            <w:vAlign w:val="bottom"/>
            <w:shd w:val="clear" w:color="auto" w:fill="F5F5F5"/>
          </w:tcPr>
          <w:p>
            <w:pPr>
              <w:spacing w:after="0"/>
              <w:rPr>
                <w:sz w:val="22"/>
                <w:szCs w:val="22"/>
                <w:color w:val="auto"/>
              </w:rPr>
            </w:pPr>
          </w:p>
        </w:tc>
        <w:tc>
          <w:tcPr>
            <w:tcW w:w="180" w:type="dxa"/>
            <w:vAlign w:val="bottom"/>
            <w:shd w:val="clear" w:color="auto" w:fill="F5F5F5"/>
          </w:tcPr>
          <w:p>
            <w:pPr>
              <w:ind w:left="60"/>
              <w:spacing w:after="0"/>
              <w:rPr>
                <w:sz w:val="20"/>
                <w:szCs w:val="20"/>
                <w:color w:val="auto"/>
              </w:rPr>
            </w:pPr>
            <w:r>
              <w:rPr>
                <w:rFonts w:ascii="Calibri" w:cs="Calibri" w:eastAsia="Calibri" w:hAnsi="Calibri"/>
                <w:sz w:val="18"/>
                <w:szCs w:val="18"/>
                <w:color w:val="auto"/>
              </w:rPr>
              <w:t>$</w:t>
            </w:r>
          </w:p>
        </w:tc>
        <w:tc>
          <w:tcPr>
            <w:tcW w:w="1000" w:type="dxa"/>
            <w:vAlign w:val="bottom"/>
            <w:gridSpan w:val="2"/>
            <w:shd w:val="clear" w:color="auto" w:fill="F5F5F5"/>
          </w:tcPr>
          <w:p>
            <w:pPr>
              <w:jc w:val="right"/>
              <w:spacing w:after="0"/>
              <w:rPr>
                <w:sz w:val="20"/>
                <w:szCs w:val="20"/>
                <w:color w:val="auto"/>
              </w:rPr>
            </w:pPr>
            <w:r>
              <w:rPr>
                <w:rFonts w:ascii="Calibri" w:cs="Calibri" w:eastAsia="Calibri" w:hAnsi="Calibri"/>
                <w:sz w:val="18"/>
                <w:szCs w:val="18"/>
                <w:color w:val="auto"/>
              </w:rPr>
              <w:t>1,280.4</w:t>
            </w:r>
          </w:p>
        </w:tc>
        <w:tc>
          <w:tcPr>
            <w:tcW w:w="60" w:type="dxa"/>
            <w:vAlign w:val="bottom"/>
            <w:shd w:val="clear" w:color="auto" w:fill="F5F5F5"/>
          </w:tcPr>
          <w:p>
            <w:pPr>
              <w:spacing w:after="0"/>
              <w:rPr>
                <w:sz w:val="22"/>
                <w:szCs w:val="22"/>
                <w:color w:val="auto"/>
              </w:rPr>
            </w:pPr>
          </w:p>
        </w:tc>
        <w:tc>
          <w:tcPr>
            <w:tcW w:w="240" w:type="dxa"/>
            <w:vAlign w:val="bottom"/>
            <w:shd w:val="clear" w:color="auto" w:fill="F5F5F5"/>
          </w:tcPr>
          <w:p>
            <w:pPr>
              <w:ind w:left="40"/>
              <w:spacing w:after="0"/>
              <w:rPr>
                <w:sz w:val="20"/>
                <w:szCs w:val="20"/>
                <w:color w:val="auto"/>
              </w:rPr>
            </w:pPr>
            <w:r>
              <w:rPr>
                <w:rFonts w:ascii="Calibri" w:cs="Calibri" w:eastAsia="Calibri" w:hAnsi="Calibri"/>
                <w:sz w:val="18"/>
                <w:szCs w:val="18"/>
                <w:color w:val="auto"/>
              </w:rPr>
              <w:t>$</w:t>
            </w:r>
          </w:p>
        </w:tc>
        <w:tc>
          <w:tcPr>
            <w:tcW w:w="940" w:type="dxa"/>
            <w:vAlign w:val="bottom"/>
            <w:gridSpan w:val="2"/>
            <w:shd w:val="clear" w:color="auto" w:fill="F5F5F5"/>
          </w:tcPr>
          <w:p>
            <w:pPr>
              <w:jc w:val="right"/>
              <w:spacing w:after="0"/>
              <w:rPr>
                <w:sz w:val="20"/>
                <w:szCs w:val="20"/>
                <w:color w:val="auto"/>
              </w:rPr>
            </w:pPr>
            <w:r>
              <w:rPr>
                <w:rFonts w:ascii="Calibri" w:cs="Calibri" w:eastAsia="Calibri" w:hAnsi="Calibri"/>
                <w:sz w:val="18"/>
                <w:szCs w:val="18"/>
                <w:color w:val="auto"/>
              </w:rPr>
              <w:t>952.7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-3693795</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48" w:lineRule="exact"/>
        <w:rPr>
          <w:sz w:val="20"/>
          <w:szCs w:val="20"/>
          <w:color w:val="auto"/>
        </w:rPr>
      </w:pPr>
    </w:p>
    <w:p>
      <w:pPr>
        <w:ind w:left="340" w:hanging="333"/>
        <w:spacing w:after="0"/>
        <w:tabs>
          <w:tab w:leader="none" w:pos="34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The Company sold its 5% joint venture partnership interest in the property.</w:t>
      </w:r>
    </w:p>
    <w:p>
      <w:pPr>
        <w:ind w:left="340" w:hanging="333"/>
        <w:spacing w:after="0" w:line="227" w:lineRule="auto"/>
        <w:tabs>
          <w:tab w:leader="none" w:pos="34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The Company sold its 50% joint venture partnership interest in the property.</w:t>
      </w:r>
    </w:p>
    <w:p>
      <w:pPr>
        <w:spacing w:after="0" w:line="5" w:lineRule="exact"/>
        <w:rPr>
          <w:rFonts w:ascii="Calibri" w:cs="Calibri" w:eastAsia="Calibri" w:hAnsi="Calibri"/>
          <w:sz w:val="14"/>
          <w:szCs w:val="14"/>
          <w:color w:val="auto"/>
        </w:rPr>
      </w:pPr>
    </w:p>
    <w:p>
      <w:pPr>
        <w:ind w:left="340" w:right="60" w:hanging="333"/>
        <w:spacing w:after="0" w:line="245" w:lineRule="auto"/>
        <w:tabs>
          <w:tab w:leader="none" w:pos="34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The total sales price for Country Club Plaza was $175.6 million. Concurrent with the sale, the remaining amount owed by the joint venture under the $295.5 million loan ($147.7 million at the Company's share) was forgiven by the lender.</w:t>
      </w:r>
    </w:p>
    <w:p>
      <w:pPr>
        <w:spacing w:after="0" w:line="1" w:lineRule="exact"/>
        <w:rPr>
          <w:rFonts w:ascii="Calibri" w:cs="Calibri" w:eastAsia="Calibri" w:hAnsi="Calibri"/>
          <w:sz w:val="14"/>
          <w:szCs w:val="14"/>
          <w:color w:val="auto"/>
        </w:rPr>
      </w:pPr>
    </w:p>
    <w:p>
      <w:pPr>
        <w:ind w:left="340" w:hanging="333"/>
        <w:spacing w:after="0"/>
        <w:tabs>
          <w:tab w:leader="none" w:pos="34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These represent sales of undepreciated assets and the Company includes any gains or losses from these t</w:t>
      </w:r>
      <w:r>
        <w:rPr>
          <w:rFonts w:ascii="Calibri" w:cs="Calibri" w:eastAsia="Calibri" w:hAnsi="Calibri"/>
          <w:sz w:val="14"/>
          <w:szCs w:val="14"/>
          <w:color w:val="auto"/>
          <w:strike w:val="1"/>
        </w:rPr>
        <w:t>ransactons in FF</w:t>
      </w:r>
      <w:r>
        <w:rPr>
          <w:rFonts w:ascii="Calibri" w:cs="Calibri" w:eastAsia="Calibri" w:hAnsi="Calibri"/>
          <w:sz w:val="14"/>
          <w:szCs w:val="14"/>
          <w:color w:val="auto"/>
        </w:rPr>
        <w:t>O.</w:t>
      </w:r>
    </w:p>
    <w:p>
      <w:pPr>
        <w:spacing w:after="0" w:line="5" w:lineRule="exact"/>
        <w:rPr>
          <w:rFonts w:ascii="Calibri" w:cs="Calibri" w:eastAsia="Calibri" w:hAnsi="Calibri"/>
          <w:sz w:val="14"/>
          <w:szCs w:val="14"/>
          <w:color w:val="auto"/>
        </w:rPr>
      </w:pPr>
    </w:p>
    <w:p>
      <w:pPr>
        <w:ind w:left="340" w:right="60" w:hanging="333"/>
        <w:spacing w:after="0" w:line="233" w:lineRule="auto"/>
        <w:tabs>
          <w:tab w:leader="none" w:pos="34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For purposes of this schedule, the Company has included Santa Monica Place. The Company has complete</w:t>
      </w:r>
      <w:r>
        <w:rPr>
          <w:rFonts w:ascii="Calibri" w:cs="Calibri" w:eastAsia="Calibri" w:hAnsi="Calibri"/>
          <w:sz w:val="14"/>
          <w:szCs w:val="14"/>
          <w:u w:val="single" w:color="auto"/>
          <w:color w:val="auto"/>
        </w:rPr>
        <w:t>d transiton of t</w:t>
      </w:r>
      <w:r>
        <w:rPr>
          <w:rFonts w:ascii="Calibri" w:cs="Calibri" w:eastAsia="Calibri" w:hAnsi="Calibri"/>
          <w:sz w:val="14"/>
          <w:szCs w:val="14"/>
          <w:color w:val="auto"/>
        </w:rPr>
        <w:t>h</w:t>
      </w:r>
      <w:r>
        <w:rPr>
          <w:rFonts w:ascii="Calibri" w:cs="Calibri" w:eastAsia="Calibri" w:hAnsi="Calibri"/>
          <w:sz w:val="14"/>
          <w:szCs w:val="14"/>
          <w:u w:val="single" w:color="auto"/>
          <w:color w:val="auto"/>
        </w:rPr>
        <w:t>e property to a recei</w:t>
      </w:r>
      <w:r>
        <w:rPr>
          <w:rFonts w:ascii="Calibri" w:cs="Calibri" w:eastAsia="Calibri" w:hAnsi="Calibri"/>
          <w:sz w:val="14"/>
          <w:szCs w:val="14"/>
          <w:color w:val="auto"/>
        </w:rPr>
        <w:t>v</w:t>
      </w:r>
      <w:r>
        <w:rPr>
          <w:rFonts w:ascii="Calibri" w:cs="Calibri" w:eastAsia="Calibri" w:hAnsi="Calibri"/>
          <w:sz w:val="14"/>
          <w:szCs w:val="14"/>
          <w:u w:val="single" w:color="auto"/>
          <w:color w:val="auto"/>
        </w:rPr>
        <w:t>er but is stll owner</w:t>
      </w:r>
      <w:r>
        <w:rPr>
          <w:rFonts w:ascii="Calibri" w:cs="Calibri" w:eastAsia="Calibri" w:hAnsi="Calibri"/>
          <w:sz w:val="14"/>
          <w:szCs w:val="14"/>
          <w:color w:val="auto"/>
        </w:rPr>
        <w:t xml:space="preserve"> of record.</w:t>
      </w:r>
    </w:p>
    <w:p>
      <w:pPr>
        <w:spacing w:after="0" w:line="4" w:lineRule="exact"/>
        <w:rPr>
          <w:rFonts w:ascii="Calibri" w:cs="Calibri" w:eastAsia="Calibri" w:hAnsi="Calibri"/>
          <w:sz w:val="14"/>
          <w:szCs w:val="14"/>
          <w:color w:val="auto"/>
        </w:rPr>
      </w:pPr>
    </w:p>
    <w:p>
      <w:pPr>
        <w:ind w:left="340" w:hanging="333"/>
        <w:spacing w:after="0"/>
        <w:tabs>
          <w:tab w:leader="none" w:pos="34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For purposes of this schedule, the Company aggregated asset dispositons and loan give-backs.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The Macerich Company</w:t>
      </w:r>
    </w:p>
    <w:p>
      <w:pPr>
        <w:jc w:val="center"/>
        <w:ind w:right="80"/>
        <w:spacing w:after="0" w:line="206" w:lineRule="auto"/>
        <w:rPr>
          <w:sz w:val="20"/>
          <w:szCs w:val="20"/>
          <w:color w:val="auto"/>
        </w:rPr>
      </w:pPr>
      <w:r>
        <w:rPr>
          <w:rFonts w:ascii="Calibri" w:cs="Calibri" w:eastAsia="Calibri" w:hAnsi="Calibri"/>
          <w:sz w:val="18"/>
          <w:szCs w:val="18"/>
          <w:b w:val="1"/>
          <w:bCs w:val="1"/>
          <w:color w:val="auto"/>
        </w:rPr>
        <w:t>Supplemental Financial and Operatng Informaton (unaudited)</w:t>
      </w:r>
    </w:p>
    <w:p>
      <w:pPr>
        <w:jc w:val="center"/>
        <w:spacing w:after="0" w:line="221" w:lineRule="auto"/>
        <w:rPr>
          <w:sz w:val="20"/>
          <w:szCs w:val="20"/>
          <w:color w:val="auto"/>
        </w:rPr>
      </w:pPr>
      <w:r>
        <w:rPr>
          <w:rFonts w:ascii="Calibri" w:cs="Calibri" w:eastAsia="Calibri" w:hAnsi="Calibri"/>
          <w:sz w:val="18"/>
          <w:szCs w:val="18"/>
          <w:b w:val="1"/>
          <w:bCs w:val="1"/>
          <w:color w:val="auto"/>
        </w:rPr>
        <w:t>Operatonal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3660" w:type="dxa"/>
            <w:vAlign w:val="bottom"/>
            <w:gridSpan w:val="5"/>
          </w:tcPr>
          <w:p>
            <w:pPr>
              <w:spacing w:after="0"/>
              <w:rPr>
                <w:sz w:val="20"/>
                <w:szCs w:val="20"/>
                <w:color w:val="auto"/>
              </w:rPr>
            </w:pPr>
            <w:r>
              <w:rPr>
                <w:rFonts w:ascii="Calibri" w:cs="Calibri" w:eastAsia="Calibri" w:hAnsi="Calibri"/>
                <w:sz w:val="18"/>
                <w:szCs w:val="18"/>
                <w:b w:val="1"/>
                <w:bCs w:val="1"/>
                <w:color w:val="007681"/>
              </w:rPr>
              <w:t>Sales Per Square Foot (a)</w:t>
            </w:r>
          </w:p>
        </w:tc>
        <w:tc>
          <w:tcPr>
            <w:tcW w:w="1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94"/>
        </w:trPr>
        <w:tc>
          <w:tcPr>
            <w:tcW w:w="1340" w:type="dxa"/>
            <w:vAlign w:val="bottom"/>
            <w:tcBorders>
              <w:top w:val="single" w:sz="8" w:color="007681"/>
            </w:tcBorders>
          </w:tcPr>
          <w:p>
            <w:pPr>
              <w:spacing w:after="0"/>
              <w:rPr>
                <w:sz w:val="20"/>
                <w:szCs w:val="20"/>
                <w:color w:val="auto"/>
              </w:rPr>
            </w:pPr>
            <w:r>
              <w:rPr>
                <w:rFonts w:ascii="Calibri" w:cs="Calibri" w:eastAsia="Calibri" w:hAnsi="Calibri"/>
                <w:sz w:val="18"/>
                <w:szCs w:val="18"/>
                <w:color w:val="auto"/>
              </w:rPr>
              <w:t>3/31/2026</w:t>
            </w:r>
          </w:p>
        </w:tc>
        <w:tc>
          <w:tcPr>
            <w:tcW w:w="80" w:type="dxa"/>
            <w:vAlign w:val="bottom"/>
            <w:tcBorders>
              <w:top w:val="single" w:sz="8" w:color="007681"/>
            </w:tcBorders>
          </w:tcPr>
          <w:p>
            <w:pPr>
              <w:spacing w:after="0"/>
              <w:rPr>
                <w:sz w:val="24"/>
                <w:szCs w:val="24"/>
                <w:color w:val="auto"/>
              </w:rPr>
            </w:pPr>
          </w:p>
        </w:tc>
        <w:tc>
          <w:tcPr>
            <w:tcW w:w="40" w:type="dxa"/>
            <w:vAlign w:val="bottom"/>
            <w:tcBorders>
              <w:top w:val="single" w:sz="8" w:color="007681"/>
            </w:tcBorders>
          </w:tcPr>
          <w:p>
            <w:pPr>
              <w:spacing w:after="0"/>
              <w:rPr>
                <w:sz w:val="24"/>
                <w:szCs w:val="24"/>
                <w:color w:val="auto"/>
              </w:rPr>
            </w:pPr>
          </w:p>
        </w:tc>
        <w:tc>
          <w:tcPr>
            <w:tcW w:w="120" w:type="dxa"/>
            <w:vAlign w:val="bottom"/>
            <w:tcBorders>
              <w:top w:val="single" w:sz="8" w:color="007681"/>
            </w:tcBorders>
          </w:tcPr>
          <w:p>
            <w:pPr>
              <w:spacing w:after="0"/>
              <w:rPr>
                <w:sz w:val="24"/>
                <w:szCs w:val="24"/>
                <w:color w:val="auto"/>
              </w:rPr>
            </w:pPr>
          </w:p>
        </w:tc>
        <w:tc>
          <w:tcPr>
            <w:tcW w:w="2080" w:type="dxa"/>
            <w:vAlign w:val="bottom"/>
          </w:tcPr>
          <w:p>
            <w:pPr>
              <w:spacing w:after="0"/>
              <w:rPr>
                <w:sz w:val="24"/>
                <w:szCs w:val="24"/>
                <w:color w:val="auto"/>
              </w:rPr>
            </w:pPr>
          </w:p>
        </w:tc>
        <w:tc>
          <w:tcPr>
            <w:tcW w:w="1960" w:type="dxa"/>
            <w:vAlign w:val="bottom"/>
          </w:tcPr>
          <w:p>
            <w:pPr>
              <w:jc w:val="right"/>
              <w:ind w:right="53"/>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811</w:t>
            </w:r>
          </w:p>
        </w:tc>
        <w:tc>
          <w:tcPr>
            <w:tcW w:w="520" w:type="dxa"/>
            <w:vAlign w:val="bottom"/>
          </w:tcPr>
          <w:p>
            <w:pPr>
              <w:jc w:val="right"/>
              <w:ind w:right="72"/>
              <w:spacing w:after="0"/>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rPr>
                <w:sz w:val="20"/>
                <w:szCs w:val="20"/>
                <w:color w:val="auto"/>
              </w:rPr>
            </w:pPr>
            <w:r>
              <w:rPr>
                <w:rFonts w:ascii="Calibri" w:cs="Calibri" w:eastAsia="Calibri" w:hAnsi="Calibri"/>
                <w:sz w:val="18"/>
                <w:szCs w:val="18"/>
                <w:color w:val="auto"/>
              </w:rPr>
              <w:t>1,089</w:t>
            </w:r>
          </w:p>
        </w:tc>
        <w:tc>
          <w:tcPr>
            <w:tcW w:w="500" w:type="dxa"/>
            <w:vAlign w:val="bottom"/>
          </w:tcPr>
          <w:p>
            <w:pPr>
              <w:jc w:val="right"/>
              <w:ind w:right="33"/>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899</w:t>
            </w:r>
          </w:p>
        </w:tc>
        <w:tc>
          <w:tcPr>
            <w:tcW w:w="1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rPr>
                <w:sz w:val="20"/>
                <w:szCs w:val="20"/>
                <w:color w:val="auto"/>
              </w:rPr>
            </w:pPr>
            <w:r>
              <w:rPr>
                <w:rFonts w:ascii="Calibri" w:cs="Calibri" w:eastAsia="Calibri" w:hAnsi="Calibri"/>
                <w:sz w:val="18"/>
                <w:szCs w:val="18"/>
                <w:color w:val="auto"/>
              </w:rPr>
              <w:t>941</w:t>
            </w:r>
          </w:p>
        </w:tc>
        <w:tc>
          <w:tcPr>
            <w:tcW w:w="160" w:type="dxa"/>
            <w:vAlign w:val="bottom"/>
          </w:tcPr>
          <w:p>
            <w:pPr>
              <w:spacing w:after="0"/>
              <w:rPr>
                <w:sz w:val="24"/>
                <w:szCs w:val="24"/>
                <w:color w:val="auto"/>
              </w:rPr>
            </w:pPr>
          </w:p>
        </w:tc>
      </w:tr>
      <w:tr>
        <w:trPr>
          <w:trHeight w:val="256"/>
        </w:trPr>
        <w:tc>
          <w:tcPr>
            <w:tcW w:w="1340" w:type="dxa"/>
            <w:vAlign w:val="bottom"/>
          </w:tcPr>
          <w:p>
            <w:pPr>
              <w:spacing w:after="0"/>
              <w:rPr>
                <w:sz w:val="20"/>
                <w:szCs w:val="20"/>
                <w:color w:val="auto"/>
              </w:rPr>
            </w:pPr>
            <w:r>
              <w:rPr>
                <w:rFonts w:ascii="Calibri" w:cs="Calibri" w:eastAsia="Calibri" w:hAnsi="Calibri"/>
                <w:sz w:val="18"/>
                <w:szCs w:val="18"/>
                <w:color w:val="auto"/>
              </w:rPr>
              <w:t>3/31/2025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960" w:type="dxa"/>
            <w:vAlign w:val="bottom"/>
          </w:tcPr>
          <w:p>
            <w:pPr>
              <w:jc w:val="right"/>
              <w:ind w:right="53"/>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743</w:t>
            </w:r>
          </w:p>
        </w:tc>
        <w:tc>
          <w:tcPr>
            <w:tcW w:w="520" w:type="dxa"/>
            <w:vAlign w:val="bottom"/>
          </w:tcPr>
          <w:p>
            <w:pPr>
              <w:jc w:val="right"/>
              <w:ind w:right="72"/>
              <w:spacing w:after="0"/>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rPr>
                <w:sz w:val="20"/>
                <w:szCs w:val="20"/>
                <w:color w:val="auto"/>
              </w:rPr>
            </w:pPr>
            <w:r>
              <w:rPr>
                <w:rFonts w:ascii="Calibri" w:cs="Calibri" w:eastAsia="Calibri" w:hAnsi="Calibri"/>
                <w:sz w:val="18"/>
                <w:szCs w:val="18"/>
                <w:color w:val="auto"/>
              </w:rPr>
              <w:t>1,054</w:t>
            </w:r>
          </w:p>
        </w:tc>
        <w:tc>
          <w:tcPr>
            <w:tcW w:w="500" w:type="dxa"/>
            <w:vAlign w:val="bottom"/>
          </w:tcPr>
          <w:p>
            <w:pPr>
              <w:jc w:val="right"/>
              <w:ind w:right="33"/>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837</w:t>
            </w:r>
          </w:p>
        </w:tc>
        <w:tc>
          <w:tcPr>
            <w:tcW w:w="1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rPr>
                <w:sz w:val="20"/>
                <w:szCs w:val="20"/>
                <w:color w:val="auto"/>
              </w:rPr>
            </w:pPr>
            <w:r>
              <w:rPr>
                <w:rFonts w:ascii="Calibri" w:cs="Calibri" w:eastAsia="Calibri" w:hAnsi="Calibri"/>
                <w:sz w:val="18"/>
                <w:szCs w:val="18"/>
                <w:color w:val="auto"/>
              </w:rPr>
              <w:t>898</w:t>
            </w:r>
          </w:p>
        </w:tc>
        <w:tc>
          <w:tcPr>
            <w:tcW w:w="160" w:type="dxa"/>
            <w:vAlign w:val="bottom"/>
          </w:tcPr>
          <w:p>
            <w:pPr>
              <w:spacing w:after="0"/>
              <w:rPr>
                <w:sz w:val="22"/>
                <w:szCs w:val="22"/>
                <w:color w:val="auto"/>
              </w:rPr>
            </w:pPr>
          </w:p>
        </w:tc>
      </w:tr>
      <w:tr>
        <w:trPr>
          <w:trHeight w:val="256"/>
        </w:trPr>
        <w:tc>
          <w:tcPr>
            <w:tcW w:w="1340" w:type="dxa"/>
            <w:vAlign w:val="bottom"/>
          </w:tcPr>
          <w:p>
            <w:pPr>
              <w:spacing w:after="0"/>
              <w:rPr>
                <w:sz w:val="20"/>
                <w:szCs w:val="20"/>
                <w:color w:val="auto"/>
              </w:rPr>
            </w:pPr>
            <w:r>
              <w:rPr>
                <w:rFonts w:ascii="Calibri" w:cs="Calibri" w:eastAsia="Calibri" w:hAnsi="Calibri"/>
                <w:sz w:val="18"/>
                <w:szCs w:val="18"/>
                <w:color w:val="auto"/>
              </w:rPr>
              <w:t>12/31/2025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960" w:type="dxa"/>
            <w:vAlign w:val="bottom"/>
          </w:tcPr>
          <w:p>
            <w:pPr>
              <w:jc w:val="right"/>
              <w:ind w:right="53"/>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795</w:t>
            </w:r>
          </w:p>
        </w:tc>
        <w:tc>
          <w:tcPr>
            <w:tcW w:w="520" w:type="dxa"/>
            <w:vAlign w:val="bottom"/>
          </w:tcPr>
          <w:p>
            <w:pPr>
              <w:jc w:val="right"/>
              <w:ind w:right="72"/>
              <w:spacing w:after="0"/>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rPr>
                <w:sz w:val="20"/>
                <w:szCs w:val="20"/>
                <w:color w:val="auto"/>
              </w:rPr>
            </w:pPr>
            <w:r>
              <w:rPr>
                <w:rFonts w:ascii="Calibri" w:cs="Calibri" w:eastAsia="Calibri" w:hAnsi="Calibri"/>
                <w:sz w:val="18"/>
                <w:szCs w:val="18"/>
                <w:color w:val="auto"/>
              </w:rPr>
              <w:t>1,073</w:t>
            </w:r>
          </w:p>
        </w:tc>
        <w:tc>
          <w:tcPr>
            <w:tcW w:w="500" w:type="dxa"/>
            <w:vAlign w:val="bottom"/>
          </w:tcPr>
          <w:p>
            <w:pPr>
              <w:jc w:val="right"/>
              <w:ind w:right="33"/>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881</w:t>
            </w:r>
          </w:p>
        </w:tc>
        <w:tc>
          <w:tcPr>
            <w:tcW w:w="1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rPr>
                <w:sz w:val="20"/>
                <w:szCs w:val="20"/>
                <w:color w:val="auto"/>
              </w:rPr>
            </w:pPr>
            <w:r>
              <w:rPr>
                <w:rFonts w:ascii="Calibri" w:cs="Calibri" w:eastAsia="Calibri" w:hAnsi="Calibri"/>
                <w:sz w:val="18"/>
                <w:szCs w:val="18"/>
                <w:color w:val="auto"/>
              </w:rPr>
              <w:t>921</w:t>
            </w:r>
          </w:p>
        </w:tc>
        <w:tc>
          <w:tcPr>
            <w:tcW w:w="160" w:type="dxa"/>
            <w:vAlign w:val="bottom"/>
          </w:tcPr>
          <w:p>
            <w:pPr>
              <w:spacing w:after="0"/>
              <w:rPr>
                <w:sz w:val="22"/>
                <w:szCs w:val="22"/>
                <w:color w:val="auto"/>
              </w:rPr>
            </w:pPr>
          </w:p>
        </w:tc>
      </w:tr>
      <w:tr>
        <w:trPr>
          <w:trHeight w:val="455"/>
        </w:trPr>
        <w:tc>
          <w:tcPr>
            <w:tcW w:w="3660" w:type="dxa"/>
            <w:vAlign w:val="bottom"/>
            <w:gridSpan w:val="5"/>
          </w:tcPr>
          <w:p>
            <w:pPr>
              <w:spacing w:after="0"/>
              <w:rPr>
                <w:sz w:val="20"/>
                <w:szCs w:val="20"/>
                <w:color w:val="auto"/>
              </w:rPr>
            </w:pPr>
            <w:r>
              <w:rPr>
                <w:rFonts w:ascii="Calibri" w:cs="Calibri" w:eastAsia="Calibri" w:hAnsi="Calibri"/>
                <w:sz w:val="18"/>
                <w:szCs w:val="18"/>
                <w:b w:val="1"/>
                <w:bCs w:val="1"/>
                <w:color w:val="007681"/>
              </w:rPr>
              <w:t>Portolio Occupancy (b)</w:t>
            </w: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4"/>
        </w:trPr>
        <w:tc>
          <w:tcPr>
            <w:tcW w:w="1340" w:type="dxa"/>
            <w:vAlign w:val="bottom"/>
            <w:tcBorders>
              <w:top w:val="single" w:sz="8" w:color="007681"/>
            </w:tcBorders>
          </w:tcPr>
          <w:p>
            <w:pPr>
              <w:spacing w:after="0"/>
              <w:rPr>
                <w:sz w:val="20"/>
                <w:szCs w:val="20"/>
                <w:color w:val="auto"/>
              </w:rPr>
            </w:pPr>
            <w:r>
              <w:rPr>
                <w:rFonts w:ascii="Calibri" w:cs="Calibri" w:eastAsia="Calibri" w:hAnsi="Calibri"/>
                <w:sz w:val="18"/>
                <w:szCs w:val="18"/>
                <w:color w:val="auto"/>
              </w:rPr>
              <w:t>3/31/2026</w:t>
            </w:r>
          </w:p>
        </w:tc>
        <w:tc>
          <w:tcPr>
            <w:tcW w:w="80" w:type="dxa"/>
            <w:vAlign w:val="bottom"/>
            <w:tcBorders>
              <w:top w:val="single" w:sz="8" w:color="007681"/>
            </w:tcBorders>
          </w:tcPr>
          <w:p>
            <w:pPr>
              <w:spacing w:after="0"/>
              <w:rPr>
                <w:sz w:val="24"/>
                <w:szCs w:val="24"/>
                <w:color w:val="auto"/>
              </w:rPr>
            </w:pPr>
          </w:p>
        </w:tc>
        <w:tc>
          <w:tcPr>
            <w:tcW w:w="40" w:type="dxa"/>
            <w:vAlign w:val="bottom"/>
            <w:tcBorders>
              <w:top w:val="single" w:sz="8" w:color="007681"/>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92.6</w:t>
            </w:r>
          </w:p>
        </w:tc>
        <w:tc>
          <w:tcPr>
            <w:tcW w:w="520" w:type="dxa"/>
            <w:vAlign w:val="bottom"/>
          </w:tcPr>
          <w:p>
            <w:pPr>
              <w:jc w:val="right"/>
              <w:ind w:right="272"/>
              <w:spacing w:after="0"/>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rPr>
                <w:sz w:val="20"/>
                <w:szCs w:val="20"/>
                <w:color w:val="auto"/>
              </w:rPr>
            </w:pPr>
            <w:r>
              <w:rPr>
                <w:rFonts w:ascii="Calibri" w:cs="Calibri" w:eastAsia="Calibri" w:hAnsi="Calibri"/>
                <w:sz w:val="18"/>
                <w:szCs w:val="18"/>
                <w:color w:val="auto"/>
              </w:rPr>
              <w:t>94.8</w:t>
            </w:r>
          </w:p>
        </w:tc>
        <w:tc>
          <w:tcPr>
            <w:tcW w:w="500" w:type="dxa"/>
            <w:vAlign w:val="bottom"/>
          </w:tcPr>
          <w:p>
            <w:pPr>
              <w:jc w:val="right"/>
              <w:ind w:right="233"/>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93.4</w:t>
            </w: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alibri" w:cs="Calibri" w:eastAsia="Calibri" w:hAnsi="Calibri"/>
                <w:sz w:val="18"/>
                <w:szCs w:val="18"/>
                <w:color w:val="auto"/>
              </w:rPr>
              <w:t>94.5</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56"/>
        </w:trPr>
        <w:tc>
          <w:tcPr>
            <w:tcW w:w="1340" w:type="dxa"/>
            <w:vAlign w:val="bottom"/>
          </w:tcPr>
          <w:p>
            <w:pPr>
              <w:spacing w:after="0"/>
              <w:rPr>
                <w:sz w:val="20"/>
                <w:szCs w:val="20"/>
                <w:color w:val="auto"/>
              </w:rPr>
            </w:pPr>
            <w:r>
              <w:rPr>
                <w:rFonts w:ascii="Calibri" w:cs="Calibri" w:eastAsia="Calibri" w:hAnsi="Calibri"/>
                <w:sz w:val="18"/>
                <w:szCs w:val="18"/>
                <w:color w:val="auto"/>
              </w:rPr>
              <w:t>3/31/2025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91.6</w:t>
            </w:r>
          </w:p>
        </w:tc>
        <w:tc>
          <w:tcPr>
            <w:tcW w:w="520" w:type="dxa"/>
            <w:vAlign w:val="bottom"/>
          </w:tcPr>
          <w:p>
            <w:pPr>
              <w:jc w:val="right"/>
              <w:ind w:right="272"/>
              <w:spacing w:after="0"/>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rPr>
                <w:sz w:val="20"/>
                <w:szCs w:val="20"/>
                <w:color w:val="auto"/>
              </w:rPr>
            </w:pPr>
            <w:r>
              <w:rPr>
                <w:rFonts w:ascii="Calibri" w:cs="Calibri" w:eastAsia="Calibri" w:hAnsi="Calibri"/>
                <w:sz w:val="18"/>
                <w:szCs w:val="18"/>
                <w:color w:val="auto"/>
              </w:rPr>
              <w:t>94.4</w:t>
            </w:r>
          </w:p>
        </w:tc>
        <w:tc>
          <w:tcPr>
            <w:tcW w:w="500" w:type="dxa"/>
            <w:vAlign w:val="bottom"/>
          </w:tcPr>
          <w:p>
            <w:pPr>
              <w:jc w:val="right"/>
              <w:ind w:right="233"/>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92.6</w:t>
            </w: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Calibri" w:cs="Calibri" w:eastAsia="Calibri" w:hAnsi="Calibri"/>
                <w:sz w:val="18"/>
                <w:szCs w:val="18"/>
                <w:color w:val="auto"/>
              </w:rPr>
              <w:t>93.8</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256"/>
        </w:trPr>
        <w:tc>
          <w:tcPr>
            <w:tcW w:w="1340" w:type="dxa"/>
            <w:vAlign w:val="bottom"/>
          </w:tcPr>
          <w:p>
            <w:pPr>
              <w:spacing w:after="0"/>
              <w:rPr>
                <w:sz w:val="20"/>
                <w:szCs w:val="20"/>
                <w:color w:val="auto"/>
              </w:rPr>
            </w:pPr>
            <w:r>
              <w:rPr>
                <w:rFonts w:ascii="Calibri" w:cs="Calibri" w:eastAsia="Calibri" w:hAnsi="Calibri"/>
                <w:sz w:val="18"/>
                <w:szCs w:val="18"/>
                <w:color w:val="auto"/>
              </w:rPr>
              <w:t>12/31/2025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93.5</w:t>
            </w:r>
          </w:p>
        </w:tc>
        <w:tc>
          <w:tcPr>
            <w:tcW w:w="520" w:type="dxa"/>
            <w:vAlign w:val="bottom"/>
          </w:tcPr>
          <w:p>
            <w:pPr>
              <w:jc w:val="right"/>
              <w:ind w:right="272"/>
              <w:spacing w:after="0"/>
              <w:rPr>
                <w:sz w:val="20"/>
                <w:szCs w:val="20"/>
                <w:color w:val="auto"/>
              </w:rPr>
            </w:pPr>
            <w:r>
              <w:rPr>
                <w:rFonts w:ascii="Calibri" w:cs="Calibri" w:eastAsia="Calibri" w:hAnsi="Calibri"/>
                <w:sz w:val="18"/>
                <w:szCs w:val="18"/>
                <w:color w:val="auto"/>
              </w:rPr>
              <w:t>%</w:t>
            </w:r>
          </w:p>
        </w:tc>
        <w:tc>
          <w:tcPr>
            <w:tcW w:w="600" w:type="dxa"/>
            <w:vAlign w:val="bottom"/>
          </w:tcPr>
          <w:p>
            <w:pPr>
              <w:jc w:val="right"/>
              <w:spacing w:after="0"/>
              <w:rPr>
                <w:sz w:val="20"/>
                <w:szCs w:val="20"/>
                <w:color w:val="auto"/>
              </w:rPr>
            </w:pPr>
            <w:r>
              <w:rPr>
                <w:rFonts w:ascii="Calibri" w:cs="Calibri" w:eastAsia="Calibri" w:hAnsi="Calibri"/>
                <w:sz w:val="18"/>
                <w:szCs w:val="18"/>
                <w:color w:val="auto"/>
              </w:rPr>
              <w:t>94.9</w:t>
            </w:r>
          </w:p>
        </w:tc>
        <w:tc>
          <w:tcPr>
            <w:tcW w:w="500" w:type="dxa"/>
            <w:vAlign w:val="bottom"/>
          </w:tcPr>
          <w:p>
            <w:pPr>
              <w:jc w:val="right"/>
              <w:ind w:right="233"/>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94.0</w:t>
            </w:r>
          </w:p>
        </w:tc>
        <w:tc>
          <w:tcPr>
            <w:tcW w:w="1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Calibri" w:cs="Calibri" w:eastAsia="Calibri" w:hAnsi="Calibri"/>
                <w:sz w:val="18"/>
                <w:szCs w:val="18"/>
                <w:color w:val="auto"/>
              </w:rPr>
              <w:t>94.9</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r>
      <w:tr>
        <w:trPr>
          <w:trHeight w:val="456"/>
        </w:trPr>
        <w:tc>
          <w:tcPr>
            <w:tcW w:w="3660" w:type="dxa"/>
            <w:vAlign w:val="bottom"/>
            <w:gridSpan w:val="5"/>
          </w:tcPr>
          <w:p>
            <w:pPr>
              <w:spacing w:after="0"/>
              <w:rPr>
                <w:sz w:val="20"/>
                <w:szCs w:val="20"/>
                <w:color w:val="auto"/>
              </w:rPr>
            </w:pPr>
            <w:r>
              <w:rPr>
                <w:rFonts w:ascii="Calibri" w:cs="Calibri" w:eastAsia="Calibri" w:hAnsi="Calibri"/>
                <w:sz w:val="18"/>
                <w:szCs w:val="18"/>
                <w:b w:val="1"/>
                <w:bCs w:val="1"/>
                <w:color w:val="007681"/>
              </w:rPr>
              <w:t>Average Base Rents (c)</w:t>
            </w: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9"/>
        </w:trPr>
        <w:tc>
          <w:tcPr>
            <w:tcW w:w="1340" w:type="dxa"/>
            <w:vAlign w:val="bottom"/>
            <w:tcBorders>
              <w:top w:val="single" w:sz="8" w:color="007681"/>
            </w:tcBorders>
          </w:tcPr>
          <w:p>
            <w:pPr>
              <w:spacing w:after="0"/>
              <w:rPr>
                <w:sz w:val="20"/>
                <w:szCs w:val="20"/>
                <w:color w:val="auto"/>
              </w:rPr>
            </w:pPr>
            <w:r>
              <w:rPr>
                <w:rFonts w:ascii="Calibri" w:cs="Calibri" w:eastAsia="Calibri" w:hAnsi="Calibri"/>
                <w:sz w:val="18"/>
                <w:szCs w:val="18"/>
                <w:color w:val="auto"/>
              </w:rPr>
              <w:t>3/31/2026</w:t>
            </w:r>
          </w:p>
        </w:tc>
        <w:tc>
          <w:tcPr>
            <w:tcW w:w="80" w:type="dxa"/>
            <w:vAlign w:val="bottom"/>
            <w:tcBorders>
              <w:top w:val="single" w:sz="8" w:color="007681"/>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60" w:type="dxa"/>
            <w:vAlign w:val="bottom"/>
          </w:tcPr>
          <w:p>
            <w:pPr>
              <w:jc w:val="right"/>
              <w:ind w:right="53"/>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68.36</w:t>
            </w:r>
          </w:p>
        </w:tc>
        <w:tc>
          <w:tcPr>
            <w:tcW w:w="520" w:type="dxa"/>
            <w:vAlign w:val="bottom"/>
          </w:tcPr>
          <w:p>
            <w:pPr>
              <w:jc w:val="right"/>
              <w:ind w:right="7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81.56</w:t>
            </w:r>
          </w:p>
        </w:tc>
        <w:tc>
          <w:tcPr>
            <w:tcW w:w="500" w:type="dxa"/>
            <w:vAlign w:val="bottom"/>
          </w:tcPr>
          <w:p>
            <w:pPr>
              <w:jc w:val="right"/>
              <w:ind w:right="33"/>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71.06</w:t>
            </w:r>
          </w:p>
        </w:tc>
        <w:tc>
          <w:tcPr>
            <w:tcW w:w="1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72.92</w:t>
            </w:r>
          </w:p>
        </w:tc>
        <w:tc>
          <w:tcPr>
            <w:tcW w:w="160" w:type="dxa"/>
            <w:vAlign w:val="bottom"/>
          </w:tcPr>
          <w:p>
            <w:pPr>
              <w:spacing w:after="0"/>
              <w:rPr>
                <w:sz w:val="24"/>
                <w:szCs w:val="24"/>
                <w:color w:val="auto"/>
              </w:rPr>
            </w:pPr>
          </w:p>
        </w:tc>
      </w:tr>
      <w:tr>
        <w:trPr>
          <w:trHeight w:val="257"/>
        </w:trPr>
        <w:tc>
          <w:tcPr>
            <w:tcW w:w="1340" w:type="dxa"/>
            <w:vAlign w:val="bottom"/>
          </w:tcPr>
          <w:p>
            <w:pPr>
              <w:spacing w:after="0" w:line="215" w:lineRule="exact"/>
              <w:rPr>
                <w:sz w:val="20"/>
                <w:szCs w:val="20"/>
                <w:color w:val="auto"/>
              </w:rPr>
            </w:pPr>
            <w:r>
              <w:rPr>
                <w:rFonts w:ascii="Calibri" w:cs="Calibri" w:eastAsia="Calibri" w:hAnsi="Calibri"/>
                <w:sz w:val="18"/>
                <w:szCs w:val="18"/>
                <w:color w:val="auto"/>
              </w:rPr>
              <w:t>3/31/2025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960" w:type="dxa"/>
            <w:vAlign w:val="bottom"/>
          </w:tcPr>
          <w:p>
            <w:pPr>
              <w:jc w:val="right"/>
              <w:ind w:right="53"/>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66.98</w:t>
            </w:r>
          </w:p>
        </w:tc>
        <w:tc>
          <w:tcPr>
            <w:tcW w:w="520" w:type="dxa"/>
            <w:vAlign w:val="bottom"/>
          </w:tcPr>
          <w:p>
            <w:pPr>
              <w:jc w:val="right"/>
              <w:ind w:right="7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78.18</w:t>
            </w:r>
          </w:p>
        </w:tc>
        <w:tc>
          <w:tcPr>
            <w:tcW w:w="500" w:type="dxa"/>
            <w:vAlign w:val="bottom"/>
          </w:tcPr>
          <w:p>
            <w:pPr>
              <w:jc w:val="right"/>
              <w:ind w:right="33"/>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69.21</w:t>
            </w:r>
          </w:p>
        </w:tc>
        <w:tc>
          <w:tcPr>
            <w:tcW w:w="1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72.87</w:t>
            </w:r>
          </w:p>
        </w:tc>
        <w:tc>
          <w:tcPr>
            <w:tcW w:w="160" w:type="dxa"/>
            <w:vAlign w:val="bottom"/>
          </w:tcPr>
          <w:p>
            <w:pPr>
              <w:spacing w:after="0"/>
              <w:rPr>
                <w:sz w:val="22"/>
                <w:szCs w:val="22"/>
                <w:color w:val="auto"/>
              </w:rPr>
            </w:pPr>
          </w:p>
        </w:tc>
      </w:tr>
      <w:tr>
        <w:trPr>
          <w:trHeight w:val="263"/>
        </w:trPr>
        <w:tc>
          <w:tcPr>
            <w:tcW w:w="1340" w:type="dxa"/>
            <w:vAlign w:val="bottom"/>
          </w:tcPr>
          <w:p>
            <w:pPr>
              <w:spacing w:after="0" w:line="215" w:lineRule="exact"/>
              <w:rPr>
                <w:sz w:val="20"/>
                <w:szCs w:val="20"/>
                <w:color w:val="auto"/>
              </w:rPr>
            </w:pPr>
            <w:r>
              <w:rPr>
                <w:rFonts w:ascii="Calibri" w:cs="Calibri" w:eastAsia="Calibri" w:hAnsi="Calibri"/>
                <w:sz w:val="18"/>
                <w:szCs w:val="18"/>
                <w:color w:val="auto"/>
              </w:rPr>
              <w:t>12/31/2025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960" w:type="dxa"/>
            <w:vAlign w:val="bottom"/>
          </w:tcPr>
          <w:p>
            <w:pPr>
              <w:jc w:val="right"/>
              <w:ind w:right="53"/>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66.92</w:t>
            </w:r>
          </w:p>
        </w:tc>
        <w:tc>
          <w:tcPr>
            <w:tcW w:w="520" w:type="dxa"/>
            <w:vAlign w:val="bottom"/>
          </w:tcPr>
          <w:p>
            <w:pPr>
              <w:jc w:val="right"/>
              <w:ind w:right="7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79.47</w:t>
            </w:r>
          </w:p>
        </w:tc>
        <w:tc>
          <w:tcPr>
            <w:tcW w:w="500" w:type="dxa"/>
            <w:vAlign w:val="bottom"/>
          </w:tcPr>
          <w:p>
            <w:pPr>
              <w:jc w:val="right"/>
              <w:ind w:right="33"/>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69.47</w:t>
            </w:r>
          </w:p>
        </w:tc>
        <w:tc>
          <w:tcPr>
            <w:tcW w:w="1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71.31</w:t>
            </w:r>
          </w:p>
        </w:tc>
        <w:tc>
          <w:tcPr>
            <w:tcW w:w="160" w:type="dxa"/>
            <w:vAlign w:val="bottom"/>
          </w:tcPr>
          <w:p>
            <w:pPr>
              <w:spacing w:after="0"/>
              <w:rPr>
                <w:sz w:val="22"/>
                <w:szCs w:val="22"/>
                <w:color w:val="auto"/>
              </w:rPr>
            </w:pPr>
          </w:p>
        </w:tc>
      </w:tr>
      <w:tr>
        <w:trPr>
          <w:trHeight w:val="434"/>
        </w:trPr>
        <w:tc>
          <w:tcPr>
            <w:tcW w:w="3660" w:type="dxa"/>
            <w:vAlign w:val="bottom"/>
            <w:gridSpan w:val="5"/>
          </w:tcPr>
          <w:p>
            <w:pPr>
              <w:spacing w:after="0"/>
              <w:rPr>
                <w:sz w:val="20"/>
                <w:szCs w:val="20"/>
                <w:color w:val="auto"/>
              </w:rPr>
            </w:pPr>
            <w:r>
              <w:rPr>
                <w:rFonts w:ascii="Calibri" w:cs="Calibri" w:eastAsia="Calibri" w:hAnsi="Calibri"/>
                <w:sz w:val="18"/>
                <w:szCs w:val="18"/>
                <w:b w:val="1"/>
                <w:bCs w:val="1"/>
                <w:color w:val="007681"/>
              </w:rPr>
              <w:t>Cost of Occupancy</w:t>
            </w: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7"/>
        </w:trPr>
        <w:tc>
          <w:tcPr>
            <w:tcW w:w="1340" w:type="dxa"/>
            <w:vAlign w:val="bottom"/>
            <w:tcBorders>
              <w:top w:val="single" w:sz="8" w:color="007681"/>
            </w:tcBorders>
          </w:tcPr>
          <w:p>
            <w:pPr>
              <w:spacing w:after="0"/>
              <w:rPr>
                <w:sz w:val="20"/>
                <w:szCs w:val="20"/>
                <w:color w:val="auto"/>
              </w:rPr>
            </w:pPr>
            <w:r>
              <w:rPr>
                <w:rFonts w:ascii="Calibri" w:cs="Calibri" w:eastAsia="Calibri" w:hAnsi="Calibri"/>
                <w:sz w:val="18"/>
                <w:szCs w:val="18"/>
                <w:color w:val="auto"/>
              </w:rPr>
              <w:t>3/31/2026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98"/>
        </w:trPr>
        <w:tc>
          <w:tcPr>
            <w:tcW w:w="3660" w:type="dxa"/>
            <w:vAlign w:val="bottom"/>
            <w:gridSpan w:val="5"/>
          </w:tcPr>
          <w:p>
            <w:pPr>
              <w:ind w:left="320"/>
              <w:spacing w:after="0"/>
              <w:rPr>
                <w:sz w:val="20"/>
                <w:szCs w:val="20"/>
                <w:color w:val="auto"/>
              </w:rPr>
            </w:pPr>
            <w:r>
              <w:rPr>
                <w:rFonts w:ascii="Calibri" w:cs="Calibri" w:eastAsia="Calibri" w:hAnsi="Calibri"/>
                <w:sz w:val="18"/>
                <w:szCs w:val="18"/>
                <w:color w:val="auto"/>
              </w:rPr>
              <w:t>Minimum rents</w:t>
            </w:r>
          </w:p>
        </w:tc>
        <w:tc>
          <w:tcPr>
            <w:tcW w:w="1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8.0</w:t>
            </w:r>
          </w:p>
        </w:tc>
        <w:tc>
          <w:tcPr>
            <w:tcW w:w="520" w:type="dxa"/>
            <w:vAlign w:val="bottom"/>
          </w:tcPr>
          <w:p>
            <w:pPr>
              <w:jc w:val="right"/>
              <w:ind w:right="272"/>
              <w:spacing w:after="0"/>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233"/>
              <w:spacing w:after="0"/>
              <w:rPr>
                <w:sz w:val="20"/>
                <w:szCs w:val="20"/>
                <w:color w:val="auto"/>
              </w:rPr>
            </w:pPr>
            <w:r>
              <w:rPr>
                <w:rFonts w:ascii="Arial" w:cs="Arial" w:eastAsia="Arial" w:hAnsi="Arial"/>
                <w:sz w:val="16"/>
                <w:szCs w:val="16"/>
                <w:color w:val="auto"/>
              </w:rPr>
              <w:t>7.3 %</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7.8 %</w:t>
            </w:r>
          </w:p>
        </w:tc>
      </w:tr>
      <w:tr>
        <w:trPr>
          <w:trHeight w:val="257"/>
        </w:trPr>
        <w:tc>
          <w:tcPr>
            <w:tcW w:w="3660" w:type="dxa"/>
            <w:vAlign w:val="bottom"/>
            <w:gridSpan w:val="5"/>
          </w:tcPr>
          <w:p>
            <w:pPr>
              <w:ind w:left="320"/>
              <w:spacing w:after="0" w:line="215" w:lineRule="exact"/>
              <w:rPr>
                <w:sz w:val="20"/>
                <w:szCs w:val="20"/>
                <w:color w:val="auto"/>
              </w:rPr>
            </w:pPr>
            <w:r>
              <w:rPr>
                <w:rFonts w:ascii="Calibri" w:cs="Calibri" w:eastAsia="Calibri" w:hAnsi="Calibri"/>
                <w:sz w:val="18"/>
                <w:szCs w:val="18"/>
                <w:color w:val="auto"/>
              </w:rPr>
              <w:t>Percentage rents</w:t>
            </w:r>
          </w:p>
        </w:tc>
        <w:tc>
          <w:tcPr>
            <w:tcW w:w="1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0.6</w:t>
            </w:r>
          </w:p>
        </w:tc>
        <w:tc>
          <w:tcPr>
            <w:tcW w:w="520" w:type="dxa"/>
            <w:vAlign w:val="bottom"/>
          </w:tcPr>
          <w:p>
            <w:pPr>
              <w:jc w:val="right"/>
              <w:ind w:right="272"/>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233"/>
              <w:spacing w:after="0"/>
              <w:rPr>
                <w:sz w:val="20"/>
                <w:szCs w:val="20"/>
                <w:color w:val="auto"/>
              </w:rPr>
            </w:pPr>
            <w:r>
              <w:rPr>
                <w:rFonts w:ascii="Arial" w:cs="Arial" w:eastAsia="Arial" w:hAnsi="Arial"/>
                <w:sz w:val="16"/>
                <w:szCs w:val="16"/>
                <w:color w:val="auto"/>
              </w:rPr>
              <w:t>0.9 %</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2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0.7 %</w:t>
            </w:r>
          </w:p>
        </w:tc>
      </w:tr>
      <w:tr>
        <w:trPr>
          <w:trHeight w:val="263"/>
        </w:trPr>
        <w:tc>
          <w:tcPr>
            <w:tcW w:w="3660" w:type="dxa"/>
            <w:vAlign w:val="bottom"/>
            <w:gridSpan w:val="5"/>
          </w:tcPr>
          <w:p>
            <w:pPr>
              <w:ind w:left="320"/>
              <w:spacing w:after="0" w:line="215" w:lineRule="exact"/>
              <w:rPr>
                <w:sz w:val="20"/>
                <w:szCs w:val="20"/>
                <w:color w:val="auto"/>
              </w:rPr>
            </w:pPr>
            <w:r>
              <w:rPr>
                <w:rFonts w:ascii="Calibri" w:cs="Calibri" w:eastAsia="Calibri" w:hAnsi="Calibri"/>
                <w:sz w:val="18"/>
                <w:szCs w:val="18"/>
                <w:color w:val="auto"/>
              </w:rPr>
              <w:t>Expense recoveries (d)</w:t>
            </w:r>
          </w:p>
        </w:tc>
        <w:tc>
          <w:tcPr>
            <w:tcW w:w="19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Calibri" w:cs="Calibri" w:eastAsia="Calibri" w:hAnsi="Calibri"/>
                <w:sz w:val="18"/>
                <w:szCs w:val="18"/>
                <w:color w:val="auto"/>
              </w:rPr>
              <w:t>3.1</w:t>
            </w:r>
          </w:p>
        </w:tc>
        <w:tc>
          <w:tcPr>
            <w:tcW w:w="520" w:type="dxa"/>
            <w:vAlign w:val="bottom"/>
          </w:tcPr>
          <w:p>
            <w:pPr>
              <w:jc w:val="right"/>
              <w:ind w:right="272"/>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233"/>
              <w:spacing w:after="0"/>
              <w:rPr>
                <w:sz w:val="20"/>
                <w:szCs w:val="20"/>
                <w:color w:val="auto"/>
              </w:rPr>
            </w:pPr>
            <w:r>
              <w:rPr>
                <w:rFonts w:ascii="Arial" w:cs="Arial" w:eastAsia="Arial" w:hAnsi="Arial"/>
                <w:sz w:val="16"/>
                <w:szCs w:val="16"/>
                <w:color w:val="auto"/>
              </w:rPr>
              <w:t>3.2 %</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3.2 %</w:t>
            </w:r>
          </w:p>
        </w:tc>
        <w:tc>
          <w:tcPr>
            <w:tcW w:w="20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3.2 %</w:t>
            </w:r>
          </w:p>
        </w:tc>
      </w:tr>
    </w:tbl>
    <w:p>
      <w:pPr>
        <w:sectPr>
          <w:pgSz w:w="11900" w:h="16902" w:orient="portrait"/>
          <w:cols w:equalWidth="0" w:num="1">
            <w:col w:w="9900"/>
          </w:cols>
          <w:pgMar w:left="980" w:top="41" w:right="1019" w:bottom="0" w:gutter="0" w:footer="0" w:header="0"/>
        </w:sectPr>
      </w:pPr>
    </w:p>
    <w:bookmarkStart w:id="22" w:name="page23"/>
    <w:bookmarkEnd w:id="22"/>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5400" w:type="dxa"/>
            <w:vAlign w:val="bottom"/>
          </w:tcPr>
          <w:p>
            <w:pPr>
              <w:ind w:left="720"/>
              <w:spacing w:after="0"/>
              <w:rPr>
                <w:sz w:val="20"/>
                <w:szCs w:val="20"/>
                <w:color w:val="auto"/>
              </w:rPr>
            </w:pPr>
            <w:r>
              <w:rPr>
                <w:rFonts w:ascii="Calibri" w:cs="Calibri" w:eastAsia="Calibri" w:hAnsi="Calibri"/>
                <w:sz w:val="18"/>
                <w:szCs w:val="18"/>
                <w:b w:val="1"/>
                <w:bCs w:val="1"/>
                <w:color w:val="auto"/>
              </w:rPr>
              <w:t>Total</w:t>
            </w:r>
          </w:p>
        </w:tc>
        <w:tc>
          <w:tcPr>
            <w:tcW w:w="860" w:type="dxa"/>
            <w:vAlign w:val="bottom"/>
            <w:vMerge w:val="restart"/>
          </w:tcPr>
          <w:p>
            <w:pPr>
              <w:jc w:val="right"/>
              <w:spacing w:after="0"/>
              <w:rPr>
                <w:sz w:val="20"/>
                <w:szCs w:val="20"/>
                <w:color w:val="auto"/>
              </w:rPr>
            </w:pPr>
            <w:r>
              <w:rPr>
                <w:rFonts w:ascii="Calibri" w:cs="Calibri" w:eastAsia="Calibri" w:hAnsi="Calibri"/>
                <w:sz w:val="18"/>
                <w:szCs w:val="18"/>
                <w:color w:val="auto"/>
              </w:rPr>
              <w:t>11.7</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6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11.4 %</w:t>
            </w:r>
          </w:p>
        </w:tc>
        <w:tc>
          <w:tcPr>
            <w:tcW w:w="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11.6 %</w:t>
            </w:r>
          </w:p>
        </w:tc>
        <w:tc>
          <w:tcPr>
            <w:tcW w:w="840" w:type="dxa"/>
            <w:vAlign w:val="bottom"/>
          </w:tcPr>
          <w:p>
            <w:pPr>
              <w:jc w:val="center"/>
              <w:spacing w:after="0"/>
              <w:rPr>
                <w:sz w:val="20"/>
                <w:szCs w:val="20"/>
                <w:color w:val="auto"/>
              </w:rPr>
            </w:pPr>
            <w:r>
              <w:rPr>
                <w:rFonts w:ascii="Calibri" w:cs="Calibri" w:eastAsia="Calibri" w:hAnsi="Calibri"/>
                <w:sz w:val="14"/>
                <w:szCs w:val="14"/>
                <w:b w:val="1"/>
                <w:bCs w:val="1"/>
                <w:color w:val="231F20"/>
                <w:w w:val="94"/>
              </w:rPr>
              <w:t>Total</w:t>
            </w:r>
          </w:p>
        </w:tc>
        <w:tc>
          <w:tcPr>
            <w:tcW w:w="0" w:type="dxa"/>
            <w:vAlign w:val="bottom"/>
          </w:tcPr>
          <w:p>
            <w:pPr>
              <w:spacing w:after="0"/>
              <w:rPr>
                <w:sz w:val="1"/>
                <w:szCs w:val="1"/>
                <w:color w:val="auto"/>
              </w:rPr>
            </w:pPr>
          </w:p>
        </w:tc>
      </w:tr>
      <w:tr>
        <w:trPr>
          <w:trHeight w:val="40"/>
        </w:trPr>
        <w:tc>
          <w:tcPr>
            <w:tcW w:w="54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840" w:type="dxa"/>
            <w:vAlign w:val="bottom"/>
          </w:tcPr>
          <w:p>
            <w:pPr>
              <w:jc w:val="right"/>
              <w:spacing w:after="0" w:line="41" w:lineRule="exact"/>
              <w:rPr>
                <w:sz w:val="20"/>
                <w:szCs w:val="20"/>
                <w:color w:val="auto"/>
              </w:rPr>
            </w:pPr>
            <w:r>
              <w:rPr>
                <w:rFonts w:ascii="Arial" w:cs="Arial" w:eastAsia="Arial" w:hAnsi="Arial"/>
                <w:sz w:val="4"/>
                <w:szCs w:val="4"/>
                <w:color w:val="auto"/>
              </w:rPr>
              <w:t>11.7 %</w:t>
            </w:r>
          </w:p>
        </w:tc>
        <w:tc>
          <w:tcPr>
            <w:tcW w:w="0" w:type="dxa"/>
            <w:vAlign w:val="bottom"/>
          </w:tcPr>
          <w:p>
            <w:pPr>
              <w:spacing w:after="0"/>
              <w:rPr>
                <w:sz w:val="1"/>
                <w:szCs w:val="1"/>
                <w:color w:val="auto"/>
              </w:rPr>
            </w:pPr>
          </w:p>
        </w:tc>
      </w:tr>
      <w:tr>
        <w:trPr>
          <w:trHeight w:val="95"/>
        </w:trPr>
        <w:tc>
          <w:tcPr>
            <w:tcW w:w="5400" w:type="dxa"/>
            <w:vAlign w:val="bottom"/>
            <w:vMerge w:val="restart"/>
          </w:tcPr>
          <w:p>
            <w:pPr>
              <w:ind w:left="60"/>
              <w:spacing w:after="0"/>
              <w:rPr>
                <w:sz w:val="20"/>
                <w:szCs w:val="20"/>
                <w:color w:val="auto"/>
              </w:rPr>
            </w:pPr>
            <w:r>
              <w:rPr>
                <w:rFonts w:ascii="Calibri" w:cs="Calibri" w:eastAsia="Calibri" w:hAnsi="Calibri"/>
                <w:sz w:val="18"/>
                <w:szCs w:val="18"/>
                <w:color w:val="auto"/>
              </w:rPr>
              <w:t>12/31/2025</w:t>
            </w: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tcPr>
          <w:p>
            <w:pPr>
              <w:jc w:val="center"/>
              <w:ind w:right="40"/>
              <w:spacing w:after="0" w:line="95" w:lineRule="exact"/>
              <w:rPr>
                <w:sz w:val="20"/>
                <w:szCs w:val="20"/>
                <w:color w:val="auto"/>
              </w:rPr>
            </w:pPr>
            <w:r>
              <w:rPr>
                <w:rFonts w:ascii="Calibri" w:cs="Calibri" w:eastAsia="Calibri" w:hAnsi="Calibri"/>
                <w:sz w:val="10"/>
                <w:szCs w:val="10"/>
                <w:b w:val="1"/>
                <w:bCs w:val="1"/>
                <w:color w:val="auto"/>
              </w:rPr>
              <w:t>Unconsolidated</w:t>
            </w:r>
          </w:p>
        </w:tc>
        <w:tc>
          <w:tcPr>
            <w:tcW w:w="1060" w:type="dxa"/>
            <w:vAlign w:val="bottom"/>
          </w:tcPr>
          <w:p>
            <w:pPr>
              <w:spacing w:after="0"/>
              <w:rPr>
                <w:sz w:val="8"/>
                <w:szCs w:val="8"/>
                <w:color w:val="auto"/>
              </w:rPr>
            </w:pPr>
          </w:p>
        </w:tc>
        <w:tc>
          <w:tcPr>
            <w:tcW w:w="840" w:type="dxa"/>
            <w:vAlign w:val="bottom"/>
          </w:tcPr>
          <w:p>
            <w:pPr>
              <w:jc w:val="center"/>
              <w:spacing w:after="0" w:line="95" w:lineRule="exact"/>
              <w:rPr>
                <w:sz w:val="20"/>
                <w:szCs w:val="20"/>
                <w:color w:val="auto"/>
              </w:rPr>
            </w:pPr>
            <w:r>
              <w:rPr>
                <w:rFonts w:ascii="Calibri" w:cs="Calibri" w:eastAsia="Calibri" w:hAnsi="Calibri"/>
                <w:sz w:val="10"/>
                <w:szCs w:val="10"/>
                <w:b w:val="1"/>
                <w:bCs w:val="1"/>
                <w:color w:val="231F20"/>
              </w:rPr>
              <w:t>Go-Forward</w:t>
            </w:r>
          </w:p>
        </w:tc>
        <w:tc>
          <w:tcPr>
            <w:tcW w:w="0" w:type="dxa"/>
            <w:vAlign w:val="bottom"/>
          </w:tcPr>
          <w:p>
            <w:pPr>
              <w:spacing w:after="0"/>
              <w:rPr>
                <w:sz w:val="1"/>
                <w:szCs w:val="1"/>
                <w:color w:val="auto"/>
              </w:rPr>
            </w:pPr>
          </w:p>
        </w:tc>
      </w:tr>
      <w:tr>
        <w:trPr>
          <w:trHeight w:val="175"/>
        </w:trPr>
        <w:tc>
          <w:tcPr>
            <w:tcW w:w="5400" w:type="dxa"/>
            <w:vAlign w:val="bottom"/>
            <w:vMerge w:val="continue"/>
          </w:tcPr>
          <w:p>
            <w:pPr>
              <w:spacing w:after="0"/>
              <w:rPr>
                <w:sz w:val="15"/>
                <w:szCs w:val="15"/>
                <w:color w:val="auto"/>
              </w:rPr>
            </w:pPr>
          </w:p>
        </w:tc>
        <w:tc>
          <w:tcPr>
            <w:tcW w:w="1080" w:type="dxa"/>
            <w:vAlign w:val="bottom"/>
            <w:gridSpan w:val="3"/>
          </w:tcPr>
          <w:p>
            <w:pPr>
              <w:ind w:left="120"/>
              <w:spacing w:after="0"/>
              <w:rPr>
                <w:sz w:val="20"/>
                <w:szCs w:val="20"/>
                <w:color w:val="auto"/>
              </w:rPr>
            </w:pPr>
            <w:r>
              <w:rPr>
                <w:rFonts w:ascii="Calibri" w:cs="Calibri" w:eastAsia="Calibri" w:hAnsi="Calibri"/>
                <w:sz w:val="14"/>
                <w:szCs w:val="14"/>
                <w:b w:val="1"/>
                <w:bCs w:val="1"/>
                <w:color w:val="231F20"/>
              </w:rPr>
              <w:t>Consolidated</w:t>
            </w:r>
          </w:p>
        </w:tc>
        <w:tc>
          <w:tcPr>
            <w:tcW w:w="1140" w:type="dxa"/>
            <w:vAlign w:val="bottom"/>
            <w:gridSpan w:val="2"/>
          </w:tcPr>
          <w:p>
            <w:pPr>
              <w:jc w:val="center"/>
              <w:ind w:right="60"/>
              <w:spacing w:after="0"/>
              <w:rPr>
                <w:sz w:val="20"/>
                <w:szCs w:val="20"/>
                <w:color w:val="auto"/>
              </w:rPr>
            </w:pPr>
            <w:r>
              <w:rPr>
                <w:rFonts w:ascii="Calibri" w:cs="Calibri" w:eastAsia="Calibri" w:hAnsi="Calibri"/>
                <w:sz w:val="14"/>
                <w:szCs w:val="14"/>
                <w:b w:val="1"/>
                <w:bCs w:val="1"/>
                <w:color w:val="auto"/>
              </w:rPr>
              <w:t>Joint Venture</w:t>
            </w:r>
          </w:p>
        </w:tc>
        <w:tc>
          <w:tcPr>
            <w:tcW w:w="1060" w:type="dxa"/>
            <w:vAlign w:val="bottom"/>
          </w:tcPr>
          <w:p>
            <w:pPr>
              <w:jc w:val="right"/>
              <w:ind w:right="322"/>
              <w:spacing w:after="0"/>
              <w:rPr>
                <w:sz w:val="20"/>
                <w:szCs w:val="20"/>
                <w:color w:val="auto"/>
              </w:rPr>
            </w:pPr>
            <w:r>
              <w:rPr>
                <w:rFonts w:ascii="Arial" w:cs="Arial" w:eastAsia="Arial" w:hAnsi="Arial"/>
                <w:sz w:val="14"/>
                <w:szCs w:val="14"/>
                <w:b w:val="1"/>
                <w:bCs w:val="1"/>
                <w:color w:val="231F20"/>
              </w:rPr>
              <w:t>Total</w:t>
            </w:r>
          </w:p>
        </w:tc>
        <w:tc>
          <w:tcPr>
            <w:tcW w:w="840" w:type="dxa"/>
            <w:vAlign w:val="bottom"/>
          </w:tcPr>
          <w:p>
            <w:pPr>
              <w:jc w:val="center"/>
              <w:spacing w:after="0"/>
              <w:rPr>
                <w:sz w:val="20"/>
                <w:szCs w:val="20"/>
                <w:color w:val="auto"/>
              </w:rPr>
            </w:pPr>
            <w:r>
              <w:rPr>
                <w:rFonts w:ascii="Calibri" w:cs="Calibri" w:eastAsia="Calibri" w:hAnsi="Calibri"/>
                <w:sz w:val="14"/>
                <w:szCs w:val="14"/>
                <w:b w:val="1"/>
                <w:bCs w:val="1"/>
                <w:color w:val="231F20"/>
              </w:rPr>
              <w:t>Portolio</w:t>
            </w:r>
          </w:p>
        </w:tc>
        <w:tc>
          <w:tcPr>
            <w:tcW w:w="0" w:type="dxa"/>
            <w:vAlign w:val="bottom"/>
          </w:tcPr>
          <w:p>
            <w:pPr>
              <w:spacing w:after="0"/>
              <w:rPr>
                <w:sz w:val="1"/>
                <w:szCs w:val="1"/>
                <w:color w:val="auto"/>
              </w:rPr>
            </w:pPr>
          </w:p>
        </w:tc>
      </w:tr>
      <w:tr>
        <w:trPr>
          <w:trHeight w:val="122"/>
        </w:trPr>
        <w:tc>
          <w:tcPr>
            <w:tcW w:w="5400" w:type="dxa"/>
            <w:vAlign w:val="bottom"/>
            <w:vMerge w:val="restart"/>
          </w:tcPr>
          <w:p>
            <w:pPr>
              <w:ind w:left="380"/>
              <w:spacing w:after="0"/>
              <w:rPr>
                <w:sz w:val="20"/>
                <w:szCs w:val="20"/>
                <w:color w:val="auto"/>
              </w:rPr>
            </w:pPr>
            <w:r>
              <w:rPr>
                <w:rFonts w:ascii="Calibri" w:cs="Calibri" w:eastAsia="Calibri" w:hAnsi="Calibri"/>
                <w:sz w:val="18"/>
                <w:szCs w:val="18"/>
                <w:color w:val="auto"/>
              </w:rPr>
              <w:t>Minimum rents</w:t>
            </w:r>
          </w:p>
        </w:tc>
        <w:tc>
          <w:tcPr>
            <w:tcW w:w="860" w:type="dxa"/>
            <w:vAlign w:val="bottom"/>
          </w:tcPr>
          <w:p>
            <w:pPr>
              <w:jc w:val="right"/>
              <w:ind w:right="40"/>
              <w:spacing w:after="0" w:line="122" w:lineRule="exact"/>
              <w:rPr>
                <w:sz w:val="20"/>
                <w:szCs w:val="20"/>
                <w:color w:val="auto"/>
              </w:rPr>
            </w:pPr>
            <w:r>
              <w:rPr>
                <w:rFonts w:ascii="Calibri" w:cs="Calibri" w:eastAsia="Calibri" w:hAnsi="Calibri"/>
                <w:sz w:val="13"/>
                <w:szCs w:val="13"/>
                <w:b w:val="1"/>
                <w:bCs w:val="1"/>
                <w:color w:val="231F20"/>
              </w:rPr>
              <w:t>Centers</w:t>
            </w:r>
          </w:p>
        </w:tc>
        <w:tc>
          <w:tcPr>
            <w:tcW w:w="16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60" w:type="dxa"/>
            <w:vAlign w:val="bottom"/>
          </w:tcPr>
          <w:p>
            <w:pPr>
              <w:spacing w:after="0"/>
              <w:rPr>
                <w:sz w:val="10"/>
                <w:szCs w:val="10"/>
                <w:color w:val="auto"/>
              </w:rPr>
            </w:pPr>
          </w:p>
        </w:tc>
        <w:tc>
          <w:tcPr>
            <w:tcW w:w="1140" w:type="dxa"/>
            <w:vAlign w:val="bottom"/>
            <w:gridSpan w:val="2"/>
          </w:tcPr>
          <w:p>
            <w:pPr>
              <w:jc w:val="center"/>
              <w:ind w:right="60"/>
              <w:spacing w:after="0" w:line="122" w:lineRule="exact"/>
              <w:rPr>
                <w:sz w:val="20"/>
                <w:szCs w:val="20"/>
                <w:color w:val="auto"/>
              </w:rPr>
            </w:pPr>
            <w:r>
              <w:rPr>
                <w:rFonts w:ascii="Calibri" w:cs="Calibri" w:eastAsia="Calibri" w:hAnsi="Calibri"/>
                <w:sz w:val="13"/>
                <w:szCs w:val="13"/>
                <w:b w:val="1"/>
                <w:bCs w:val="1"/>
                <w:color w:val="auto"/>
              </w:rPr>
              <w:t>Centers</w:t>
            </w:r>
          </w:p>
        </w:tc>
        <w:tc>
          <w:tcPr>
            <w:tcW w:w="1060" w:type="dxa"/>
            <w:vAlign w:val="bottom"/>
          </w:tcPr>
          <w:p>
            <w:pPr>
              <w:jc w:val="right"/>
              <w:ind w:right="202"/>
              <w:spacing w:after="0" w:line="122" w:lineRule="exact"/>
              <w:rPr>
                <w:sz w:val="20"/>
                <w:szCs w:val="20"/>
                <w:color w:val="auto"/>
              </w:rPr>
            </w:pPr>
            <w:r>
              <w:rPr>
                <w:rFonts w:ascii="Arial" w:cs="Arial" w:eastAsia="Arial" w:hAnsi="Arial"/>
                <w:sz w:val="14"/>
                <w:szCs w:val="14"/>
                <w:b w:val="1"/>
                <w:bCs w:val="1"/>
                <w:color w:val="231F20"/>
              </w:rPr>
              <w:t>Centers</w:t>
            </w:r>
          </w:p>
        </w:tc>
        <w:tc>
          <w:tcPr>
            <w:tcW w:w="840" w:type="dxa"/>
            <w:vAlign w:val="bottom"/>
          </w:tcPr>
          <w:p>
            <w:pPr>
              <w:jc w:val="center"/>
              <w:spacing w:after="0" w:line="122" w:lineRule="exact"/>
              <w:rPr>
                <w:sz w:val="20"/>
                <w:szCs w:val="20"/>
                <w:color w:val="auto"/>
              </w:rPr>
            </w:pPr>
            <w:r>
              <w:rPr>
                <w:rFonts w:ascii="Calibri" w:cs="Calibri" w:eastAsia="Calibri" w:hAnsi="Calibri"/>
                <w:sz w:val="13"/>
                <w:szCs w:val="13"/>
                <w:b w:val="1"/>
                <w:bCs w:val="1"/>
                <w:color w:val="231F20"/>
              </w:rPr>
              <w:t>Centers</w:t>
            </w:r>
          </w:p>
        </w:tc>
        <w:tc>
          <w:tcPr>
            <w:tcW w:w="0" w:type="dxa"/>
            <w:vAlign w:val="bottom"/>
          </w:tcPr>
          <w:p>
            <w:pPr>
              <w:spacing w:after="0"/>
              <w:rPr>
                <w:sz w:val="1"/>
                <w:szCs w:val="1"/>
                <w:color w:val="auto"/>
              </w:rPr>
            </w:pPr>
          </w:p>
        </w:tc>
      </w:tr>
      <w:tr>
        <w:trPr>
          <w:trHeight w:val="122"/>
        </w:trPr>
        <w:tc>
          <w:tcPr>
            <w:tcW w:w="5400" w:type="dxa"/>
            <w:vAlign w:val="bottom"/>
            <w:vMerge w:val="continue"/>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Calibri" w:cs="Calibri" w:eastAsia="Calibri" w:hAnsi="Calibri"/>
                <w:sz w:val="13"/>
                <w:szCs w:val="13"/>
                <w:color w:val="auto"/>
              </w:rPr>
              <w:t>8.1</w:t>
            </w:r>
          </w:p>
        </w:tc>
        <w:tc>
          <w:tcPr>
            <w:tcW w:w="160" w:type="dxa"/>
            <w:vAlign w:val="bottom"/>
            <w:vMerge w:val="continue"/>
          </w:tcPr>
          <w:p>
            <w:pPr>
              <w:spacing w:after="0"/>
              <w:rPr>
                <w:sz w:val="10"/>
                <w:szCs w:val="10"/>
                <w:color w:val="auto"/>
              </w:rPr>
            </w:pPr>
          </w:p>
        </w:tc>
        <w:tc>
          <w:tcPr>
            <w:tcW w:w="60" w:type="dxa"/>
            <w:vAlign w:val="bottom"/>
            <w:vMerge w:val="restart"/>
          </w:tcPr>
          <w:p>
            <w:pPr>
              <w:spacing w:after="0"/>
              <w:rPr>
                <w:sz w:val="10"/>
                <w:szCs w:val="10"/>
                <w:color w:val="auto"/>
              </w:rPr>
            </w:pPr>
          </w:p>
        </w:tc>
        <w:tc>
          <w:tcPr>
            <w:tcW w:w="1080" w:type="dxa"/>
            <w:vAlign w:val="bottom"/>
            <w:vMerge w:val="restart"/>
          </w:tcPr>
          <w:p>
            <w:pPr>
              <w:jc w:val="right"/>
              <w:spacing w:after="0" w:line="167" w:lineRule="exact"/>
              <w:rPr>
                <w:sz w:val="20"/>
                <w:szCs w:val="20"/>
                <w:color w:val="auto"/>
              </w:rPr>
            </w:pPr>
            <w:r>
              <w:rPr>
                <w:rFonts w:ascii="Arial" w:cs="Arial" w:eastAsia="Arial" w:hAnsi="Arial"/>
                <w:sz w:val="16"/>
                <w:szCs w:val="16"/>
                <w:color w:val="auto"/>
              </w:rPr>
              <w:t>7.4 %</w:t>
            </w:r>
          </w:p>
        </w:tc>
        <w:tc>
          <w:tcPr>
            <w:tcW w:w="60" w:type="dxa"/>
            <w:vAlign w:val="bottom"/>
            <w:vMerge w:val="restart"/>
          </w:tcPr>
          <w:p>
            <w:pPr>
              <w:spacing w:after="0"/>
              <w:rPr>
                <w:sz w:val="10"/>
                <w:szCs w:val="10"/>
                <w:color w:val="auto"/>
              </w:rPr>
            </w:pPr>
          </w:p>
        </w:tc>
        <w:tc>
          <w:tcPr>
            <w:tcW w:w="1060" w:type="dxa"/>
            <w:vAlign w:val="bottom"/>
            <w:vMerge w:val="restart"/>
          </w:tcPr>
          <w:p>
            <w:pPr>
              <w:jc w:val="right"/>
              <w:spacing w:after="0" w:line="167" w:lineRule="exact"/>
              <w:rPr>
                <w:sz w:val="20"/>
                <w:szCs w:val="20"/>
                <w:color w:val="auto"/>
              </w:rPr>
            </w:pPr>
            <w:r>
              <w:rPr>
                <w:rFonts w:ascii="Arial" w:cs="Arial" w:eastAsia="Arial" w:hAnsi="Arial"/>
                <w:sz w:val="16"/>
                <w:szCs w:val="16"/>
                <w:color w:val="auto"/>
              </w:rPr>
              <w:t>7.8 %</w:t>
            </w:r>
          </w:p>
        </w:tc>
        <w:tc>
          <w:tcPr>
            <w:tcW w:w="840" w:type="dxa"/>
            <w:vAlign w:val="bottom"/>
            <w:vMerge w:val="restart"/>
          </w:tcPr>
          <w:p>
            <w:pPr>
              <w:jc w:val="right"/>
              <w:spacing w:after="0" w:line="167" w:lineRule="exact"/>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45"/>
        </w:trPr>
        <w:tc>
          <w:tcPr>
            <w:tcW w:w="54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400" w:type="dxa"/>
            <w:vAlign w:val="bottom"/>
          </w:tcPr>
          <w:p>
            <w:pPr>
              <w:ind w:left="380"/>
              <w:spacing w:after="0" w:line="215" w:lineRule="exact"/>
              <w:rPr>
                <w:sz w:val="20"/>
                <w:szCs w:val="20"/>
                <w:color w:val="auto"/>
              </w:rPr>
            </w:pPr>
            <w:r>
              <w:rPr>
                <w:rFonts w:ascii="Calibri" w:cs="Calibri" w:eastAsia="Calibri" w:hAnsi="Calibri"/>
                <w:sz w:val="18"/>
                <w:szCs w:val="18"/>
                <w:color w:val="auto"/>
              </w:rPr>
              <w:t>Percentage rents</w:t>
            </w:r>
          </w:p>
        </w:tc>
        <w:tc>
          <w:tcPr>
            <w:tcW w:w="860" w:type="dxa"/>
            <w:vAlign w:val="bottom"/>
          </w:tcPr>
          <w:p>
            <w:pPr>
              <w:jc w:val="right"/>
              <w:spacing w:after="0"/>
              <w:rPr>
                <w:sz w:val="20"/>
                <w:szCs w:val="20"/>
                <w:color w:val="auto"/>
              </w:rPr>
            </w:pPr>
            <w:r>
              <w:rPr>
                <w:rFonts w:ascii="Calibri" w:cs="Calibri" w:eastAsia="Calibri" w:hAnsi="Calibri"/>
                <w:sz w:val="18"/>
                <w:szCs w:val="18"/>
                <w:color w:val="auto"/>
              </w:rPr>
              <w:t>0.6</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0.9 %</w:t>
            </w:r>
          </w:p>
        </w:tc>
        <w:tc>
          <w:tcPr>
            <w:tcW w:w="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0.7 %</w:t>
            </w:r>
          </w:p>
        </w:tc>
        <w:tc>
          <w:tcPr>
            <w:tcW w:w="840" w:type="dxa"/>
            <w:vAlign w:val="bottom"/>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1"/>
        </w:trPr>
        <w:tc>
          <w:tcPr>
            <w:tcW w:w="5400" w:type="dxa"/>
            <w:vAlign w:val="bottom"/>
          </w:tcPr>
          <w:p>
            <w:pPr>
              <w:ind w:left="380"/>
              <w:spacing w:after="0" w:line="211" w:lineRule="exact"/>
              <w:rPr>
                <w:sz w:val="20"/>
                <w:szCs w:val="20"/>
                <w:color w:val="auto"/>
              </w:rPr>
            </w:pPr>
            <w:r>
              <w:rPr>
                <w:rFonts w:ascii="Calibri" w:cs="Calibri" w:eastAsia="Calibri" w:hAnsi="Calibri"/>
                <w:sz w:val="18"/>
                <w:szCs w:val="18"/>
                <w:color w:val="auto"/>
              </w:rPr>
              <w:t>Expense recoveries (d)</w:t>
            </w:r>
          </w:p>
        </w:tc>
        <w:tc>
          <w:tcPr>
            <w:tcW w:w="860" w:type="dxa"/>
            <w:vAlign w:val="bottom"/>
            <w:vMerge w:val="restart"/>
          </w:tcPr>
          <w:p>
            <w:pPr>
              <w:jc w:val="right"/>
              <w:spacing w:after="0"/>
              <w:rPr>
                <w:sz w:val="20"/>
                <w:szCs w:val="20"/>
                <w:color w:val="auto"/>
              </w:rPr>
            </w:pPr>
            <w:r>
              <w:rPr>
                <w:rFonts w:ascii="Calibri" w:cs="Calibri" w:eastAsia="Calibri" w:hAnsi="Calibri"/>
                <w:sz w:val="18"/>
                <w:szCs w:val="18"/>
                <w:color w:val="auto"/>
              </w:rPr>
              <w:t>3.1</w:t>
            </w:r>
          </w:p>
        </w:tc>
        <w:tc>
          <w:tcPr>
            <w:tcW w:w="160" w:type="dxa"/>
            <w:vAlign w:val="bottom"/>
            <w:vMerge w:val="restart"/>
          </w:tcPr>
          <w:p>
            <w:pPr>
              <w:jc w:val="right"/>
              <w:spacing w:after="0" w:line="215" w:lineRule="exact"/>
              <w:rPr>
                <w:sz w:val="20"/>
                <w:szCs w:val="20"/>
                <w:color w:val="auto"/>
              </w:rPr>
            </w:pPr>
            <w:r>
              <w:rPr>
                <w:rFonts w:ascii="Calibri" w:cs="Calibri" w:eastAsia="Calibri" w:hAnsi="Calibri"/>
                <w:sz w:val="18"/>
                <w:szCs w:val="18"/>
                <w:color w:val="auto"/>
              </w:rPr>
              <w:t>%</w:t>
            </w:r>
          </w:p>
        </w:tc>
        <w:tc>
          <w:tcPr>
            <w:tcW w:w="60" w:type="dxa"/>
            <w:vAlign w:val="bottom"/>
            <w:vMerge w:val="restart"/>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3.3 %</w:t>
            </w:r>
          </w:p>
        </w:tc>
        <w:tc>
          <w:tcPr>
            <w:tcW w:w="60" w:type="dxa"/>
            <w:vAlign w:val="bottom"/>
            <w:vMerge w:val="restart"/>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3.2 %</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52"/>
        </w:trPr>
        <w:tc>
          <w:tcPr>
            <w:tcW w:w="5400" w:type="dxa"/>
            <w:vAlign w:val="bottom"/>
            <w:vMerge w:val="restart"/>
          </w:tcPr>
          <w:p>
            <w:pPr>
              <w:ind w:left="720"/>
              <w:spacing w:after="0"/>
              <w:rPr>
                <w:sz w:val="20"/>
                <w:szCs w:val="20"/>
                <w:color w:val="auto"/>
              </w:rPr>
            </w:pPr>
            <w:r>
              <w:rPr>
                <w:rFonts w:ascii="Calibri" w:cs="Calibri" w:eastAsia="Calibri" w:hAnsi="Calibri"/>
                <w:sz w:val="18"/>
                <w:szCs w:val="18"/>
                <w:b w:val="1"/>
                <w:bCs w:val="1"/>
                <w:color w:val="auto"/>
              </w:rPr>
              <w:t>Total</w:t>
            </w:r>
          </w:p>
        </w:tc>
        <w:tc>
          <w:tcPr>
            <w:tcW w:w="8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5400" w:type="dxa"/>
            <w:vAlign w:val="bottom"/>
            <w:vMerge w:val="continue"/>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11.8 %</w:t>
            </w:r>
          </w:p>
        </w:tc>
        <w:tc>
          <w:tcPr>
            <w:tcW w:w="60" w:type="dxa"/>
            <w:vAlign w:val="bottom"/>
            <w:vMerge w:val="restart"/>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11.6 %</w:t>
            </w:r>
          </w:p>
        </w:tc>
        <w:tc>
          <w:tcPr>
            <w:tcW w:w="60" w:type="dxa"/>
            <w:vAlign w:val="bottom"/>
            <w:vMerge w:val="restart"/>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11.7 %</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52"/>
        </w:trPr>
        <w:tc>
          <w:tcPr>
            <w:tcW w:w="54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-966470</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 w:hanging="363"/>
        <w:spacing w:after="0" w:line="245" w:lineRule="auto"/>
        <w:tabs>
          <w:tab w:leader="none" w:pos="46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Sales are based on reports by retailers leasing mall and freestanding stores for the trailing 12 months for tenants that have occupied such stores for a minimum of 12 months. Sales per square foot are based on tenants 10,000 square feet and under for retail Centers. Sales per square foot excludes Community Centers and Santa Monica Place.</w:t>
      </w:r>
    </w:p>
    <w:p>
      <w:pPr>
        <w:spacing w:after="0" w:line="177" w:lineRule="exact"/>
        <w:rPr>
          <w:rFonts w:ascii="Calibri" w:cs="Calibri" w:eastAsia="Calibri" w:hAnsi="Calibri"/>
          <w:sz w:val="14"/>
          <w:szCs w:val="14"/>
          <w:color w:val="auto"/>
        </w:rPr>
      </w:pPr>
    </w:p>
    <w:p>
      <w:pPr>
        <w:ind w:left="460" w:hanging="363"/>
        <w:spacing w:after="0"/>
        <w:tabs>
          <w:tab w:leader="none" w:pos="46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Portolio Occupancy is the percentage of mall and freestanding GLA leased as of the last day of the reportng period. Portolio Occupancy excludes Community</w:t>
      </w:r>
    </w:p>
    <w:p>
      <w:pPr>
        <w:ind w:left="460"/>
        <w:spacing w:after="0" w:line="227" w:lineRule="auto"/>
        <w:rPr>
          <w:sz w:val="20"/>
          <w:szCs w:val="20"/>
          <w:color w:val="auto"/>
        </w:rPr>
      </w:pPr>
      <w:r>
        <w:rPr>
          <w:rFonts w:ascii="Calibri" w:cs="Calibri" w:eastAsia="Calibri" w:hAnsi="Calibri"/>
          <w:sz w:val="14"/>
          <w:szCs w:val="14"/>
          <w:color w:val="auto"/>
        </w:rPr>
        <w:t>Centers, Santa Monica Place, and spaces under redevelopment.</w:t>
      </w:r>
    </w:p>
    <w:p>
      <w:pPr>
        <w:spacing w:after="0" w:line="181" w:lineRule="exact"/>
        <w:rPr>
          <w:sz w:val="20"/>
          <w:szCs w:val="20"/>
          <w:color w:val="auto"/>
        </w:rPr>
      </w:pPr>
    </w:p>
    <w:p>
      <w:pPr>
        <w:ind w:left="460" w:right="120" w:hanging="363"/>
        <w:spacing w:after="0" w:line="245" w:lineRule="auto"/>
        <w:tabs>
          <w:tab w:leader="none" w:pos="460"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Average base rent per square foot is based on spaces 10,000 square feet and under, excluding Santa Monica Place. All joint venture amounts are included at pro rata.</w:t>
      </w:r>
    </w:p>
    <w:p>
      <w:pPr>
        <w:spacing w:after="0" w:line="164" w:lineRule="exact"/>
        <w:rPr>
          <w:sz w:val="20"/>
          <w:szCs w:val="20"/>
          <w:color w:val="auto"/>
        </w:rPr>
      </w:pPr>
    </w:p>
    <w:p>
      <w:pPr>
        <w:ind w:left="420" w:right="60"/>
        <w:spacing w:after="0" w:line="245" w:lineRule="auto"/>
        <w:rPr>
          <w:sz w:val="20"/>
          <w:szCs w:val="20"/>
          <w:color w:val="auto"/>
        </w:rPr>
      </w:pPr>
      <w:r>
        <w:rPr>
          <w:rFonts w:ascii="Calibri" w:cs="Calibri" w:eastAsia="Calibri" w:hAnsi="Calibri"/>
          <w:sz w:val="14"/>
          <w:szCs w:val="14"/>
          <w:color w:val="auto"/>
        </w:rPr>
        <w:t>Average base rent per square foot gives efect to the terms of each lease in efect, as of the applicable date, including any concessions, abatements and other adjustments or allowances that have been granted to the tenants. Go-Forward Portolio Centers average base rent is based on pro rata ownership as of March 31, 2026.</w:t>
      </w:r>
    </w:p>
    <w:p>
      <w:pPr>
        <w:spacing w:after="0" w:line="178" w:lineRule="exact"/>
        <w:rPr>
          <w:sz w:val="20"/>
          <w:szCs w:val="20"/>
          <w:color w:val="auto"/>
        </w:rPr>
      </w:pPr>
    </w:p>
    <w:p>
      <w:pPr>
        <w:ind w:left="460" w:hanging="363"/>
        <w:spacing w:after="0"/>
        <w:tabs>
          <w:tab w:leader="none" w:pos="46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Represents real estate tax and common area maintenance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The Macerich Company</w:t>
      </w:r>
    </w:p>
    <w:tbl>
      <w:tblPr>
        <w:tblLayout w:type="fixed"/>
        <w:tblInd w:w="0" w:type="dxa"/>
        <w:tblCellMar>
          <w:top w:w="0" w:type="dxa"/>
          <w:left w:w="0" w:type="dxa"/>
          <w:bottom w:w="0" w:type="dxa"/>
          <w:right w:w="0" w:type="dxa"/>
        </w:tblCellMar>
      </w:tblPr>
      <w:tr>
        <w:trPr>
          <w:trHeight w:val="177"/>
        </w:trPr>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80" w:type="dxa"/>
            <w:vAlign w:val="bottom"/>
          </w:tcPr>
          <w:p>
            <w:pPr>
              <w:ind w:left="2180"/>
              <w:spacing w:after="0" w:line="176" w:lineRule="exact"/>
              <w:rPr>
                <w:sz w:val="20"/>
                <w:szCs w:val="20"/>
                <w:color w:val="auto"/>
              </w:rPr>
            </w:pPr>
            <w:r>
              <w:rPr>
                <w:rFonts w:ascii="Calibri" w:cs="Calibri" w:eastAsia="Calibri" w:hAnsi="Calibri"/>
                <w:sz w:val="18"/>
                <w:szCs w:val="18"/>
                <w:b w:val="1"/>
                <w:bCs w:val="1"/>
                <w:color w:val="auto"/>
              </w:rPr>
              <w:t>Supplemental Financial and Operatng Informaton (unaudited)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80" w:type="dxa"/>
            <w:vAlign w:val="bottom"/>
          </w:tcPr>
          <w:p>
            <w:pPr>
              <w:ind w:left="1380"/>
              <w:spacing w:after="0" w:line="215" w:lineRule="exact"/>
              <w:rPr>
                <w:sz w:val="20"/>
                <w:szCs w:val="20"/>
                <w:color w:val="auto"/>
              </w:rPr>
            </w:pPr>
            <w:r>
              <w:rPr>
                <w:rFonts w:ascii="Calibri" w:cs="Calibri" w:eastAsia="Calibri" w:hAnsi="Calibri"/>
                <w:sz w:val="18"/>
                <w:szCs w:val="18"/>
                <w:b w:val="1"/>
                <w:bCs w:val="1"/>
                <w:color w:val="auto"/>
              </w:rPr>
              <w:t>Percentage of Go-Forward Portolio Centers Pro Rata Net Operatng Income by State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Calibri" w:cs="Calibri" w:eastAsia="Calibri" w:hAnsi="Calibri"/>
                <w:sz w:val="14"/>
                <w:szCs w:val="14"/>
                <w:b w:val="1"/>
                <w:bCs w:val="1"/>
                <w:color w:val="auto"/>
              </w:rPr>
              <w:t>% of Go-Forward</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Calibri" w:cs="Calibri" w:eastAsia="Calibri" w:hAnsi="Calibri"/>
                <w:sz w:val="14"/>
                <w:szCs w:val="14"/>
                <w:b w:val="1"/>
                <w:bCs w:val="1"/>
                <w:color w:val="auto"/>
              </w:rPr>
              <w:t>Portolio Centers</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8460" w:type="dxa"/>
            <w:vAlign w:val="bottom"/>
            <w:gridSpan w:val="2"/>
            <w:vMerge w:val="restart"/>
          </w:tcPr>
          <w:p>
            <w:pPr>
              <w:spacing w:after="0"/>
              <w:rPr>
                <w:sz w:val="20"/>
                <w:szCs w:val="20"/>
                <w:color w:val="auto"/>
              </w:rPr>
            </w:pPr>
            <w:r>
              <w:rPr>
                <w:rFonts w:ascii="Calibri" w:cs="Calibri" w:eastAsia="Calibri" w:hAnsi="Calibri"/>
                <w:sz w:val="18"/>
                <w:szCs w:val="18"/>
                <w:b w:val="1"/>
                <w:bCs w:val="1"/>
                <w:color w:val="auto"/>
              </w:rPr>
              <w:t>State</w:t>
            </w:r>
          </w:p>
        </w:tc>
        <w:tc>
          <w:tcPr>
            <w:tcW w:w="1260" w:type="dxa"/>
            <w:vAlign w:val="bottom"/>
          </w:tcPr>
          <w:p>
            <w:pPr>
              <w:jc w:val="center"/>
              <w:spacing w:after="0" w:line="168" w:lineRule="exact"/>
              <w:rPr>
                <w:sz w:val="20"/>
                <w:szCs w:val="20"/>
                <w:color w:val="auto"/>
              </w:rPr>
            </w:pPr>
            <w:r>
              <w:rPr>
                <w:rFonts w:ascii="Calibri" w:cs="Calibri" w:eastAsia="Calibri" w:hAnsi="Calibri"/>
                <w:sz w:val="14"/>
                <w:szCs w:val="14"/>
                <w:b w:val="1"/>
                <w:bCs w:val="1"/>
                <w:color w:val="auto"/>
              </w:rPr>
              <w:t>Pro Rata Real</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46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Calibri" w:cs="Calibri" w:eastAsia="Calibri" w:hAnsi="Calibri"/>
                <w:sz w:val="14"/>
                <w:szCs w:val="14"/>
                <w:b w:val="1"/>
                <w:bCs w:val="1"/>
                <w:color w:val="auto"/>
              </w:rPr>
              <w:t>Estate NOI (a)</w:t>
            </w:r>
          </w:p>
        </w:tc>
        <w:tc>
          <w:tcPr>
            <w:tcW w:w="0" w:type="dxa"/>
            <w:vAlign w:val="bottom"/>
          </w:tcPr>
          <w:p>
            <w:pPr>
              <w:spacing w:after="0"/>
              <w:rPr>
                <w:sz w:val="1"/>
                <w:szCs w:val="1"/>
                <w:color w:val="auto"/>
              </w:rPr>
            </w:pPr>
          </w:p>
        </w:tc>
      </w:tr>
      <w:tr>
        <w:trPr>
          <w:trHeight w:val="48"/>
        </w:trPr>
        <w:tc>
          <w:tcPr>
            <w:tcW w:w="60" w:type="dxa"/>
            <w:vAlign w:val="bottom"/>
            <w:tcBorders>
              <w:bottom w:val="single" w:sz="8" w:color="F5F5F5"/>
            </w:tcBorders>
          </w:tcPr>
          <w:p>
            <w:pPr>
              <w:spacing w:after="0"/>
              <w:rPr>
                <w:sz w:val="4"/>
                <w:szCs w:val="4"/>
                <w:color w:val="auto"/>
              </w:rPr>
            </w:pPr>
          </w:p>
        </w:tc>
        <w:tc>
          <w:tcPr>
            <w:tcW w:w="380" w:type="dxa"/>
            <w:vAlign w:val="bottom"/>
            <w:tcBorders>
              <w:top w:val="single" w:sz="8" w:color="auto"/>
              <w:bottom w:val="single" w:sz="8" w:color="F5F5F5"/>
            </w:tcBorders>
          </w:tcPr>
          <w:p>
            <w:pPr>
              <w:spacing w:after="0"/>
              <w:rPr>
                <w:sz w:val="4"/>
                <w:szCs w:val="4"/>
                <w:color w:val="auto"/>
              </w:rPr>
            </w:pPr>
          </w:p>
        </w:tc>
        <w:tc>
          <w:tcPr>
            <w:tcW w:w="8080" w:type="dxa"/>
            <w:vAlign w:val="bottom"/>
            <w:tcBorders>
              <w:bottom w:val="single" w:sz="8" w:color="F5F5F5"/>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F5F5F5"/>
            </w:tcBorders>
            <w:shd w:val="clear" w:color="auto" w:fill="F5F5F5"/>
          </w:tcPr>
          <w:p>
            <w:pPr>
              <w:spacing w:after="0"/>
              <w:rPr>
                <w:sz w:val="18"/>
                <w:szCs w:val="18"/>
                <w:color w:val="auto"/>
              </w:rPr>
            </w:pPr>
          </w:p>
        </w:tc>
        <w:tc>
          <w:tcPr>
            <w:tcW w:w="8460" w:type="dxa"/>
            <w:vAlign w:val="bottom"/>
            <w:tcBorders>
              <w:bottom w:val="single" w:sz="8" w:color="F5F5F5"/>
            </w:tcBorders>
            <w:gridSpan w:val="2"/>
            <w:shd w:val="clear" w:color="auto" w:fill="F5F5F5"/>
          </w:tcPr>
          <w:p>
            <w:pPr>
              <w:spacing w:after="0" w:line="195" w:lineRule="exact"/>
              <w:rPr>
                <w:sz w:val="20"/>
                <w:szCs w:val="20"/>
                <w:color w:val="auto"/>
              </w:rPr>
            </w:pPr>
            <w:r>
              <w:rPr>
                <w:rFonts w:ascii="Calibri" w:cs="Calibri" w:eastAsia="Calibri" w:hAnsi="Calibri"/>
                <w:sz w:val="18"/>
                <w:szCs w:val="18"/>
                <w:color w:val="auto"/>
              </w:rPr>
              <w:t>California</w:t>
            </w:r>
          </w:p>
        </w:tc>
        <w:tc>
          <w:tcPr>
            <w:tcW w:w="1260" w:type="dxa"/>
            <w:vAlign w:val="bottom"/>
            <w:tcBorders>
              <w:bottom w:val="single" w:sz="8" w:color="F5F5F5"/>
            </w:tcBorders>
            <w:shd w:val="clear" w:color="auto" w:fill="F5F5F5"/>
          </w:tcPr>
          <w:p>
            <w:pPr>
              <w:jc w:val="right"/>
              <w:spacing w:after="0" w:line="213" w:lineRule="exact"/>
              <w:rPr>
                <w:sz w:val="20"/>
                <w:szCs w:val="20"/>
                <w:color w:val="auto"/>
              </w:rPr>
            </w:pPr>
            <w:r>
              <w:rPr>
                <w:rFonts w:ascii="Calibri" w:cs="Calibri" w:eastAsia="Calibri" w:hAnsi="Calibri"/>
                <w:sz w:val="18"/>
                <w:szCs w:val="18"/>
                <w:color w:val="auto"/>
              </w:rPr>
              <w:t>24.4%</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8460" w:type="dxa"/>
            <w:vAlign w:val="bottom"/>
            <w:gridSpan w:val="2"/>
          </w:tcPr>
          <w:p>
            <w:pPr>
              <w:spacing w:after="0" w:line="215" w:lineRule="exact"/>
              <w:rPr>
                <w:sz w:val="20"/>
                <w:szCs w:val="20"/>
                <w:color w:val="auto"/>
              </w:rPr>
            </w:pPr>
            <w:r>
              <w:rPr>
                <w:rFonts w:ascii="Calibri" w:cs="Calibri" w:eastAsia="Calibri" w:hAnsi="Calibri"/>
                <w:sz w:val="18"/>
                <w:szCs w:val="18"/>
                <w:color w:val="auto"/>
              </w:rPr>
              <w:t>Arizona</w:t>
            </w:r>
          </w:p>
        </w:tc>
        <w:tc>
          <w:tcPr>
            <w:tcW w:w="1260" w:type="dxa"/>
            <w:vAlign w:val="bottom"/>
          </w:tcPr>
          <w:p>
            <w:pPr>
              <w:jc w:val="right"/>
              <w:spacing w:after="0"/>
              <w:rPr>
                <w:sz w:val="20"/>
                <w:szCs w:val="20"/>
                <w:color w:val="auto"/>
              </w:rPr>
            </w:pPr>
            <w:r>
              <w:rPr>
                <w:rFonts w:ascii="Calibri" w:cs="Calibri" w:eastAsia="Calibri" w:hAnsi="Calibri"/>
                <w:sz w:val="18"/>
                <w:szCs w:val="18"/>
                <w:color w:val="auto"/>
              </w:rPr>
              <w:t>21.3%</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Borders>
              <w:bottom w:val="single" w:sz="8" w:color="F5F5F5"/>
            </w:tcBorders>
            <w:shd w:val="clear" w:color="auto" w:fill="F5F5F5"/>
          </w:tcPr>
          <w:p>
            <w:pPr>
              <w:spacing w:after="0"/>
              <w:rPr>
                <w:sz w:val="20"/>
                <w:szCs w:val="20"/>
                <w:color w:val="auto"/>
              </w:rPr>
            </w:pPr>
          </w:p>
        </w:tc>
        <w:tc>
          <w:tcPr>
            <w:tcW w:w="8460" w:type="dxa"/>
            <w:vAlign w:val="bottom"/>
            <w:tcBorders>
              <w:bottom w:val="single" w:sz="8" w:color="F5F5F5"/>
            </w:tcBorders>
            <w:gridSpan w:val="2"/>
            <w:shd w:val="clear" w:color="auto" w:fill="F5F5F5"/>
          </w:tcPr>
          <w:p>
            <w:pPr>
              <w:spacing w:after="0" w:line="215" w:lineRule="exact"/>
              <w:rPr>
                <w:sz w:val="20"/>
                <w:szCs w:val="20"/>
                <w:color w:val="auto"/>
              </w:rPr>
            </w:pPr>
            <w:r>
              <w:rPr>
                <w:rFonts w:ascii="Calibri" w:cs="Calibri" w:eastAsia="Calibri" w:hAnsi="Calibri"/>
                <w:sz w:val="18"/>
                <w:szCs w:val="18"/>
                <w:color w:val="auto"/>
              </w:rPr>
              <w:t>New York</w:t>
            </w:r>
          </w:p>
        </w:tc>
        <w:tc>
          <w:tcPr>
            <w:tcW w:w="126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16.7%</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8460" w:type="dxa"/>
            <w:vAlign w:val="bottom"/>
            <w:gridSpan w:val="2"/>
          </w:tcPr>
          <w:p>
            <w:pPr>
              <w:spacing w:after="0" w:line="215" w:lineRule="exact"/>
              <w:rPr>
                <w:sz w:val="20"/>
                <w:szCs w:val="20"/>
                <w:color w:val="auto"/>
              </w:rPr>
            </w:pPr>
            <w:r>
              <w:rPr>
                <w:rFonts w:ascii="Calibri" w:cs="Calibri" w:eastAsia="Calibri" w:hAnsi="Calibri"/>
                <w:sz w:val="18"/>
                <w:szCs w:val="18"/>
                <w:color w:val="auto"/>
              </w:rPr>
              <w:t>Pennsylvania &amp; Virginia</w:t>
            </w:r>
          </w:p>
        </w:tc>
        <w:tc>
          <w:tcPr>
            <w:tcW w:w="1260" w:type="dxa"/>
            <w:vAlign w:val="bottom"/>
          </w:tcPr>
          <w:p>
            <w:pPr>
              <w:jc w:val="right"/>
              <w:spacing w:after="0"/>
              <w:rPr>
                <w:sz w:val="20"/>
                <w:szCs w:val="20"/>
                <w:color w:val="auto"/>
              </w:rPr>
            </w:pPr>
            <w:r>
              <w:rPr>
                <w:rFonts w:ascii="Calibri" w:cs="Calibri" w:eastAsia="Calibri" w:hAnsi="Calibri"/>
                <w:sz w:val="18"/>
                <w:szCs w:val="18"/>
                <w:color w:val="auto"/>
              </w:rPr>
              <w:t>9.9%</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Borders>
              <w:bottom w:val="single" w:sz="8" w:color="F5F5F5"/>
            </w:tcBorders>
            <w:shd w:val="clear" w:color="auto" w:fill="F5F5F5"/>
          </w:tcPr>
          <w:p>
            <w:pPr>
              <w:spacing w:after="0"/>
              <w:rPr>
                <w:sz w:val="20"/>
                <w:szCs w:val="20"/>
                <w:color w:val="auto"/>
              </w:rPr>
            </w:pPr>
          </w:p>
        </w:tc>
        <w:tc>
          <w:tcPr>
            <w:tcW w:w="8460" w:type="dxa"/>
            <w:vAlign w:val="bottom"/>
            <w:tcBorders>
              <w:bottom w:val="single" w:sz="8" w:color="F5F5F5"/>
            </w:tcBorders>
            <w:gridSpan w:val="2"/>
            <w:shd w:val="clear" w:color="auto" w:fill="F5F5F5"/>
          </w:tcPr>
          <w:p>
            <w:pPr>
              <w:spacing w:after="0" w:line="215" w:lineRule="exact"/>
              <w:rPr>
                <w:sz w:val="20"/>
                <w:szCs w:val="20"/>
                <w:color w:val="auto"/>
              </w:rPr>
            </w:pPr>
            <w:r>
              <w:rPr>
                <w:rFonts w:ascii="Calibri" w:cs="Calibri" w:eastAsia="Calibri" w:hAnsi="Calibri"/>
                <w:sz w:val="18"/>
                <w:szCs w:val="18"/>
                <w:color w:val="auto"/>
              </w:rPr>
              <w:t>New Jersey &amp; Connectcut</w:t>
            </w:r>
          </w:p>
        </w:tc>
        <w:tc>
          <w:tcPr>
            <w:tcW w:w="126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9.5%</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8460" w:type="dxa"/>
            <w:vAlign w:val="bottom"/>
            <w:gridSpan w:val="2"/>
          </w:tcPr>
          <w:p>
            <w:pPr>
              <w:spacing w:after="0" w:line="215" w:lineRule="exact"/>
              <w:rPr>
                <w:sz w:val="20"/>
                <w:szCs w:val="20"/>
                <w:color w:val="auto"/>
              </w:rPr>
            </w:pPr>
            <w:r>
              <w:rPr>
                <w:rFonts w:ascii="Calibri" w:cs="Calibri" w:eastAsia="Calibri" w:hAnsi="Calibri"/>
                <w:sz w:val="18"/>
                <w:szCs w:val="18"/>
                <w:color w:val="auto"/>
              </w:rPr>
              <w:t>Oregon</w:t>
            </w:r>
          </w:p>
        </w:tc>
        <w:tc>
          <w:tcPr>
            <w:tcW w:w="1260" w:type="dxa"/>
            <w:vAlign w:val="bottom"/>
          </w:tcPr>
          <w:p>
            <w:pPr>
              <w:jc w:val="right"/>
              <w:spacing w:after="0"/>
              <w:rPr>
                <w:sz w:val="20"/>
                <w:szCs w:val="20"/>
                <w:color w:val="auto"/>
              </w:rPr>
            </w:pPr>
            <w:r>
              <w:rPr>
                <w:rFonts w:ascii="Calibri" w:cs="Calibri" w:eastAsia="Calibri" w:hAnsi="Calibri"/>
                <w:sz w:val="18"/>
                <w:szCs w:val="18"/>
                <w:color w:val="auto"/>
              </w:rPr>
              <w:t>7.3%</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Borders>
              <w:bottom w:val="single" w:sz="8" w:color="F5F5F5"/>
            </w:tcBorders>
            <w:shd w:val="clear" w:color="auto" w:fill="F5F5F5"/>
          </w:tcPr>
          <w:p>
            <w:pPr>
              <w:spacing w:after="0"/>
              <w:rPr>
                <w:sz w:val="20"/>
                <w:szCs w:val="20"/>
                <w:color w:val="auto"/>
              </w:rPr>
            </w:pPr>
          </w:p>
        </w:tc>
        <w:tc>
          <w:tcPr>
            <w:tcW w:w="8460" w:type="dxa"/>
            <w:vAlign w:val="bottom"/>
            <w:tcBorders>
              <w:bottom w:val="single" w:sz="8" w:color="F5F5F5"/>
            </w:tcBorders>
            <w:gridSpan w:val="2"/>
            <w:shd w:val="clear" w:color="auto" w:fill="F5F5F5"/>
          </w:tcPr>
          <w:p>
            <w:pPr>
              <w:spacing w:after="0" w:line="215" w:lineRule="exact"/>
              <w:rPr>
                <w:sz w:val="20"/>
                <w:szCs w:val="20"/>
                <w:color w:val="auto"/>
              </w:rPr>
            </w:pPr>
            <w:r>
              <w:rPr>
                <w:rFonts w:ascii="Calibri" w:cs="Calibri" w:eastAsia="Calibri" w:hAnsi="Calibri"/>
                <w:sz w:val="18"/>
                <w:szCs w:val="18"/>
                <w:color w:val="auto"/>
              </w:rPr>
              <w:t>Colorado &amp; Illinois</w:t>
            </w:r>
          </w:p>
        </w:tc>
        <w:tc>
          <w:tcPr>
            <w:tcW w:w="126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6.7%</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8460" w:type="dxa"/>
            <w:vAlign w:val="bottom"/>
            <w:gridSpan w:val="2"/>
          </w:tcPr>
          <w:p>
            <w:pPr>
              <w:spacing w:after="0" w:line="215" w:lineRule="exact"/>
              <w:rPr>
                <w:sz w:val="20"/>
                <w:szCs w:val="20"/>
                <w:color w:val="auto"/>
              </w:rPr>
            </w:pPr>
            <w:r>
              <w:rPr>
                <w:rFonts w:ascii="Calibri" w:cs="Calibri" w:eastAsia="Calibri" w:hAnsi="Calibri"/>
                <w:sz w:val="18"/>
                <w:szCs w:val="18"/>
                <w:color w:val="auto"/>
              </w:rPr>
              <w:t>Other (b)</w:t>
            </w:r>
          </w:p>
        </w:tc>
        <w:tc>
          <w:tcPr>
            <w:tcW w:w="1260" w:type="dxa"/>
            <w:vAlign w:val="bottom"/>
          </w:tcPr>
          <w:p>
            <w:pPr>
              <w:jc w:val="right"/>
              <w:spacing w:after="0"/>
              <w:rPr>
                <w:sz w:val="20"/>
                <w:szCs w:val="20"/>
                <w:color w:val="auto"/>
              </w:rPr>
            </w:pPr>
            <w:r>
              <w:rPr>
                <w:rFonts w:ascii="Calibri" w:cs="Calibri" w:eastAsia="Calibri" w:hAnsi="Calibri"/>
                <w:sz w:val="18"/>
                <w:szCs w:val="18"/>
                <w:color w:val="auto"/>
              </w:rPr>
              <w:t>4.2%</w:t>
            </w:r>
          </w:p>
        </w:tc>
        <w:tc>
          <w:tcPr>
            <w:tcW w:w="0" w:type="dxa"/>
            <w:vAlign w:val="bottom"/>
          </w:tcPr>
          <w:p>
            <w:pPr>
              <w:spacing w:after="0"/>
              <w:rPr>
                <w:sz w:val="1"/>
                <w:szCs w:val="1"/>
                <w:color w:val="auto"/>
              </w:rPr>
            </w:pPr>
          </w:p>
        </w:tc>
      </w:tr>
      <w:tr>
        <w:trPr>
          <w:trHeight w:val="24"/>
        </w:trPr>
        <w:tc>
          <w:tcPr>
            <w:tcW w:w="60" w:type="dxa"/>
            <w:vAlign w:val="bottom"/>
            <w:tcBorders>
              <w:bottom w:val="single" w:sz="8" w:color="F5F5F5"/>
            </w:tcBorders>
          </w:tcPr>
          <w:p>
            <w:pPr>
              <w:spacing w:after="0"/>
              <w:rPr>
                <w:sz w:val="2"/>
                <w:szCs w:val="2"/>
                <w:color w:val="auto"/>
              </w:rPr>
            </w:pPr>
          </w:p>
        </w:tc>
        <w:tc>
          <w:tcPr>
            <w:tcW w:w="380" w:type="dxa"/>
            <w:vAlign w:val="bottom"/>
            <w:tcBorders>
              <w:bottom w:val="single" w:sz="8" w:color="F5F5F5"/>
            </w:tcBorders>
          </w:tcPr>
          <w:p>
            <w:pPr>
              <w:spacing w:after="0"/>
              <w:rPr>
                <w:sz w:val="2"/>
                <w:szCs w:val="2"/>
                <w:color w:val="auto"/>
              </w:rPr>
            </w:pPr>
          </w:p>
        </w:tc>
        <w:tc>
          <w:tcPr>
            <w:tcW w:w="8080" w:type="dxa"/>
            <w:vAlign w:val="bottom"/>
            <w:tcBorders>
              <w:bottom w:val="single" w:sz="8" w:color="F5F5F5"/>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60" w:type="dxa"/>
            <w:vAlign w:val="bottom"/>
            <w:tcBorders>
              <w:bottom w:val="single" w:sz="8" w:color="F5F5F5"/>
            </w:tcBorders>
            <w:shd w:val="clear" w:color="auto" w:fill="F5F5F5"/>
          </w:tcPr>
          <w:p>
            <w:pPr>
              <w:spacing w:after="0"/>
              <w:rPr>
                <w:sz w:val="19"/>
                <w:szCs w:val="19"/>
                <w:color w:val="auto"/>
              </w:rPr>
            </w:pPr>
          </w:p>
        </w:tc>
        <w:tc>
          <w:tcPr>
            <w:tcW w:w="8460" w:type="dxa"/>
            <w:vAlign w:val="bottom"/>
            <w:tcBorders>
              <w:bottom w:val="single" w:sz="8" w:color="F5F5F5"/>
            </w:tcBorders>
            <w:gridSpan w:val="2"/>
            <w:shd w:val="clear" w:color="auto" w:fill="F5F5F5"/>
          </w:tcPr>
          <w:p>
            <w:pPr>
              <w:spacing w:after="0" w:line="195" w:lineRule="exact"/>
              <w:rPr>
                <w:sz w:val="20"/>
                <w:szCs w:val="20"/>
                <w:color w:val="auto"/>
              </w:rPr>
            </w:pPr>
            <w:r>
              <w:rPr>
                <w:rFonts w:ascii="Calibri" w:cs="Calibri" w:eastAsia="Calibri" w:hAnsi="Calibri"/>
                <w:sz w:val="18"/>
                <w:szCs w:val="18"/>
                <w:color w:val="auto"/>
              </w:rPr>
              <w:t>Total</w:t>
            </w:r>
          </w:p>
        </w:tc>
        <w:tc>
          <w:tcPr>
            <w:tcW w:w="1260" w:type="dxa"/>
            <w:vAlign w:val="bottom"/>
            <w:tcBorders>
              <w:bottom w:val="single" w:sz="8" w:color="auto"/>
            </w:tcBorders>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100.0%</w:t>
            </w:r>
          </w:p>
        </w:tc>
        <w:tc>
          <w:tcPr>
            <w:tcW w:w="0" w:type="dxa"/>
            <w:vAlign w:val="bottom"/>
          </w:tcPr>
          <w:p>
            <w:pPr>
              <w:spacing w:after="0"/>
              <w:rPr>
                <w:sz w:val="1"/>
                <w:szCs w:val="1"/>
                <w:color w:val="auto"/>
              </w:rPr>
            </w:pPr>
          </w:p>
        </w:tc>
      </w:tr>
      <w:tr>
        <w:trPr>
          <w:trHeight w:val="20"/>
        </w:trPr>
        <w:tc>
          <w:tcPr>
            <w:tcW w:w="60" w:type="dxa"/>
            <w:vAlign w:val="bottom"/>
            <w:tcBorders>
              <w:top w:val="single" w:sz="8" w:color="F5F5F5"/>
            </w:tcBorders>
          </w:tcPr>
          <w:p>
            <w:pPr>
              <w:spacing w:after="0" w:line="20" w:lineRule="exact"/>
              <w:rPr>
                <w:sz w:val="1"/>
                <w:szCs w:val="1"/>
                <w:color w:val="auto"/>
              </w:rPr>
            </w:pPr>
          </w:p>
        </w:tc>
        <w:tc>
          <w:tcPr>
            <w:tcW w:w="380" w:type="dxa"/>
            <w:vAlign w:val="bottom"/>
            <w:tcBorders>
              <w:top w:val="single" w:sz="8" w:color="F5F5F5"/>
            </w:tcBorders>
          </w:tcPr>
          <w:p>
            <w:pPr>
              <w:spacing w:after="0" w:line="20" w:lineRule="exact"/>
              <w:rPr>
                <w:sz w:val="1"/>
                <w:szCs w:val="1"/>
                <w:color w:val="auto"/>
              </w:rPr>
            </w:pPr>
          </w:p>
        </w:tc>
        <w:tc>
          <w:tcPr>
            <w:tcW w:w="8080" w:type="dxa"/>
            <w:vAlign w:val="bottom"/>
            <w:tcBorders>
              <w:top w:val="single" w:sz="8" w:color="F5F5F5"/>
            </w:tcBorders>
          </w:tcPr>
          <w:p>
            <w:pPr>
              <w:spacing w:after="0" w:line="20" w:lineRule="exact"/>
              <w:rPr>
                <w:sz w:val="1"/>
                <w:szCs w:val="1"/>
                <w:color w:val="auto"/>
              </w:rPr>
            </w:pPr>
          </w:p>
        </w:tc>
        <w:tc>
          <w:tcPr>
            <w:tcW w:w="1260" w:type="dxa"/>
            <w:vAlign w:val="bottom"/>
            <w:tcBorders>
              <w:top w:val="single" w:sz="8" w:color="F5F5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20" w:right="100" w:hanging="413"/>
        <w:spacing w:after="0" w:line="246" w:lineRule="auto"/>
        <w:tabs>
          <w:tab w:leader="none" w:pos="42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The percentage of Go-Forward Portolio Centers trailing twelve months ending March 31, 2026 Pro Rata Real Estate NOI excludes Crabtree Mall, and straight-line and above/below market adjustments to minimum rents. Go-Forward Portolio Centers trailing twelve months ending March 31, 2026. Pro Rata Real Estate NOI excludes REIT general and administratve expenses, management company revenues, management company expenses and leasing expenses (including joint ventures at pro rata).</w:t>
      </w:r>
    </w:p>
    <w:p>
      <w:pPr>
        <w:spacing w:after="0" w:line="337" w:lineRule="exact"/>
        <w:rPr>
          <w:rFonts w:ascii="Calibri" w:cs="Calibri" w:eastAsia="Calibri" w:hAnsi="Calibri"/>
          <w:sz w:val="14"/>
          <w:szCs w:val="14"/>
          <w:color w:val="auto"/>
        </w:rPr>
      </w:pPr>
    </w:p>
    <w:p>
      <w:pPr>
        <w:ind w:left="420" w:hanging="413"/>
        <w:spacing w:after="0"/>
        <w:tabs>
          <w:tab w:leader="none" w:pos="42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“Other” includes Indiana, Iowa and Texas.</w:t>
      </w:r>
    </w:p>
    <w:p>
      <w:pPr>
        <w:sectPr>
          <w:pgSz w:w="11900" w:h="16838" w:orient="portrait"/>
          <w:cols w:equalWidth="0" w:num="1">
            <w:col w:w="9880"/>
          </w:cols>
          <w:pgMar w:left="980" w:top="68" w:right="10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Calibri" w:cs="Calibri" w:eastAsia="Calibri" w:hAnsi="Calibri"/>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Calibri" w:cs="Calibri" w:eastAsia="Calibri" w:hAnsi="Calibri"/>
          <w:sz w:val="18"/>
          <w:szCs w:val="18"/>
          <w:b w:val="1"/>
          <w:bCs w:val="1"/>
          <w:color w:val="auto"/>
        </w:rPr>
        <w:t>The Macerich Company</w:t>
      </w:r>
    </w:p>
    <w:p>
      <w:pPr>
        <w:jc w:val="center"/>
        <w:ind w:right="-239"/>
        <w:spacing w:after="0" w:line="206" w:lineRule="auto"/>
        <w:rPr>
          <w:sz w:val="20"/>
          <w:szCs w:val="20"/>
          <w:color w:val="auto"/>
        </w:rPr>
      </w:pPr>
      <w:r>
        <w:rPr>
          <w:rFonts w:ascii="Calibri" w:cs="Calibri" w:eastAsia="Calibri" w:hAnsi="Calibri"/>
          <w:sz w:val="18"/>
          <w:szCs w:val="18"/>
          <w:b w:val="1"/>
          <w:bCs w:val="1"/>
          <w:color w:val="auto"/>
        </w:rPr>
        <w:t>Property Listng</w:t>
      </w:r>
    </w:p>
    <w:p>
      <w:pPr>
        <w:jc w:val="center"/>
        <w:ind w:right="-259"/>
        <w:spacing w:after="0" w:line="221" w:lineRule="auto"/>
        <w:rPr>
          <w:sz w:val="20"/>
          <w:szCs w:val="20"/>
          <w:color w:val="auto"/>
        </w:rPr>
      </w:pPr>
      <w:r>
        <w:rPr>
          <w:rFonts w:ascii="Calibri" w:cs="Calibri" w:eastAsia="Calibri" w:hAnsi="Calibri"/>
          <w:sz w:val="18"/>
          <w:szCs w:val="18"/>
          <w:b w:val="1"/>
          <w:bCs w:val="1"/>
          <w:color w:val="auto"/>
        </w:rPr>
        <w:t>As of March 31, 2026</w:t>
      </w:r>
    </w:p>
    <w:p>
      <w:pPr>
        <w:spacing w:after="0" w:line="218" w:lineRule="exact"/>
        <w:rPr>
          <w:sz w:val="20"/>
          <w:szCs w:val="20"/>
          <w:color w:val="auto"/>
        </w:rPr>
      </w:pPr>
    </w:p>
    <w:p>
      <w:pPr>
        <w:ind w:right="140"/>
        <w:spacing w:after="0" w:line="213" w:lineRule="auto"/>
        <w:rPr>
          <w:sz w:val="20"/>
          <w:szCs w:val="20"/>
          <w:color w:val="auto"/>
        </w:rPr>
      </w:pPr>
      <w:r>
        <w:rPr>
          <w:rFonts w:ascii="Calibri" w:cs="Calibri" w:eastAsia="Calibri" w:hAnsi="Calibri"/>
          <w:sz w:val="18"/>
          <w:szCs w:val="18"/>
          <w:color w:val="auto"/>
        </w:rPr>
        <w:t>The following table sets forth certain informaton regarding the Centers and other locatons that are wholly owned or partly owned by the Company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260" w:type="dxa"/>
            <w:vAlign w:val="bottom"/>
          </w:tcPr>
          <w:p>
            <w:pPr>
              <w:spacing w:after="0"/>
              <w:rPr>
                <w:sz w:val="19"/>
                <w:szCs w:val="19"/>
                <w:color w:val="auto"/>
              </w:rPr>
            </w:pPr>
          </w:p>
        </w:tc>
        <w:tc>
          <w:tcPr>
            <w:tcW w:w="4660" w:type="dxa"/>
            <w:vAlign w:val="bottom"/>
            <w:gridSpan w:val="2"/>
          </w:tcPr>
          <w:p>
            <w:pPr>
              <w:ind w:left="60"/>
              <w:spacing w:after="0"/>
              <w:rPr>
                <w:sz w:val="20"/>
                <w:szCs w:val="20"/>
                <w:color w:val="auto"/>
              </w:rPr>
            </w:pPr>
            <w:r>
              <w:rPr>
                <w:rFonts w:ascii="Calibri" w:cs="Calibri" w:eastAsia="Calibri" w:hAnsi="Calibri"/>
                <w:sz w:val="18"/>
                <w:szCs w:val="18"/>
                <w:b w:val="1"/>
                <w:bCs w:val="1"/>
                <w:color w:val="007681"/>
              </w:rPr>
              <w:t>CONSOLIDATED CENTERS:</w:t>
            </w:r>
          </w:p>
        </w:tc>
        <w:tc>
          <w:tcPr>
            <w:tcW w:w="2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rPr>
              <w:t>1</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Arrowhead Towne Center(c)</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1993/2002</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2015</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1,078,000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Glendale, Arizona</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rPr>
              <w:t>2</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Crabtree Mall(c)</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1972/2025</w:t>
            </w:r>
          </w:p>
        </w:tc>
        <w:tc>
          <w:tcPr>
            <w:tcW w:w="1240" w:type="dxa"/>
            <w:vAlign w:val="bottom"/>
          </w:tcPr>
          <w:p>
            <w:pPr>
              <w:ind w:left="220"/>
              <w:spacing w:after="0"/>
              <w:rPr>
                <w:sz w:val="20"/>
                <w:szCs w:val="20"/>
                <w:color w:val="auto"/>
              </w:rPr>
            </w:pPr>
            <w:r>
              <w:rPr>
                <w:rFonts w:ascii="Calibri" w:cs="Calibri" w:eastAsia="Calibri" w:hAnsi="Calibri"/>
                <w:sz w:val="18"/>
                <w:szCs w:val="18"/>
                <w:color w:val="auto"/>
              </w:rPr>
              <w:t>ongoing</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1,320,000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Raleigh, North Carolina</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Danbury Fair Mall(c)</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1986/2005</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2016</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1,274,000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Danbury, Connectcut</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Desert Sky Mall(c)</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1981/2002</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2007</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638,000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Phoenix, Arizona</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rPr>
              <w:t>5</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Eastland Mall(c)(d)</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1978/1998</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1996</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1,013,000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Evansville, Indiana</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rPr>
              <w:t>6</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Fashion District Philadelphia(c)</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1977/2014</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2019</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722,000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Philadelphia, Pennsylvania</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rPr>
              <w:t>7</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Fashion Outlets of Chicago(c)</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2013/—</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7"/>
              </w:rPr>
              <w:t>—</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528,000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Rosemont, Illinois</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rPr>
              <w:t>8</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Fashion Outlets of Niagara Falls USA</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1982/2011</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2014</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685,000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Niagara Falls, New York</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rPr>
              <w:t>9</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Freehold Raceway Mall(c)</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1990/2005</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2007</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1,669,000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Freehold, New Jersey</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w w:val="87"/>
              </w:rPr>
              <w:t>10</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Fresno Fashion Fair(c)</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1970/1996</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2006</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970,000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Fresno, California</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w w:val="87"/>
              </w:rPr>
              <w:t>11</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Green Acres Mall(c)(d)</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1956/2013</w:t>
            </w:r>
          </w:p>
        </w:tc>
        <w:tc>
          <w:tcPr>
            <w:tcW w:w="1240" w:type="dxa"/>
            <w:vAlign w:val="bottom"/>
          </w:tcPr>
          <w:p>
            <w:pPr>
              <w:ind w:left="220"/>
              <w:spacing w:after="0"/>
              <w:rPr>
                <w:sz w:val="20"/>
                <w:szCs w:val="20"/>
                <w:color w:val="auto"/>
              </w:rPr>
            </w:pPr>
            <w:r>
              <w:rPr>
                <w:rFonts w:ascii="Calibri" w:cs="Calibri" w:eastAsia="Calibri" w:hAnsi="Calibri"/>
                <w:sz w:val="18"/>
                <w:szCs w:val="18"/>
                <w:color w:val="auto"/>
              </w:rPr>
              <w:t>ongoing</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1,899,000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Valley Stream, New York</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w w:val="87"/>
              </w:rPr>
              <w:t>12</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Inland Center(c)</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1966/2004</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2016</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895,000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San Bernardino, California</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w w:val="87"/>
              </w:rPr>
              <w:t>13</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Kings Plaza Shopping Center(c)(d)</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1971/2012</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2018</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1,100,000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Brooklyn, New York</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w w:val="87"/>
              </w:rPr>
              <w:t>14</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La Cumbre Plaza(d)</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1967/2004</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1989</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325,000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Santa Barbara, California</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8"/>
        </w:trPr>
        <w:tc>
          <w:tcPr>
            <w:tcW w:w="260" w:type="dxa"/>
            <w:vAlign w:val="bottom"/>
          </w:tcPr>
          <w:p>
            <w:pPr>
              <w:jc w:val="right"/>
              <w:spacing w:after="0"/>
              <w:rPr>
                <w:sz w:val="20"/>
                <w:szCs w:val="20"/>
                <w:color w:val="auto"/>
              </w:rPr>
            </w:pPr>
            <w:r>
              <w:rPr>
                <w:rFonts w:ascii="Calibri" w:cs="Calibri" w:eastAsia="Calibri" w:hAnsi="Calibri"/>
                <w:sz w:val="18"/>
                <w:szCs w:val="18"/>
                <w:color w:val="auto"/>
                <w:w w:val="87"/>
              </w:rPr>
              <w:t>15</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720" w:type="dxa"/>
            <w:vAlign w:val="bottom"/>
          </w:tcPr>
          <w:p>
            <w:pPr>
              <w:ind w:left="100"/>
              <w:spacing w:after="0"/>
              <w:rPr>
                <w:sz w:val="20"/>
                <w:szCs w:val="20"/>
                <w:color w:val="auto"/>
              </w:rPr>
            </w:pPr>
            <w:r>
              <w:rPr>
                <w:rFonts w:ascii="Calibri" w:cs="Calibri" w:eastAsia="Calibri" w:hAnsi="Calibri"/>
                <w:sz w:val="18"/>
                <w:szCs w:val="18"/>
                <w:color w:val="auto"/>
              </w:rPr>
              <w:t>Los Cerritos Center(c)</w:t>
            </w:r>
          </w:p>
        </w:tc>
        <w:tc>
          <w:tcPr>
            <w:tcW w:w="2080" w:type="dxa"/>
            <w:vAlign w:val="bottom"/>
          </w:tcPr>
          <w:p>
            <w:pPr>
              <w:jc w:val="right"/>
              <w:ind w:right="130"/>
              <w:spacing w:after="0"/>
              <w:rPr>
                <w:sz w:val="20"/>
                <w:szCs w:val="20"/>
                <w:color w:val="auto"/>
              </w:rPr>
            </w:pPr>
            <w:r>
              <w:rPr>
                <w:rFonts w:ascii="Calibri" w:cs="Calibri" w:eastAsia="Calibri" w:hAnsi="Calibri"/>
                <w:sz w:val="18"/>
                <w:szCs w:val="18"/>
                <w:color w:val="auto"/>
              </w:rPr>
              <w:t>1971/1999</w:t>
            </w:r>
          </w:p>
        </w:tc>
        <w:tc>
          <w:tcPr>
            <w:tcW w:w="1240" w:type="dxa"/>
            <w:vAlign w:val="bottom"/>
          </w:tcPr>
          <w:p>
            <w:pPr>
              <w:jc w:val="center"/>
              <w:ind w:right="110"/>
              <w:spacing w:after="0"/>
              <w:rPr>
                <w:sz w:val="20"/>
                <w:szCs w:val="20"/>
                <w:color w:val="auto"/>
              </w:rPr>
            </w:pPr>
            <w:r>
              <w:rPr>
                <w:rFonts w:ascii="Calibri" w:cs="Calibri" w:eastAsia="Calibri" w:hAnsi="Calibri"/>
                <w:sz w:val="18"/>
                <w:szCs w:val="18"/>
                <w:color w:val="auto"/>
                <w:w w:val="98"/>
              </w:rPr>
              <w:t>2016</w:t>
            </w:r>
          </w:p>
        </w:tc>
        <w:tc>
          <w:tcPr>
            <w:tcW w:w="1160" w:type="dxa"/>
            <w:vAlign w:val="bottom"/>
          </w:tcPr>
          <w:p>
            <w:pPr>
              <w:jc w:val="right"/>
              <w:spacing w:after="0"/>
              <w:rPr>
                <w:sz w:val="20"/>
                <w:szCs w:val="20"/>
                <w:color w:val="auto"/>
              </w:rPr>
            </w:pPr>
            <w:r>
              <w:rPr>
                <w:rFonts w:ascii="Calibri" w:cs="Calibri" w:eastAsia="Calibri" w:hAnsi="Calibri"/>
                <w:sz w:val="18"/>
                <w:szCs w:val="18"/>
                <w:color w:val="auto"/>
              </w:rPr>
              <w:t>1,151,000</w:t>
            </w:r>
          </w:p>
        </w:tc>
      </w:tr>
      <w:tr>
        <w:trPr>
          <w:trHeight w:val="215"/>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20" w:type="dxa"/>
            <w:vAlign w:val="bottom"/>
          </w:tcPr>
          <w:p>
            <w:pPr>
              <w:ind w:left="100"/>
              <w:spacing w:after="0" w:line="215" w:lineRule="exact"/>
              <w:rPr>
                <w:sz w:val="20"/>
                <w:szCs w:val="20"/>
                <w:color w:val="auto"/>
              </w:rPr>
            </w:pPr>
            <w:r>
              <w:rPr>
                <w:rFonts w:ascii="Calibri" w:cs="Calibri" w:eastAsia="Calibri" w:hAnsi="Calibri"/>
                <w:sz w:val="18"/>
                <w:szCs w:val="18"/>
                <w:color w:val="auto"/>
              </w:rPr>
              <w:t>Cerritos, California</w:t>
            </w: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ectPr>
          <w:pgSz w:w="11900" w:h="16838" w:orient="portrait"/>
          <w:cols w:equalWidth="0" w:num="1">
            <w:col w:w="9660"/>
          </w:cols>
          <w:pgMar w:left="980" w:top="1440" w:right="1259" w:bottom="0" w:gutter="0" w:footer="0" w:header="0"/>
        </w:sectPr>
      </w:pPr>
    </w:p>
    <w:bookmarkStart w:id="24" w:name="page25"/>
    <w:bookmarkEnd w:id="24"/>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 w:type="dxa"/>
            <w:vAlign w:val="bottom"/>
          </w:tcPr>
          <w:p>
            <w:pPr>
              <w:jc w:val="right"/>
              <w:spacing w:after="0"/>
              <w:rPr>
                <w:sz w:val="20"/>
                <w:szCs w:val="20"/>
                <w:color w:val="auto"/>
              </w:rPr>
            </w:pPr>
            <w:r>
              <w:rPr>
                <w:rFonts w:ascii="Calibri" w:cs="Calibri" w:eastAsia="Calibri" w:hAnsi="Calibri"/>
                <w:sz w:val="18"/>
                <w:szCs w:val="18"/>
                <w:color w:val="auto"/>
              </w:rPr>
              <w:t>16</w:t>
            </w:r>
          </w:p>
        </w:tc>
        <w:tc>
          <w:tcPr>
            <w:tcW w:w="60" w:type="dxa"/>
            <w:vAlign w:val="bottom"/>
          </w:tcPr>
          <w:p>
            <w:pPr>
              <w:spacing w:after="0"/>
              <w:rPr>
                <w:sz w:val="19"/>
                <w:szCs w:val="19"/>
                <w:color w:val="auto"/>
              </w:rPr>
            </w:pPr>
          </w:p>
        </w:tc>
        <w:tc>
          <w:tcPr>
            <w:tcW w:w="940" w:type="dxa"/>
            <w:vAlign w:val="bottom"/>
            <w:vMerge w:val="restart"/>
          </w:tcPr>
          <w:p>
            <w:pPr>
              <w:jc w:val="right"/>
              <w:ind w:right="23"/>
              <w:spacing w:after="0"/>
              <w:rPr>
                <w:sz w:val="20"/>
                <w:szCs w:val="20"/>
                <w:color w:val="auto"/>
              </w:rPr>
            </w:pPr>
            <w:r>
              <w:rPr>
                <w:rFonts w:ascii="Calibri" w:cs="Calibri" w:eastAsia="Calibri" w:hAnsi="Calibri"/>
                <w:sz w:val="18"/>
                <w:szCs w:val="18"/>
                <w:color w:val="auto"/>
              </w:rPr>
              <w:t>100%</w:t>
            </w:r>
          </w:p>
        </w:tc>
        <w:tc>
          <w:tcPr>
            <w:tcW w:w="1540" w:type="dxa"/>
            <w:vAlign w:val="bottom"/>
          </w:tcPr>
          <w:p>
            <w:pPr>
              <w:ind w:left="80"/>
              <w:spacing w:after="0"/>
              <w:rPr>
                <w:sz w:val="20"/>
                <w:szCs w:val="20"/>
                <w:color w:val="auto"/>
              </w:rPr>
            </w:pPr>
            <w:r>
              <w:rPr>
                <w:rFonts w:ascii="Calibri" w:cs="Calibri" w:eastAsia="Calibri" w:hAnsi="Calibri"/>
                <w:sz w:val="18"/>
                <w:szCs w:val="18"/>
                <w:color w:val="auto"/>
              </w:rPr>
              <w:t>NorthPark Mall(c)</w:t>
            </w:r>
          </w:p>
        </w:tc>
        <w:tc>
          <w:tcPr>
            <w:tcW w:w="2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color w:val="auto"/>
              </w:rPr>
              <w:t>1973/1998</w:t>
            </w:r>
          </w:p>
        </w:tc>
        <w:tc>
          <w:tcPr>
            <w:tcW w:w="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Calibri" w:cs="Calibri" w:eastAsia="Calibri" w:hAnsi="Calibri"/>
                <w:sz w:val="18"/>
                <w:szCs w:val="18"/>
                <w:color w:val="auto"/>
                <w:w w:val="98"/>
              </w:rPr>
              <w:t>2001</w:t>
            </w:r>
          </w:p>
        </w:tc>
        <w:tc>
          <w:tcPr>
            <w:tcW w:w="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Calibri" w:cs="Calibri" w:eastAsia="Calibri" w:hAnsi="Calibri"/>
                <w:sz w:val="18"/>
                <w:szCs w:val="18"/>
                <w:color w:val="auto"/>
              </w:rPr>
              <w:t>900,000</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540" w:type="dxa"/>
            <w:vAlign w:val="bottom"/>
          </w:tcPr>
          <w:p>
            <w:pPr>
              <w:ind w:left="80"/>
              <w:spacing w:after="0" w:line="149" w:lineRule="exact"/>
              <w:rPr>
                <w:sz w:val="20"/>
                <w:szCs w:val="20"/>
                <w:color w:val="auto"/>
              </w:rPr>
            </w:pPr>
            <w:r>
              <w:rPr>
                <w:rFonts w:ascii="Calibri" w:cs="Calibri" w:eastAsia="Calibri" w:hAnsi="Calibri"/>
                <w:sz w:val="16"/>
                <w:szCs w:val="16"/>
                <w:color w:val="auto"/>
              </w:rPr>
              <w:t>Davenport, Iowa</w:t>
            </w:r>
          </w:p>
        </w:tc>
        <w:tc>
          <w:tcPr>
            <w:tcW w:w="2560" w:type="dxa"/>
            <w:vAlign w:val="bottom"/>
            <w:gridSpan w:val="2"/>
            <w:vMerge w:val="restart"/>
          </w:tcPr>
          <w:p>
            <w:pPr>
              <w:jc w:val="center"/>
              <w:ind w:right="1580"/>
              <w:spacing w:after="0"/>
              <w:rPr>
                <w:sz w:val="20"/>
                <w:szCs w:val="20"/>
                <w:color w:val="auto"/>
              </w:rPr>
            </w:pPr>
            <w:r>
              <w:rPr>
                <w:rFonts w:ascii="Calibri" w:cs="Calibri" w:eastAsia="Calibri" w:hAnsi="Calibri"/>
                <w:sz w:val="14"/>
                <w:szCs w:val="14"/>
                <w:b w:val="1"/>
                <w:bCs w:val="1"/>
                <w:color w:val="auto"/>
              </w:rPr>
              <w:t>Name of</w:t>
            </w:r>
          </w:p>
        </w:tc>
        <w:tc>
          <w:tcPr>
            <w:tcW w:w="1580" w:type="dxa"/>
            <w:vAlign w:val="bottom"/>
            <w:gridSpan w:val="2"/>
          </w:tcPr>
          <w:p>
            <w:pPr>
              <w:jc w:val="center"/>
              <w:ind w:right="100"/>
              <w:spacing w:after="0" w:line="149" w:lineRule="exact"/>
              <w:rPr>
                <w:sz w:val="20"/>
                <w:szCs w:val="20"/>
                <w:color w:val="auto"/>
              </w:rPr>
            </w:pPr>
            <w:r>
              <w:rPr>
                <w:rFonts w:ascii="Calibri" w:cs="Calibri" w:eastAsia="Calibri" w:hAnsi="Calibri"/>
                <w:sz w:val="14"/>
                <w:szCs w:val="14"/>
                <w:b w:val="1"/>
                <w:bCs w:val="1"/>
                <w:color w:val="auto"/>
              </w:rPr>
              <w:t>Year of Original</w:t>
            </w:r>
          </w:p>
        </w:tc>
        <w:tc>
          <w:tcPr>
            <w:tcW w:w="1320" w:type="dxa"/>
            <w:vAlign w:val="bottom"/>
            <w:gridSpan w:val="2"/>
          </w:tcPr>
          <w:p>
            <w:pPr>
              <w:jc w:val="center"/>
              <w:ind w:right="80"/>
              <w:spacing w:after="0" w:line="149" w:lineRule="exact"/>
              <w:rPr>
                <w:sz w:val="20"/>
                <w:szCs w:val="20"/>
                <w:color w:val="auto"/>
              </w:rPr>
            </w:pPr>
            <w:r>
              <w:rPr>
                <w:rFonts w:ascii="Calibri" w:cs="Calibri" w:eastAsia="Calibri" w:hAnsi="Calibri"/>
                <w:sz w:val="14"/>
                <w:szCs w:val="14"/>
                <w:b w:val="1"/>
                <w:bCs w:val="1"/>
                <w:color w:val="auto"/>
              </w:rPr>
              <w:t>Year of Most</w:t>
            </w:r>
          </w:p>
        </w:tc>
        <w:tc>
          <w:tcPr>
            <w:tcW w:w="1240" w:type="dxa"/>
            <w:vAlign w:val="bottom"/>
            <w:vMerge w:val="restart"/>
          </w:tcPr>
          <w:p>
            <w:pPr>
              <w:jc w:val="right"/>
              <w:ind w:right="4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86"/>
        </w:trPr>
        <w:tc>
          <w:tcPr>
            <w:tcW w:w="480" w:type="dxa"/>
            <w:vAlign w:val="bottom"/>
            <w:vMerge w:val="restart"/>
          </w:tcPr>
          <w:p>
            <w:pPr>
              <w:jc w:val="right"/>
              <w:spacing w:after="0" w:line="135" w:lineRule="exact"/>
              <w:rPr>
                <w:sz w:val="20"/>
                <w:szCs w:val="20"/>
                <w:color w:val="auto"/>
              </w:rPr>
            </w:pPr>
            <w:r>
              <w:rPr>
                <w:rFonts w:ascii="Calibri" w:cs="Calibri" w:eastAsia="Calibri" w:hAnsi="Calibri"/>
                <w:sz w:val="13"/>
                <w:szCs w:val="13"/>
                <w:color w:val="auto"/>
              </w:rPr>
              <w:t>17</w:t>
            </w:r>
          </w:p>
        </w:tc>
        <w:tc>
          <w:tcPr>
            <w:tcW w:w="60" w:type="dxa"/>
            <w:vAlign w:val="bottom"/>
          </w:tcPr>
          <w:p>
            <w:pPr>
              <w:spacing w:after="0"/>
              <w:rPr>
                <w:sz w:val="7"/>
                <w:szCs w:val="7"/>
                <w:color w:val="auto"/>
              </w:rPr>
            </w:pPr>
          </w:p>
        </w:tc>
        <w:tc>
          <w:tcPr>
            <w:tcW w:w="940" w:type="dxa"/>
            <w:vAlign w:val="bottom"/>
          </w:tcPr>
          <w:p>
            <w:pPr>
              <w:jc w:val="right"/>
              <w:ind w:right="83"/>
              <w:spacing w:after="0" w:line="86" w:lineRule="exact"/>
              <w:rPr>
                <w:sz w:val="20"/>
                <w:szCs w:val="20"/>
                <w:color w:val="auto"/>
              </w:rPr>
            </w:pPr>
            <w:r>
              <w:rPr>
                <w:rFonts w:ascii="Calibri" w:cs="Calibri" w:eastAsia="Calibri" w:hAnsi="Calibri"/>
                <w:sz w:val="9"/>
                <w:szCs w:val="9"/>
                <w:b w:val="1"/>
                <w:bCs w:val="1"/>
                <w:color w:val="auto"/>
              </w:rPr>
              <w:t>Company’s</w:t>
            </w:r>
          </w:p>
        </w:tc>
        <w:tc>
          <w:tcPr>
            <w:tcW w:w="1540" w:type="dxa"/>
            <w:vAlign w:val="bottom"/>
            <w:vMerge w:val="restart"/>
          </w:tcPr>
          <w:p>
            <w:pPr>
              <w:ind w:left="80"/>
              <w:spacing w:after="0" w:line="135" w:lineRule="exact"/>
              <w:rPr>
                <w:sz w:val="20"/>
                <w:szCs w:val="20"/>
                <w:color w:val="auto"/>
              </w:rPr>
            </w:pPr>
            <w:r>
              <w:rPr>
                <w:rFonts w:ascii="Calibri" w:cs="Calibri" w:eastAsia="Calibri" w:hAnsi="Calibri"/>
                <w:sz w:val="13"/>
                <w:szCs w:val="13"/>
                <w:color w:val="auto"/>
              </w:rPr>
              <w:t>Pacifc View(c)</w:t>
            </w:r>
          </w:p>
        </w:tc>
        <w:tc>
          <w:tcPr>
            <w:tcW w:w="2560" w:type="dxa"/>
            <w:vAlign w:val="bottom"/>
            <w:gridSpan w:val="2"/>
            <w:vMerge w:val="continue"/>
          </w:tcPr>
          <w:p>
            <w:pPr>
              <w:spacing w:after="0"/>
              <w:rPr>
                <w:sz w:val="7"/>
                <w:szCs w:val="7"/>
                <w:color w:val="auto"/>
              </w:rPr>
            </w:pPr>
          </w:p>
        </w:tc>
        <w:tc>
          <w:tcPr>
            <w:tcW w:w="1580" w:type="dxa"/>
            <w:vAlign w:val="bottom"/>
            <w:gridSpan w:val="2"/>
          </w:tcPr>
          <w:p>
            <w:pPr>
              <w:jc w:val="center"/>
              <w:ind w:right="80"/>
              <w:spacing w:after="0" w:line="86" w:lineRule="exact"/>
              <w:rPr>
                <w:sz w:val="20"/>
                <w:szCs w:val="20"/>
                <w:color w:val="auto"/>
              </w:rPr>
            </w:pPr>
            <w:r>
              <w:rPr>
                <w:rFonts w:ascii="Calibri" w:cs="Calibri" w:eastAsia="Calibri" w:hAnsi="Calibri"/>
                <w:sz w:val="9"/>
                <w:szCs w:val="9"/>
                <w:b w:val="1"/>
                <w:bCs w:val="1"/>
                <w:color w:val="auto"/>
              </w:rPr>
              <w:t>Constructon/</w:t>
            </w:r>
          </w:p>
        </w:tc>
        <w:tc>
          <w:tcPr>
            <w:tcW w:w="1320" w:type="dxa"/>
            <w:vAlign w:val="bottom"/>
            <w:gridSpan w:val="2"/>
          </w:tcPr>
          <w:p>
            <w:pPr>
              <w:jc w:val="center"/>
              <w:ind w:right="80"/>
              <w:spacing w:after="0" w:line="86" w:lineRule="exact"/>
              <w:rPr>
                <w:sz w:val="20"/>
                <w:szCs w:val="20"/>
                <w:color w:val="auto"/>
              </w:rPr>
            </w:pPr>
            <w:r>
              <w:rPr>
                <w:rFonts w:ascii="Calibri" w:cs="Calibri" w:eastAsia="Calibri" w:hAnsi="Calibri"/>
                <w:sz w:val="9"/>
                <w:szCs w:val="9"/>
                <w:b w:val="1"/>
                <w:bCs w:val="1"/>
                <w:color w:val="auto"/>
              </w:rPr>
              <w:t>Recent Expansion/</w:t>
            </w: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4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jc w:val="right"/>
              <w:ind w:right="23"/>
              <w:spacing w:after="0"/>
              <w:rPr>
                <w:sz w:val="20"/>
                <w:szCs w:val="20"/>
                <w:color w:val="auto"/>
              </w:rPr>
            </w:pPr>
            <w:r>
              <w:rPr>
                <w:rFonts w:ascii="Calibri" w:cs="Calibri" w:eastAsia="Calibri" w:hAnsi="Calibri"/>
                <w:sz w:val="4"/>
                <w:szCs w:val="4"/>
                <w:color w:val="auto"/>
              </w:rPr>
              <w:t>100%</w:t>
            </w:r>
          </w:p>
        </w:tc>
        <w:tc>
          <w:tcPr>
            <w:tcW w:w="1540" w:type="dxa"/>
            <w:vAlign w:val="bottom"/>
            <w:vMerge w:val="continue"/>
          </w:tcPr>
          <w:p>
            <w:pPr>
              <w:spacing w:after="0"/>
              <w:rPr>
                <w:sz w:val="4"/>
                <w:szCs w:val="4"/>
                <w:color w:val="auto"/>
              </w:rPr>
            </w:pPr>
          </w:p>
        </w:tc>
        <w:tc>
          <w:tcPr>
            <w:tcW w:w="2560" w:type="dxa"/>
            <w:vAlign w:val="bottom"/>
            <w:gridSpan w:val="2"/>
            <w:vMerge w:val="restart"/>
          </w:tcPr>
          <w:p>
            <w:pPr>
              <w:jc w:val="center"/>
              <w:ind w:right="1600"/>
              <w:spacing w:after="0"/>
              <w:rPr>
                <w:sz w:val="20"/>
                <w:szCs w:val="20"/>
                <w:color w:val="auto"/>
              </w:rPr>
            </w:pPr>
            <w:r>
              <w:rPr>
                <w:rFonts w:ascii="Calibri" w:cs="Calibri" w:eastAsia="Calibri" w:hAnsi="Calibri"/>
                <w:sz w:val="14"/>
                <w:szCs w:val="14"/>
                <w:b w:val="1"/>
                <w:bCs w:val="1"/>
                <w:color w:val="auto"/>
              </w:rPr>
              <w:t>Center/Locaton</w:t>
            </w:r>
          </w:p>
        </w:tc>
        <w:tc>
          <w:tcPr>
            <w:tcW w:w="1520" w:type="dxa"/>
            <w:vAlign w:val="bottom"/>
          </w:tcPr>
          <w:p>
            <w:pPr>
              <w:jc w:val="right"/>
              <w:spacing w:after="0"/>
              <w:rPr>
                <w:sz w:val="20"/>
                <w:szCs w:val="20"/>
                <w:color w:val="auto"/>
              </w:rPr>
            </w:pPr>
            <w:r>
              <w:rPr>
                <w:rFonts w:ascii="Calibri" w:cs="Calibri" w:eastAsia="Calibri" w:hAnsi="Calibri"/>
                <w:sz w:val="4"/>
                <w:szCs w:val="4"/>
                <w:color w:val="auto"/>
              </w:rPr>
              <w:t>1965/1996</w:t>
            </w:r>
          </w:p>
        </w:tc>
        <w:tc>
          <w:tcPr>
            <w:tcW w:w="60" w:type="dxa"/>
            <w:vAlign w:val="bottom"/>
          </w:tcPr>
          <w:p>
            <w:pPr>
              <w:spacing w:after="0"/>
              <w:rPr>
                <w:sz w:val="4"/>
                <w:szCs w:val="4"/>
                <w:color w:val="auto"/>
              </w:rPr>
            </w:pPr>
          </w:p>
        </w:tc>
        <w:tc>
          <w:tcPr>
            <w:tcW w:w="1260" w:type="dxa"/>
            <w:vAlign w:val="bottom"/>
          </w:tcPr>
          <w:p>
            <w:pPr>
              <w:jc w:val="center"/>
              <w:spacing w:after="0"/>
              <w:rPr>
                <w:sz w:val="20"/>
                <w:szCs w:val="20"/>
                <w:color w:val="auto"/>
              </w:rPr>
            </w:pPr>
            <w:r>
              <w:rPr>
                <w:rFonts w:ascii="Calibri" w:cs="Calibri" w:eastAsia="Calibri" w:hAnsi="Calibri"/>
                <w:sz w:val="4"/>
                <w:szCs w:val="4"/>
                <w:color w:val="auto"/>
              </w:rPr>
              <w:t>2001</w:t>
            </w:r>
          </w:p>
        </w:tc>
        <w:tc>
          <w:tcPr>
            <w:tcW w:w="60" w:type="dxa"/>
            <w:vAlign w:val="bottom"/>
          </w:tcPr>
          <w:p>
            <w:pPr>
              <w:spacing w:after="0"/>
              <w:rPr>
                <w:sz w:val="4"/>
                <w:szCs w:val="4"/>
                <w:color w:val="auto"/>
              </w:rPr>
            </w:pPr>
          </w:p>
        </w:tc>
        <w:tc>
          <w:tcPr>
            <w:tcW w:w="1240" w:type="dxa"/>
            <w:vAlign w:val="bottom"/>
          </w:tcPr>
          <w:p>
            <w:pPr>
              <w:jc w:val="right"/>
              <w:spacing w:after="0"/>
              <w:rPr>
                <w:sz w:val="20"/>
                <w:szCs w:val="20"/>
                <w:color w:val="auto"/>
              </w:rPr>
            </w:pPr>
            <w:r>
              <w:rPr>
                <w:rFonts w:ascii="Calibri" w:cs="Calibri" w:eastAsia="Calibri" w:hAnsi="Calibri"/>
                <w:sz w:val="4"/>
                <w:szCs w:val="4"/>
                <w:color w:val="auto"/>
              </w:rPr>
              <w:t>883,000</w:t>
            </w:r>
          </w:p>
        </w:tc>
        <w:tc>
          <w:tcPr>
            <w:tcW w:w="0" w:type="dxa"/>
            <w:vAlign w:val="bottom"/>
          </w:tcPr>
          <w:p>
            <w:pPr>
              <w:spacing w:after="0"/>
              <w:rPr>
                <w:sz w:val="1"/>
                <w:szCs w:val="1"/>
                <w:color w:val="auto"/>
              </w:rPr>
            </w:pPr>
          </w:p>
        </w:tc>
      </w:tr>
      <w:tr>
        <w:trPr>
          <w:trHeight w:val="182"/>
        </w:trPr>
        <w:tc>
          <w:tcPr>
            <w:tcW w:w="54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Count</w:t>
            </w:r>
          </w:p>
        </w:tc>
        <w:tc>
          <w:tcPr>
            <w:tcW w:w="940" w:type="dxa"/>
            <w:vAlign w:val="bottom"/>
          </w:tcPr>
          <w:p>
            <w:pPr>
              <w:jc w:val="right"/>
              <w:ind w:right="3"/>
              <w:spacing w:after="0"/>
              <w:rPr>
                <w:sz w:val="20"/>
                <w:szCs w:val="20"/>
                <w:color w:val="auto"/>
              </w:rPr>
            </w:pPr>
            <w:r>
              <w:rPr>
                <w:rFonts w:ascii="Calibri" w:cs="Calibri" w:eastAsia="Calibri" w:hAnsi="Calibri"/>
                <w:sz w:val="14"/>
                <w:szCs w:val="14"/>
                <w:b w:val="1"/>
                <w:bCs w:val="1"/>
                <w:color w:val="auto"/>
              </w:rPr>
              <w:t>Ownership(a)</w:t>
            </w:r>
          </w:p>
        </w:tc>
        <w:tc>
          <w:tcPr>
            <w:tcW w:w="1540" w:type="dxa"/>
            <w:vAlign w:val="bottom"/>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Acquisiton</w:t>
            </w:r>
          </w:p>
        </w:tc>
        <w:tc>
          <w:tcPr>
            <w:tcW w:w="132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Renovaton</w:t>
            </w:r>
          </w:p>
        </w:tc>
        <w:tc>
          <w:tcPr>
            <w:tcW w:w="1240" w:type="dxa"/>
            <w:vAlign w:val="bottom"/>
          </w:tcPr>
          <w:p>
            <w:pPr>
              <w:jc w:val="right"/>
              <w:ind w:right="340"/>
              <w:spacing w:after="0"/>
              <w:rPr>
                <w:sz w:val="20"/>
                <w:szCs w:val="20"/>
                <w:color w:val="auto"/>
              </w:rPr>
            </w:pPr>
            <w:r>
              <w:rPr>
                <w:rFonts w:ascii="Calibri" w:cs="Calibri" w:eastAsia="Calibri" w:hAnsi="Calibri"/>
                <w:sz w:val="14"/>
                <w:szCs w:val="14"/>
                <w:b w:val="1"/>
                <w:bCs w:val="1"/>
                <w:color w:val="auto"/>
              </w:rPr>
              <w:t>GLA(b)</w:t>
            </w:r>
          </w:p>
        </w:tc>
        <w:tc>
          <w:tcPr>
            <w:tcW w:w="0" w:type="dxa"/>
            <w:vAlign w:val="bottom"/>
          </w:tcPr>
          <w:p>
            <w:pPr>
              <w:spacing w:after="0"/>
              <w:rPr>
                <w:sz w:val="1"/>
                <w:szCs w:val="1"/>
                <w:color w:val="auto"/>
              </w:rPr>
            </w:pPr>
          </w:p>
        </w:tc>
      </w:tr>
      <w:tr>
        <w:trPr>
          <w:trHeight w:val="223"/>
        </w:trPr>
        <w:tc>
          <w:tcPr>
            <w:tcW w:w="480" w:type="dxa"/>
            <w:vAlign w:val="bottom"/>
            <w:tcBorders>
              <w:top w:val="single" w:sz="8" w:color="auto"/>
              <w:bottom w:val="single" w:sz="8" w:color="F5F5F5"/>
            </w:tcBorders>
            <w:shd w:val="clear" w:color="auto" w:fill="F5F5F5"/>
          </w:tcPr>
          <w:p>
            <w:pPr>
              <w:spacing w:after="0"/>
              <w:rPr>
                <w:sz w:val="19"/>
                <w:szCs w:val="19"/>
                <w:color w:val="auto"/>
              </w:rPr>
            </w:pPr>
          </w:p>
        </w:tc>
        <w:tc>
          <w:tcPr>
            <w:tcW w:w="60" w:type="dxa"/>
            <w:vAlign w:val="bottom"/>
            <w:tcBorders>
              <w:top w:val="single" w:sz="8" w:color="F5F5F5"/>
              <w:bottom w:val="single" w:sz="8" w:color="F5F5F5"/>
            </w:tcBorders>
            <w:shd w:val="clear" w:color="auto" w:fill="F5F5F5"/>
          </w:tcPr>
          <w:p>
            <w:pPr>
              <w:spacing w:after="0"/>
              <w:rPr>
                <w:sz w:val="19"/>
                <w:szCs w:val="19"/>
                <w:color w:val="auto"/>
              </w:rPr>
            </w:pPr>
          </w:p>
        </w:tc>
        <w:tc>
          <w:tcPr>
            <w:tcW w:w="940" w:type="dxa"/>
            <w:vAlign w:val="bottom"/>
            <w:tcBorders>
              <w:top w:val="single" w:sz="8" w:color="auto"/>
              <w:bottom w:val="single" w:sz="8" w:color="F5F5F5"/>
            </w:tcBorders>
            <w:shd w:val="clear" w:color="auto" w:fill="F5F5F5"/>
          </w:tcPr>
          <w:p>
            <w:pPr>
              <w:spacing w:after="0"/>
              <w:rPr>
                <w:sz w:val="19"/>
                <w:szCs w:val="19"/>
                <w:color w:val="auto"/>
              </w:rPr>
            </w:pPr>
          </w:p>
        </w:tc>
        <w:tc>
          <w:tcPr>
            <w:tcW w:w="1540" w:type="dxa"/>
            <w:vAlign w:val="bottom"/>
            <w:tcBorders>
              <w:top w:val="single" w:sz="8" w:color="auto"/>
              <w:bottom w:val="single" w:sz="8" w:color="F5F5F5"/>
            </w:tcBorders>
            <w:shd w:val="clear" w:color="auto" w:fill="F5F5F5"/>
          </w:tcPr>
          <w:p>
            <w:pPr>
              <w:ind w:left="80"/>
              <w:spacing w:after="0" w:line="215" w:lineRule="exact"/>
              <w:rPr>
                <w:sz w:val="20"/>
                <w:szCs w:val="20"/>
                <w:color w:val="auto"/>
              </w:rPr>
            </w:pPr>
            <w:r>
              <w:rPr>
                <w:rFonts w:ascii="Calibri" w:cs="Calibri" w:eastAsia="Calibri" w:hAnsi="Calibri"/>
                <w:sz w:val="18"/>
                <w:szCs w:val="18"/>
                <w:color w:val="auto"/>
              </w:rPr>
              <w:t>Ventura, California</w:t>
            </w:r>
          </w:p>
        </w:tc>
        <w:tc>
          <w:tcPr>
            <w:tcW w:w="2500" w:type="dxa"/>
            <w:vAlign w:val="bottom"/>
            <w:tcBorders>
              <w:top w:val="single" w:sz="8" w:color="auto"/>
              <w:bottom w:val="single" w:sz="8" w:color="F5F5F5"/>
            </w:tcBorders>
            <w:shd w:val="clear" w:color="auto" w:fill="F5F5F5"/>
          </w:tcPr>
          <w:p>
            <w:pPr>
              <w:spacing w:after="0"/>
              <w:rPr>
                <w:sz w:val="19"/>
                <w:szCs w:val="19"/>
                <w:color w:val="auto"/>
              </w:rPr>
            </w:pPr>
          </w:p>
        </w:tc>
        <w:tc>
          <w:tcPr>
            <w:tcW w:w="60" w:type="dxa"/>
            <w:vAlign w:val="bottom"/>
            <w:tcBorders>
              <w:top w:val="single" w:sz="8" w:color="F5F5F5"/>
              <w:bottom w:val="single" w:sz="8" w:color="F5F5F5"/>
            </w:tcBorders>
            <w:shd w:val="clear" w:color="auto" w:fill="F5F5F5"/>
          </w:tcPr>
          <w:p>
            <w:pPr>
              <w:spacing w:after="0"/>
              <w:rPr>
                <w:sz w:val="19"/>
                <w:szCs w:val="19"/>
                <w:color w:val="auto"/>
              </w:rPr>
            </w:pPr>
          </w:p>
        </w:tc>
        <w:tc>
          <w:tcPr>
            <w:tcW w:w="1520" w:type="dxa"/>
            <w:vAlign w:val="bottom"/>
            <w:tcBorders>
              <w:top w:val="single" w:sz="8" w:color="auto"/>
              <w:bottom w:val="single" w:sz="8" w:color="F5F5F5"/>
            </w:tcBorders>
            <w:shd w:val="clear" w:color="auto" w:fill="F5F5F5"/>
          </w:tcPr>
          <w:p>
            <w:pPr>
              <w:spacing w:after="0"/>
              <w:rPr>
                <w:sz w:val="19"/>
                <w:szCs w:val="19"/>
                <w:color w:val="auto"/>
              </w:rPr>
            </w:pPr>
          </w:p>
        </w:tc>
        <w:tc>
          <w:tcPr>
            <w:tcW w:w="60" w:type="dxa"/>
            <w:vAlign w:val="bottom"/>
            <w:tcBorders>
              <w:top w:val="single" w:sz="8" w:color="F5F5F5"/>
              <w:bottom w:val="single" w:sz="8" w:color="F5F5F5"/>
            </w:tcBorders>
            <w:shd w:val="clear" w:color="auto" w:fill="F5F5F5"/>
          </w:tcPr>
          <w:p>
            <w:pPr>
              <w:spacing w:after="0"/>
              <w:rPr>
                <w:sz w:val="19"/>
                <w:szCs w:val="19"/>
                <w:color w:val="auto"/>
              </w:rPr>
            </w:pPr>
          </w:p>
        </w:tc>
        <w:tc>
          <w:tcPr>
            <w:tcW w:w="1260" w:type="dxa"/>
            <w:vAlign w:val="bottom"/>
            <w:tcBorders>
              <w:top w:val="single" w:sz="8" w:color="auto"/>
              <w:bottom w:val="single" w:sz="8" w:color="F5F5F5"/>
            </w:tcBorders>
            <w:shd w:val="clear" w:color="auto" w:fill="F5F5F5"/>
          </w:tcPr>
          <w:p>
            <w:pPr>
              <w:spacing w:after="0"/>
              <w:rPr>
                <w:sz w:val="19"/>
                <w:szCs w:val="19"/>
                <w:color w:val="auto"/>
              </w:rPr>
            </w:pPr>
          </w:p>
        </w:tc>
        <w:tc>
          <w:tcPr>
            <w:tcW w:w="60" w:type="dxa"/>
            <w:vAlign w:val="bottom"/>
            <w:tcBorders>
              <w:top w:val="single" w:sz="8" w:color="F5F5F5"/>
              <w:bottom w:val="single" w:sz="8" w:color="F5F5F5"/>
            </w:tcBorders>
            <w:shd w:val="clear" w:color="auto" w:fill="F5F5F5"/>
          </w:tcPr>
          <w:p>
            <w:pPr>
              <w:spacing w:after="0"/>
              <w:rPr>
                <w:sz w:val="19"/>
                <w:szCs w:val="19"/>
                <w:color w:val="auto"/>
              </w:rPr>
            </w:pPr>
          </w:p>
        </w:tc>
        <w:tc>
          <w:tcPr>
            <w:tcW w:w="1240" w:type="dxa"/>
            <w:vAlign w:val="bottom"/>
            <w:tcBorders>
              <w:top w:val="single" w:sz="8" w:color="auto"/>
              <w:bottom w:val="single" w:sz="8" w:color="F5F5F5"/>
            </w:tcBorders>
            <w:shd w:val="clear" w:color="auto" w:fill="F5F5F5"/>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80" w:type="dxa"/>
            <w:vAlign w:val="bottom"/>
          </w:tcPr>
          <w:p>
            <w:pPr>
              <w:jc w:val="right"/>
              <w:spacing w:after="0" w:line="194" w:lineRule="exact"/>
              <w:rPr>
                <w:sz w:val="20"/>
                <w:szCs w:val="20"/>
                <w:color w:val="auto"/>
              </w:rPr>
            </w:pPr>
            <w:r>
              <w:rPr>
                <w:rFonts w:ascii="Calibri" w:cs="Calibri" w:eastAsia="Calibri" w:hAnsi="Calibri"/>
                <w:sz w:val="18"/>
                <w:szCs w:val="18"/>
                <w:color w:val="auto"/>
              </w:rPr>
              <w:t>18</w:t>
            </w:r>
          </w:p>
        </w:tc>
        <w:tc>
          <w:tcPr>
            <w:tcW w:w="60" w:type="dxa"/>
            <w:vAlign w:val="bottom"/>
          </w:tcPr>
          <w:p>
            <w:pPr>
              <w:spacing w:after="0"/>
              <w:rPr>
                <w:sz w:val="16"/>
                <w:szCs w:val="16"/>
                <w:color w:val="auto"/>
              </w:rPr>
            </w:pPr>
          </w:p>
        </w:tc>
        <w:tc>
          <w:tcPr>
            <w:tcW w:w="940" w:type="dxa"/>
            <w:vAlign w:val="bottom"/>
          </w:tcPr>
          <w:p>
            <w:pPr>
              <w:jc w:val="right"/>
              <w:ind w:right="23"/>
              <w:spacing w:after="0" w:line="194" w:lineRule="exact"/>
              <w:rPr>
                <w:sz w:val="20"/>
                <w:szCs w:val="20"/>
                <w:color w:val="auto"/>
              </w:rPr>
            </w:pPr>
            <w:r>
              <w:rPr>
                <w:rFonts w:ascii="Calibri" w:cs="Calibri" w:eastAsia="Calibri" w:hAnsi="Calibri"/>
                <w:sz w:val="18"/>
                <w:szCs w:val="18"/>
                <w:color w:val="auto"/>
              </w:rPr>
              <w:t>100%</w:t>
            </w:r>
          </w:p>
        </w:tc>
        <w:tc>
          <w:tcPr>
            <w:tcW w:w="1540" w:type="dxa"/>
            <w:vAlign w:val="bottom"/>
          </w:tcPr>
          <w:p>
            <w:pPr>
              <w:ind w:left="80"/>
              <w:spacing w:after="0" w:line="194" w:lineRule="exact"/>
              <w:rPr>
                <w:sz w:val="20"/>
                <w:szCs w:val="20"/>
                <w:color w:val="auto"/>
              </w:rPr>
            </w:pPr>
            <w:r>
              <w:rPr>
                <w:rFonts w:ascii="Calibri" w:cs="Calibri" w:eastAsia="Calibri" w:hAnsi="Calibri"/>
                <w:sz w:val="18"/>
                <w:szCs w:val="18"/>
                <w:color w:val="auto"/>
                <w:w w:val="97"/>
              </w:rPr>
              <w:t>Queens Center(c)(d)</w:t>
            </w:r>
          </w:p>
        </w:tc>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jc w:val="right"/>
              <w:spacing w:after="0" w:line="194" w:lineRule="exact"/>
              <w:rPr>
                <w:sz w:val="20"/>
                <w:szCs w:val="20"/>
                <w:color w:val="auto"/>
              </w:rPr>
            </w:pPr>
            <w:r>
              <w:rPr>
                <w:rFonts w:ascii="Calibri" w:cs="Calibri" w:eastAsia="Calibri" w:hAnsi="Calibri"/>
                <w:sz w:val="18"/>
                <w:szCs w:val="18"/>
                <w:color w:val="auto"/>
              </w:rPr>
              <w:t>1973/1995</w:t>
            </w:r>
          </w:p>
        </w:tc>
        <w:tc>
          <w:tcPr>
            <w:tcW w:w="6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Calibri" w:cs="Calibri" w:eastAsia="Calibri" w:hAnsi="Calibri"/>
                <w:sz w:val="18"/>
                <w:szCs w:val="18"/>
                <w:color w:val="auto"/>
                <w:w w:val="98"/>
              </w:rPr>
              <w:t>2004</w:t>
            </w:r>
          </w:p>
        </w:tc>
        <w:tc>
          <w:tcPr>
            <w:tcW w:w="60" w:type="dxa"/>
            <w:vAlign w:val="bottom"/>
          </w:tcPr>
          <w:p>
            <w:pPr>
              <w:spacing w:after="0"/>
              <w:rPr>
                <w:sz w:val="16"/>
                <w:szCs w:val="16"/>
                <w:color w:val="auto"/>
              </w:rPr>
            </w:pPr>
          </w:p>
        </w:tc>
        <w:tc>
          <w:tcPr>
            <w:tcW w:w="1240" w:type="dxa"/>
            <w:vAlign w:val="bottom"/>
          </w:tcPr>
          <w:p>
            <w:pPr>
              <w:jc w:val="right"/>
              <w:spacing w:after="0" w:line="194" w:lineRule="exact"/>
              <w:rPr>
                <w:sz w:val="20"/>
                <w:szCs w:val="20"/>
                <w:color w:val="auto"/>
              </w:rPr>
            </w:pPr>
            <w:r>
              <w:rPr>
                <w:rFonts w:ascii="Calibri" w:cs="Calibri" w:eastAsia="Calibri" w:hAnsi="Calibri"/>
                <w:sz w:val="18"/>
                <w:szCs w:val="18"/>
                <w:color w:val="auto"/>
              </w:rPr>
              <w:t>964,000</w:t>
            </w: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ind w:left="80"/>
              <w:spacing w:after="0" w:line="215" w:lineRule="exact"/>
              <w:rPr>
                <w:sz w:val="20"/>
                <w:szCs w:val="20"/>
                <w:color w:val="auto"/>
              </w:rPr>
            </w:pPr>
            <w:r>
              <w:rPr>
                <w:rFonts w:ascii="Calibri" w:cs="Calibri" w:eastAsia="Calibri" w:hAnsi="Calibri"/>
                <w:sz w:val="18"/>
                <w:szCs w:val="18"/>
                <w:color w:val="auto"/>
              </w:rPr>
              <w:t>Queens, New York</w:t>
            </w:r>
          </w:p>
        </w:tc>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4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80" w:type="dxa"/>
            <w:vAlign w:val="bottom"/>
            <w:shd w:val="clear" w:color="auto" w:fill="F5F5F5"/>
          </w:tcPr>
          <w:p>
            <w:pPr>
              <w:jc w:val="right"/>
              <w:spacing w:after="0" w:line="194" w:lineRule="exact"/>
              <w:rPr>
                <w:sz w:val="20"/>
                <w:szCs w:val="20"/>
                <w:color w:val="auto"/>
              </w:rPr>
            </w:pPr>
            <w:r>
              <w:rPr>
                <w:rFonts w:ascii="Calibri" w:cs="Calibri" w:eastAsia="Calibri" w:hAnsi="Calibri"/>
                <w:sz w:val="18"/>
                <w:szCs w:val="18"/>
                <w:color w:val="auto"/>
              </w:rPr>
              <w:t>19</w:t>
            </w:r>
          </w:p>
        </w:tc>
        <w:tc>
          <w:tcPr>
            <w:tcW w:w="60" w:type="dxa"/>
            <w:vAlign w:val="bottom"/>
            <w:shd w:val="clear" w:color="auto" w:fill="F5F5F5"/>
          </w:tcPr>
          <w:p>
            <w:pPr>
              <w:spacing w:after="0"/>
              <w:rPr>
                <w:sz w:val="16"/>
                <w:szCs w:val="16"/>
                <w:color w:val="auto"/>
              </w:rPr>
            </w:pPr>
          </w:p>
        </w:tc>
        <w:tc>
          <w:tcPr>
            <w:tcW w:w="940" w:type="dxa"/>
            <w:vAlign w:val="bottom"/>
            <w:shd w:val="clear" w:color="auto" w:fill="F5F5F5"/>
          </w:tcPr>
          <w:p>
            <w:pPr>
              <w:jc w:val="right"/>
              <w:ind w:right="23"/>
              <w:spacing w:after="0" w:line="194" w:lineRule="exact"/>
              <w:rPr>
                <w:sz w:val="20"/>
                <w:szCs w:val="20"/>
                <w:color w:val="auto"/>
              </w:rPr>
            </w:pPr>
            <w:r>
              <w:rPr>
                <w:rFonts w:ascii="Calibri" w:cs="Calibri" w:eastAsia="Calibri" w:hAnsi="Calibri"/>
                <w:sz w:val="18"/>
                <w:szCs w:val="18"/>
                <w:color w:val="auto"/>
              </w:rPr>
              <w:t>100%</w:t>
            </w:r>
          </w:p>
        </w:tc>
        <w:tc>
          <w:tcPr>
            <w:tcW w:w="4100" w:type="dxa"/>
            <w:vAlign w:val="bottom"/>
            <w:gridSpan w:val="3"/>
            <w:shd w:val="clear" w:color="auto" w:fill="F5F5F5"/>
          </w:tcPr>
          <w:p>
            <w:pPr>
              <w:ind w:left="80"/>
              <w:spacing w:after="0" w:line="194" w:lineRule="exact"/>
              <w:rPr>
                <w:sz w:val="20"/>
                <w:szCs w:val="20"/>
                <w:color w:val="auto"/>
              </w:rPr>
            </w:pPr>
            <w:r>
              <w:rPr>
                <w:rFonts w:ascii="Calibri" w:cs="Calibri" w:eastAsia="Calibri" w:hAnsi="Calibri"/>
                <w:sz w:val="18"/>
                <w:szCs w:val="18"/>
                <w:color w:val="auto"/>
              </w:rPr>
              <w:t>Santa Monica Place(e)</w:t>
            </w:r>
          </w:p>
        </w:tc>
        <w:tc>
          <w:tcPr>
            <w:tcW w:w="1520" w:type="dxa"/>
            <w:vAlign w:val="bottom"/>
            <w:shd w:val="clear" w:color="auto" w:fill="F5F5F5"/>
          </w:tcPr>
          <w:p>
            <w:pPr>
              <w:jc w:val="right"/>
              <w:spacing w:after="0" w:line="194" w:lineRule="exact"/>
              <w:rPr>
                <w:sz w:val="20"/>
                <w:szCs w:val="20"/>
                <w:color w:val="auto"/>
              </w:rPr>
            </w:pPr>
            <w:r>
              <w:rPr>
                <w:rFonts w:ascii="Calibri" w:cs="Calibri" w:eastAsia="Calibri" w:hAnsi="Calibri"/>
                <w:sz w:val="18"/>
                <w:szCs w:val="18"/>
                <w:color w:val="auto"/>
              </w:rPr>
              <w:t>1980/1999</w:t>
            </w:r>
          </w:p>
        </w:tc>
        <w:tc>
          <w:tcPr>
            <w:tcW w:w="60" w:type="dxa"/>
            <w:vAlign w:val="bottom"/>
            <w:shd w:val="clear" w:color="auto" w:fill="F5F5F5"/>
          </w:tcPr>
          <w:p>
            <w:pPr>
              <w:spacing w:after="0"/>
              <w:rPr>
                <w:sz w:val="16"/>
                <w:szCs w:val="16"/>
                <w:color w:val="auto"/>
              </w:rPr>
            </w:pPr>
          </w:p>
        </w:tc>
        <w:tc>
          <w:tcPr>
            <w:tcW w:w="1320" w:type="dxa"/>
            <w:vAlign w:val="bottom"/>
            <w:gridSpan w:val="2"/>
            <w:shd w:val="clear" w:color="auto" w:fill="F5F5F5"/>
          </w:tcPr>
          <w:p>
            <w:pPr>
              <w:jc w:val="center"/>
              <w:ind w:right="100"/>
              <w:spacing w:after="0" w:line="194" w:lineRule="exact"/>
              <w:rPr>
                <w:sz w:val="20"/>
                <w:szCs w:val="20"/>
                <w:color w:val="auto"/>
              </w:rPr>
            </w:pPr>
            <w:r>
              <w:rPr>
                <w:rFonts w:ascii="Calibri" w:cs="Calibri" w:eastAsia="Calibri" w:hAnsi="Calibri"/>
                <w:sz w:val="18"/>
                <w:szCs w:val="18"/>
                <w:color w:val="auto"/>
                <w:w w:val="98"/>
              </w:rPr>
              <w:t>ongoing</w:t>
            </w:r>
          </w:p>
        </w:tc>
        <w:tc>
          <w:tcPr>
            <w:tcW w:w="1240" w:type="dxa"/>
            <w:vAlign w:val="bottom"/>
            <w:shd w:val="clear" w:color="auto" w:fill="F5F5F5"/>
          </w:tcPr>
          <w:p>
            <w:pPr>
              <w:jc w:val="right"/>
              <w:spacing w:after="0" w:line="194" w:lineRule="exact"/>
              <w:rPr>
                <w:sz w:val="20"/>
                <w:szCs w:val="20"/>
                <w:color w:val="auto"/>
              </w:rPr>
            </w:pPr>
            <w:r>
              <w:rPr>
                <w:rFonts w:ascii="Calibri" w:cs="Calibri" w:eastAsia="Calibri" w:hAnsi="Calibri"/>
                <w:sz w:val="18"/>
                <w:szCs w:val="18"/>
                <w:color w:val="auto"/>
              </w:rPr>
              <w:t>357,000</w:t>
            </w:r>
          </w:p>
        </w:tc>
        <w:tc>
          <w:tcPr>
            <w:tcW w:w="0" w:type="dxa"/>
            <w:vAlign w:val="bottom"/>
          </w:tcPr>
          <w:p>
            <w:pPr>
              <w:spacing w:after="0"/>
              <w:rPr>
                <w:sz w:val="1"/>
                <w:szCs w:val="1"/>
                <w:color w:val="auto"/>
              </w:rPr>
            </w:pPr>
          </w:p>
        </w:tc>
      </w:tr>
      <w:tr>
        <w:trPr>
          <w:trHeight w:val="215"/>
        </w:trPr>
        <w:tc>
          <w:tcPr>
            <w:tcW w:w="48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940" w:type="dxa"/>
            <w:vAlign w:val="bottom"/>
            <w:shd w:val="clear" w:color="auto" w:fill="F5F5F5"/>
          </w:tcPr>
          <w:p>
            <w:pPr>
              <w:spacing w:after="0"/>
              <w:rPr>
                <w:sz w:val="18"/>
                <w:szCs w:val="18"/>
                <w:color w:val="auto"/>
              </w:rPr>
            </w:pPr>
          </w:p>
        </w:tc>
        <w:tc>
          <w:tcPr>
            <w:tcW w:w="4100" w:type="dxa"/>
            <w:vAlign w:val="bottom"/>
            <w:gridSpan w:val="3"/>
            <w:shd w:val="clear" w:color="auto" w:fill="F5F5F5"/>
          </w:tcPr>
          <w:p>
            <w:pPr>
              <w:ind w:left="80"/>
              <w:spacing w:after="0" w:line="215" w:lineRule="exact"/>
              <w:rPr>
                <w:sz w:val="20"/>
                <w:szCs w:val="20"/>
                <w:color w:val="auto"/>
              </w:rPr>
            </w:pPr>
            <w:r>
              <w:rPr>
                <w:rFonts w:ascii="Calibri" w:cs="Calibri" w:eastAsia="Calibri" w:hAnsi="Calibri"/>
                <w:sz w:val="18"/>
                <w:szCs w:val="18"/>
                <w:color w:val="auto"/>
              </w:rPr>
              <w:t>Santa Monica, California</w:t>
            </w:r>
          </w:p>
        </w:tc>
        <w:tc>
          <w:tcPr>
            <w:tcW w:w="152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126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124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480" w:type="dxa"/>
            <w:vAlign w:val="bottom"/>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940" w:type="dxa"/>
            <w:vAlign w:val="bottom"/>
            <w:shd w:val="clear" w:color="auto" w:fill="F5F5F5"/>
          </w:tcPr>
          <w:p>
            <w:pPr>
              <w:spacing w:after="0"/>
              <w:rPr>
                <w:sz w:val="5"/>
                <w:szCs w:val="5"/>
                <w:color w:val="auto"/>
              </w:rPr>
            </w:pPr>
          </w:p>
        </w:tc>
        <w:tc>
          <w:tcPr>
            <w:tcW w:w="4040" w:type="dxa"/>
            <w:vAlign w:val="bottom"/>
            <w:gridSpan w:val="2"/>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1520" w:type="dxa"/>
            <w:vAlign w:val="bottom"/>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1260" w:type="dxa"/>
            <w:vAlign w:val="bottom"/>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1240" w:type="dxa"/>
            <w:vAlign w:val="bottom"/>
            <w:shd w:val="clear" w:color="auto" w:fill="F5F5F5"/>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80" w:type="dxa"/>
            <w:vAlign w:val="bottom"/>
          </w:tcPr>
          <w:p>
            <w:pPr>
              <w:jc w:val="right"/>
              <w:spacing w:after="0" w:line="194" w:lineRule="exact"/>
              <w:rPr>
                <w:sz w:val="20"/>
                <w:szCs w:val="20"/>
                <w:color w:val="auto"/>
              </w:rPr>
            </w:pPr>
            <w:r>
              <w:rPr>
                <w:rFonts w:ascii="Calibri" w:cs="Calibri" w:eastAsia="Calibri" w:hAnsi="Calibri"/>
                <w:sz w:val="18"/>
                <w:szCs w:val="18"/>
                <w:color w:val="auto"/>
              </w:rPr>
              <w:t>20</w:t>
            </w:r>
          </w:p>
        </w:tc>
        <w:tc>
          <w:tcPr>
            <w:tcW w:w="60" w:type="dxa"/>
            <w:vAlign w:val="bottom"/>
          </w:tcPr>
          <w:p>
            <w:pPr>
              <w:spacing w:after="0"/>
              <w:rPr>
                <w:sz w:val="16"/>
                <w:szCs w:val="16"/>
                <w:color w:val="auto"/>
              </w:rPr>
            </w:pPr>
          </w:p>
        </w:tc>
        <w:tc>
          <w:tcPr>
            <w:tcW w:w="940" w:type="dxa"/>
            <w:vAlign w:val="bottom"/>
          </w:tcPr>
          <w:p>
            <w:pPr>
              <w:jc w:val="right"/>
              <w:ind w:right="23"/>
              <w:spacing w:after="0" w:line="194" w:lineRule="exact"/>
              <w:rPr>
                <w:sz w:val="20"/>
                <w:szCs w:val="20"/>
                <w:color w:val="auto"/>
              </w:rPr>
            </w:pPr>
            <w:r>
              <w:rPr>
                <w:rFonts w:ascii="Calibri" w:cs="Calibri" w:eastAsia="Calibri" w:hAnsi="Calibri"/>
                <w:sz w:val="18"/>
                <w:szCs w:val="18"/>
                <w:color w:val="auto"/>
              </w:rPr>
              <w:t>84.9%</w:t>
            </w:r>
          </w:p>
        </w:tc>
        <w:tc>
          <w:tcPr>
            <w:tcW w:w="4100" w:type="dxa"/>
            <w:vAlign w:val="bottom"/>
            <w:gridSpan w:val="3"/>
          </w:tcPr>
          <w:p>
            <w:pPr>
              <w:ind w:left="80"/>
              <w:spacing w:after="0" w:line="194" w:lineRule="exact"/>
              <w:rPr>
                <w:sz w:val="20"/>
                <w:szCs w:val="20"/>
                <w:color w:val="auto"/>
              </w:rPr>
            </w:pPr>
            <w:r>
              <w:rPr>
                <w:rFonts w:ascii="Calibri" w:cs="Calibri" w:eastAsia="Calibri" w:hAnsi="Calibri"/>
                <w:sz w:val="18"/>
                <w:szCs w:val="18"/>
                <w:color w:val="auto"/>
              </w:rPr>
              <w:t>SanTan Village Regional Center(c)</w:t>
            </w:r>
          </w:p>
        </w:tc>
        <w:tc>
          <w:tcPr>
            <w:tcW w:w="1580" w:type="dxa"/>
            <w:vAlign w:val="bottom"/>
            <w:gridSpan w:val="2"/>
          </w:tcPr>
          <w:p>
            <w:pPr>
              <w:jc w:val="right"/>
              <w:ind w:right="120"/>
              <w:spacing w:after="0" w:line="194" w:lineRule="exact"/>
              <w:rPr>
                <w:sz w:val="20"/>
                <w:szCs w:val="20"/>
                <w:color w:val="auto"/>
              </w:rPr>
            </w:pPr>
            <w:r>
              <w:rPr>
                <w:rFonts w:ascii="Calibri" w:cs="Calibri" w:eastAsia="Calibri" w:hAnsi="Calibri"/>
                <w:sz w:val="18"/>
                <w:szCs w:val="18"/>
                <w:color w:val="auto"/>
              </w:rPr>
              <w:t>2007/—</w:t>
            </w:r>
          </w:p>
        </w:tc>
        <w:tc>
          <w:tcPr>
            <w:tcW w:w="1260" w:type="dxa"/>
            <w:vAlign w:val="bottom"/>
          </w:tcPr>
          <w:p>
            <w:pPr>
              <w:jc w:val="center"/>
              <w:spacing w:after="0" w:line="194" w:lineRule="exact"/>
              <w:rPr>
                <w:sz w:val="20"/>
                <w:szCs w:val="20"/>
                <w:color w:val="auto"/>
              </w:rPr>
            </w:pPr>
            <w:r>
              <w:rPr>
                <w:rFonts w:ascii="Calibri" w:cs="Calibri" w:eastAsia="Calibri" w:hAnsi="Calibri"/>
                <w:sz w:val="18"/>
                <w:szCs w:val="18"/>
                <w:color w:val="auto"/>
                <w:w w:val="98"/>
              </w:rPr>
              <w:t>2018</w:t>
            </w:r>
          </w:p>
        </w:tc>
        <w:tc>
          <w:tcPr>
            <w:tcW w:w="60" w:type="dxa"/>
            <w:vAlign w:val="bottom"/>
          </w:tcPr>
          <w:p>
            <w:pPr>
              <w:spacing w:after="0"/>
              <w:rPr>
                <w:sz w:val="16"/>
                <w:szCs w:val="16"/>
                <w:color w:val="auto"/>
              </w:rPr>
            </w:pPr>
          </w:p>
        </w:tc>
        <w:tc>
          <w:tcPr>
            <w:tcW w:w="1240" w:type="dxa"/>
            <w:vAlign w:val="bottom"/>
          </w:tcPr>
          <w:p>
            <w:pPr>
              <w:jc w:val="right"/>
              <w:spacing w:after="0" w:line="194" w:lineRule="exact"/>
              <w:rPr>
                <w:sz w:val="20"/>
                <w:szCs w:val="20"/>
                <w:color w:val="auto"/>
              </w:rPr>
            </w:pPr>
            <w:r>
              <w:rPr>
                <w:rFonts w:ascii="Calibri" w:cs="Calibri" w:eastAsia="Calibri" w:hAnsi="Calibri"/>
                <w:sz w:val="18"/>
                <w:szCs w:val="18"/>
                <w:color w:val="auto"/>
              </w:rPr>
              <w:t>1,185,000</w:t>
            </w: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ind w:left="80"/>
              <w:spacing w:after="0" w:line="215" w:lineRule="exact"/>
              <w:rPr>
                <w:sz w:val="20"/>
                <w:szCs w:val="20"/>
                <w:color w:val="auto"/>
              </w:rPr>
            </w:pPr>
            <w:r>
              <w:rPr>
                <w:rFonts w:ascii="Calibri" w:cs="Calibri" w:eastAsia="Calibri" w:hAnsi="Calibri"/>
                <w:sz w:val="18"/>
                <w:szCs w:val="18"/>
                <w:color w:val="auto"/>
              </w:rPr>
              <w:t>Gilbert, Arizona</w:t>
            </w:r>
          </w:p>
        </w:tc>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80" w:type="dxa"/>
            <w:vAlign w:val="bottom"/>
            <w:shd w:val="clear" w:color="auto" w:fill="F5F5F5"/>
          </w:tcPr>
          <w:p>
            <w:pPr>
              <w:jc w:val="right"/>
              <w:spacing w:after="0" w:line="194" w:lineRule="exact"/>
              <w:rPr>
                <w:sz w:val="20"/>
                <w:szCs w:val="20"/>
                <w:color w:val="auto"/>
              </w:rPr>
            </w:pPr>
            <w:r>
              <w:rPr>
                <w:rFonts w:ascii="Calibri" w:cs="Calibri" w:eastAsia="Calibri" w:hAnsi="Calibri"/>
                <w:sz w:val="18"/>
                <w:szCs w:val="18"/>
                <w:color w:val="auto"/>
              </w:rPr>
              <w:t>21</w:t>
            </w:r>
          </w:p>
        </w:tc>
        <w:tc>
          <w:tcPr>
            <w:tcW w:w="60" w:type="dxa"/>
            <w:vAlign w:val="bottom"/>
            <w:shd w:val="clear" w:color="auto" w:fill="F5F5F5"/>
          </w:tcPr>
          <w:p>
            <w:pPr>
              <w:spacing w:after="0"/>
              <w:rPr>
                <w:sz w:val="16"/>
                <w:szCs w:val="16"/>
                <w:color w:val="auto"/>
              </w:rPr>
            </w:pPr>
          </w:p>
        </w:tc>
        <w:tc>
          <w:tcPr>
            <w:tcW w:w="940" w:type="dxa"/>
            <w:vAlign w:val="bottom"/>
            <w:shd w:val="clear" w:color="auto" w:fill="F5F5F5"/>
          </w:tcPr>
          <w:p>
            <w:pPr>
              <w:jc w:val="right"/>
              <w:ind w:right="23"/>
              <w:spacing w:after="0" w:line="194" w:lineRule="exact"/>
              <w:rPr>
                <w:sz w:val="20"/>
                <w:szCs w:val="20"/>
                <w:color w:val="auto"/>
              </w:rPr>
            </w:pPr>
            <w:r>
              <w:rPr>
                <w:rFonts w:ascii="Calibri" w:cs="Calibri" w:eastAsia="Calibri" w:hAnsi="Calibri"/>
                <w:sz w:val="18"/>
                <w:szCs w:val="18"/>
                <w:color w:val="auto"/>
              </w:rPr>
              <w:t>100%</w:t>
            </w:r>
          </w:p>
        </w:tc>
        <w:tc>
          <w:tcPr>
            <w:tcW w:w="1540" w:type="dxa"/>
            <w:vAlign w:val="bottom"/>
            <w:shd w:val="clear" w:color="auto" w:fill="F5F5F5"/>
          </w:tcPr>
          <w:p>
            <w:pPr>
              <w:ind w:left="80"/>
              <w:spacing w:after="0" w:line="194" w:lineRule="exact"/>
              <w:rPr>
                <w:sz w:val="20"/>
                <w:szCs w:val="20"/>
                <w:color w:val="auto"/>
              </w:rPr>
            </w:pPr>
            <w:r>
              <w:rPr>
                <w:rFonts w:ascii="Calibri" w:cs="Calibri" w:eastAsia="Calibri" w:hAnsi="Calibri"/>
                <w:sz w:val="18"/>
                <w:szCs w:val="18"/>
                <w:color w:val="auto"/>
                <w:w w:val="99"/>
              </w:rPr>
              <w:t>South Plains Mall(c)</w:t>
            </w:r>
          </w:p>
        </w:tc>
        <w:tc>
          <w:tcPr>
            <w:tcW w:w="2500" w:type="dxa"/>
            <w:vAlign w:val="bottom"/>
            <w:shd w:val="clear" w:color="auto" w:fill="F5F5F5"/>
          </w:tcPr>
          <w:p>
            <w:pPr>
              <w:spacing w:after="0"/>
              <w:rPr>
                <w:sz w:val="16"/>
                <w:szCs w:val="16"/>
                <w:color w:val="auto"/>
              </w:rPr>
            </w:pPr>
          </w:p>
        </w:tc>
        <w:tc>
          <w:tcPr>
            <w:tcW w:w="60" w:type="dxa"/>
            <w:vAlign w:val="bottom"/>
            <w:shd w:val="clear" w:color="auto" w:fill="F5F5F5"/>
          </w:tcPr>
          <w:p>
            <w:pPr>
              <w:spacing w:after="0"/>
              <w:rPr>
                <w:sz w:val="16"/>
                <w:szCs w:val="16"/>
                <w:color w:val="auto"/>
              </w:rPr>
            </w:pPr>
          </w:p>
        </w:tc>
        <w:tc>
          <w:tcPr>
            <w:tcW w:w="1520" w:type="dxa"/>
            <w:vAlign w:val="bottom"/>
            <w:shd w:val="clear" w:color="auto" w:fill="F5F5F5"/>
          </w:tcPr>
          <w:p>
            <w:pPr>
              <w:jc w:val="right"/>
              <w:spacing w:after="0" w:line="194" w:lineRule="exact"/>
              <w:rPr>
                <w:sz w:val="20"/>
                <w:szCs w:val="20"/>
                <w:color w:val="auto"/>
              </w:rPr>
            </w:pPr>
            <w:r>
              <w:rPr>
                <w:rFonts w:ascii="Calibri" w:cs="Calibri" w:eastAsia="Calibri" w:hAnsi="Calibri"/>
                <w:sz w:val="18"/>
                <w:szCs w:val="18"/>
                <w:color w:val="auto"/>
              </w:rPr>
              <w:t>1972/1998</w:t>
            </w:r>
          </w:p>
        </w:tc>
        <w:tc>
          <w:tcPr>
            <w:tcW w:w="60" w:type="dxa"/>
            <w:vAlign w:val="bottom"/>
            <w:shd w:val="clear" w:color="auto" w:fill="F5F5F5"/>
          </w:tcPr>
          <w:p>
            <w:pPr>
              <w:spacing w:after="0"/>
              <w:rPr>
                <w:sz w:val="16"/>
                <w:szCs w:val="16"/>
                <w:color w:val="auto"/>
              </w:rPr>
            </w:pPr>
          </w:p>
        </w:tc>
        <w:tc>
          <w:tcPr>
            <w:tcW w:w="1260" w:type="dxa"/>
            <w:vAlign w:val="bottom"/>
            <w:shd w:val="clear" w:color="auto" w:fill="F5F5F5"/>
          </w:tcPr>
          <w:p>
            <w:pPr>
              <w:jc w:val="center"/>
              <w:spacing w:after="0" w:line="194" w:lineRule="exact"/>
              <w:rPr>
                <w:sz w:val="20"/>
                <w:szCs w:val="20"/>
                <w:color w:val="auto"/>
              </w:rPr>
            </w:pPr>
            <w:r>
              <w:rPr>
                <w:rFonts w:ascii="Calibri" w:cs="Calibri" w:eastAsia="Calibri" w:hAnsi="Calibri"/>
                <w:sz w:val="18"/>
                <w:szCs w:val="18"/>
                <w:color w:val="auto"/>
                <w:w w:val="98"/>
              </w:rPr>
              <w:t>2017</w:t>
            </w:r>
          </w:p>
        </w:tc>
        <w:tc>
          <w:tcPr>
            <w:tcW w:w="60" w:type="dxa"/>
            <w:vAlign w:val="bottom"/>
            <w:shd w:val="clear" w:color="auto" w:fill="F5F5F5"/>
          </w:tcPr>
          <w:p>
            <w:pPr>
              <w:spacing w:after="0"/>
              <w:rPr>
                <w:sz w:val="16"/>
                <w:szCs w:val="16"/>
                <w:color w:val="auto"/>
              </w:rPr>
            </w:pPr>
          </w:p>
        </w:tc>
        <w:tc>
          <w:tcPr>
            <w:tcW w:w="1240" w:type="dxa"/>
            <w:vAlign w:val="bottom"/>
            <w:shd w:val="clear" w:color="auto" w:fill="F5F5F5"/>
          </w:tcPr>
          <w:p>
            <w:pPr>
              <w:jc w:val="right"/>
              <w:spacing w:after="0" w:line="194" w:lineRule="exact"/>
              <w:rPr>
                <w:sz w:val="20"/>
                <w:szCs w:val="20"/>
                <w:color w:val="auto"/>
              </w:rPr>
            </w:pPr>
            <w:r>
              <w:rPr>
                <w:rFonts w:ascii="Calibri" w:cs="Calibri" w:eastAsia="Calibri" w:hAnsi="Calibri"/>
                <w:sz w:val="18"/>
                <w:szCs w:val="18"/>
                <w:color w:val="auto"/>
              </w:rPr>
              <w:t>1,313,000</w:t>
            </w:r>
          </w:p>
        </w:tc>
        <w:tc>
          <w:tcPr>
            <w:tcW w:w="0" w:type="dxa"/>
            <w:vAlign w:val="bottom"/>
          </w:tcPr>
          <w:p>
            <w:pPr>
              <w:spacing w:after="0"/>
              <w:rPr>
                <w:sz w:val="1"/>
                <w:szCs w:val="1"/>
                <w:color w:val="auto"/>
              </w:rPr>
            </w:pPr>
          </w:p>
        </w:tc>
      </w:tr>
      <w:tr>
        <w:trPr>
          <w:trHeight w:val="215"/>
        </w:trPr>
        <w:tc>
          <w:tcPr>
            <w:tcW w:w="48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940" w:type="dxa"/>
            <w:vAlign w:val="bottom"/>
            <w:shd w:val="clear" w:color="auto" w:fill="F5F5F5"/>
          </w:tcPr>
          <w:p>
            <w:pPr>
              <w:spacing w:after="0"/>
              <w:rPr>
                <w:sz w:val="18"/>
                <w:szCs w:val="18"/>
                <w:color w:val="auto"/>
              </w:rPr>
            </w:pPr>
          </w:p>
        </w:tc>
        <w:tc>
          <w:tcPr>
            <w:tcW w:w="1540" w:type="dxa"/>
            <w:vAlign w:val="bottom"/>
            <w:shd w:val="clear" w:color="auto" w:fill="F5F5F5"/>
          </w:tcPr>
          <w:p>
            <w:pPr>
              <w:ind w:left="80"/>
              <w:spacing w:after="0" w:line="215" w:lineRule="exact"/>
              <w:rPr>
                <w:sz w:val="20"/>
                <w:szCs w:val="20"/>
                <w:color w:val="auto"/>
              </w:rPr>
            </w:pPr>
            <w:r>
              <w:rPr>
                <w:rFonts w:ascii="Calibri" w:cs="Calibri" w:eastAsia="Calibri" w:hAnsi="Calibri"/>
                <w:sz w:val="18"/>
                <w:szCs w:val="18"/>
                <w:color w:val="auto"/>
              </w:rPr>
              <w:t>Lubbock, Texas</w:t>
            </w:r>
          </w:p>
        </w:tc>
        <w:tc>
          <w:tcPr>
            <w:tcW w:w="250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152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126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124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480" w:type="dxa"/>
            <w:vAlign w:val="bottom"/>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940" w:type="dxa"/>
            <w:vAlign w:val="bottom"/>
            <w:shd w:val="clear" w:color="auto" w:fill="F5F5F5"/>
          </w:tcPr>
          <w:p>
            <w:pPr>
              <w:spacing w:after="0"/>
              <w:rPr>
                <w:sz w:val="5"/>
                <w:szCs w:val="5"/>
                <w:color w:val="auto"/>
              </w:rPr>
            </w:pPr>
          </w:p>
        </w:tc>
        <w:tc>
          <w:tcPr>
            <w:tcW w:w="4040" w:type="dxa"/>
            <w:vAlign w:val="bottom"/>
            <w:gridSpan w:val="2"/>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1520" w:type="dxa"/>
            <w:vAlign w:val="bottom"/>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1260" w:type="dxa"/>
            <w:vAlign w:val="bottom"/>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1240" w:type="dxa"/>
            <w:vAlign w:val="bottom"/>
            <w:shd w:val="clear" w:color="auto" w:fill="F5F5F5"/>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80" w:type="dxa"/>
            <w:vAlign w:val="bottom"/>
          </w:tcPr>
          <w:p>
            <w:pPr>
              <w:jc w:val="right"/>
              <w:spacing w:after="0" w:line="194" w:lineRule="exact"/>
              <w:rPr>
                <w:sz w:val="20"/>
                <w:szCs w:val="20"/>
                <w:color w:val="auto"/>
              </w:rPr>
            </w:pPr>
            <w:r>
              <w:rPr>
                <w:rFonts w:ascii="Calibri" w:cs="Calibri" w:eastAsia="Calibri" w:hAnsi="Calibri"/>
                <w:sz w:val="18"/>
                <w:szCs w:val="18"/>
                <w:color w:val="auto"/>
              </w:rPr>
              <w:t>22</w:t>
            </w:r>
          </w:p>
        </w:tc>
        <w:tc>
          <w:tcPr>
            <w:tcW w:w="60" w:type="dxa"/>
            <w:vAlign w:val="bottom"/>
          </w:tcPr>
          <w:p>
            <w:pPr>
              <w:spacing w:after="0"/>
              <w:rPr>
                <w:sz w:val="16"/>
                <w:szCs w:val="16"/>
                <w:color w:val="auto"/>
              </w:rPr>
            </w:pPr>
          </w:p>
        </w:tc>
        <w:tc>
          <w:tcPr>
            <w:tcW w:w="940" w:type="dxa"/>
            <w:vAlign w:val="bottom"/>
          </w:tcPr>
          <w:p>
            <w:pPr>
              <w:jc w:val="right"/>
              <w:ind w:right="23"/>
              <w:spacing w:after="0" w:line="194" w:lineRule="exact"/>
              <w:rPr>
                <w:sz w:val="20"/>
                <w:szCs w:val="20"/>
                <w:color w:val="auto"/>
              </w:rPr>
            </w:pPr>
            <w:r>
              <w:rPr>
                <w:rFonts w:ascii="Calibri" w:cs="Calibri" w:eastAsia="Calibri" w:hAnsi="Calibri"/>
                <w:sz w:val="18"/>
                <w:szCs w:val="18"/>
                <w:color w:val="auto"/>
              </w:rPr>
              <w:t>100%</w:t>
            </w:r>
          </w:p>
        </w:tc>
        <w:tc>
          <w:tcPr>
            <w:tcW w:w="4100" w:type="dxa"/>
            <w:vAlign w:val="bottom"/>
            <w:gridSpan w:val="3"/>
          </w:tcPr>
          <w:p>
            <w:pPr>
              <w:ind w:left="80"/>
              <w:spacing w:after="0" w:line="194" w:lineRule="exact"/>
              <w:rPr>
                <w:sz w:val="20"/>
                <w:szCs w:val="20"/>
                <w:color w:val="auto"/>
              </w:rPr>
            </w:pPr>
            <w:r>
              <w:rPr>
                <w:rFonts w:ascii="Calibri" w:cs="Calibri" w:eastAsia="Calibri" w:hAnsi="Calibri"/>
                <w:sz w:val="18"/>
                <w:szCs w:val="18"/>
                <w:color w:val="auto"/>
              </w:rPr>
              <w:t>Stonewood Center(c)(d)</w:t>
            </w:r>
          </w:p>
        </w:tc>
        <w:tc>
          <w:tcPr>
            <w:tcW w:w="1520" w:type="dxa"/>
            <w:vAlign w:val="bottom"/>
          </w:tcPr>
          <w:p>
            <w:pPr>
              <w:jc w:val="right"/>
              <w:spacing w:after="0" w:line="194" w:lineRule="exact"/>
              <w:rPr>
                <w:sz w:val="20"/>
                <w:szCs w:val="20"/>
                <w:color w:val="auto"/>
              </w:rPr>
            </w:pPr>
            <w:r>
              <w:rPr>
                <w:rFonts w:ascii="Calibri" w:cs="Calibri" w:eastAsia="Calibri" w:hAnsi="Calibri"/>
                <w:sz w:val="18"/>
                <w:szCs w:val="18"/>
                <w:color w:val="auto"/>
              </w:rPr>
              <w:t>1953/1997</w:t>
            </w:r>
          </w:p>
        </w:tc>
        <w:tc>
          <w:tcPr>
            <w:tcW w:w="60" w:type="dxa"/>
            <w:vAlign w:val="bottom"/>
          </w:tcPr>
          <w:p>
            <w:pPr>
              <w:spacing w:after="0"/>
              <w:rPr>
                <w:sz w:val="16"/>
                <w:szCs w:val="16"/>
                <w:color w:val="auto"/>
              </w:rPr>
            </w:pPr>
          </w:p>
        </w:tc>
        <w:tc>
          <w:tcPr>
            <w:tcW w:w="1260" w:type="dxa"/>
            <w:vAlign w:val="bottom"/>
          </w:tcPr>
          <w:p>
            <w:pPr>
              <w:jc w:val="center"/>
              <w:spacing w:after="0" w:line="194" w:lineRule="exact"/>
              <w:rPr>
                <w:sz w:val="20"/>
                <w:szCs w:val="20"/>
                <w:color w:val="auto"/>
              </w:rPr>
            </w:pPr>
            <w:r>
              <w:rPr>
                <w:rFonts w:ascii="Calibri" w:cs="Calibri" w:eastAsia="Calibri" w:hAnsi="Calibri"/>
                <w:sz w:val="18"/>
                <w:szCs w:val="18"/>
                <w:color w:val="auto"/>
                <w:w w:val="98"/>
              </w:rPr>
              <w:t>1991</w:t>
            </w:r>
          </w:p>
        </w:tc>
        <w:tc>
          <w:tcPr>
            <w:tcW w:w="60" w:type="dxa"/>
            <w:vAlign w:val="bottom"/>
          </w:tcPr>
          <w:p>
            <w:pPr>
              <w:spacing w:after="0"/>
              <w:rPr>
                <w:sz w:val="16"/>
                <w:szCs w:val="16"/>
                <w:color w:val="auto"/>
              </w:rPr>
            </w:pPr>
          </w:p>
        </w:tc>
        <w:tc>
          <w:tcPr>
            <w:tcW w:w="1240" w:type="dxa"/>
            <w:vAlign w:val="bottom"/>
          </w:tcPr>
          <w:p>
            <w:pPr>
              <w:jc w:val="right"/>
              <w:spacing w:after="0" w:line="194" w:lineRule="exact"/>
              <w:rPr>
                <w:sz w:val="20"/>
                <w:szCs w:val="20"/>
                <w:color w:val="auto"/>
              </w:rPr>
            </w:pPr>
            <w:r>
              <w:rPr>
                <w:rFonts w:ascii="Calibri" w:cs="Calibri" w:eastAsia="Calibri" w:hAnsi="Calibri"/>
                <w:sz w:val="18"/>
                <w:szCs w:val="18"/>
                <w:color w:val="auto"/>
              </w:rPr>
              <w:t>925,000</w:t>
            </w: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ind w:left="80"/>
              <w:spacing w:after="0" w:line="215" w:lineRule="exact"/>
              <w:rPr>
                <w:sz w:val="20"/>
                <w:szCs w:val="20"/>
                <w:color w:val="auto"/>
              </w:rPr>
            </w:pPr>
            <w:r>
              <w:rPr>
                <w:rFonts w:ascii="Calibri" w:cs="Calibri" w:eastAsia="Calibri" w:hAnsi="Calibri"/>
                <w:sz w:val="18"/>
                <w:szCs w:val="18"/>
                <w:color w:val="auto"/>
              </w:rPr>
              <w:t>Downey, California</w:t>
            </w:r>
          </w:p>
        </w:tc>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4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80" w:type="dxa"/>
            <w:vAlign w:val="bottom"/>
            <w:shd w:val="clear" w:color="auto" w:fill="F5F5F5"/>
          </w:tcPr>
          <w:p>
            <w:pPr>
              <w:jc w:val="right"/>
              <w:spacing w:after="0" w:line="194" w:lineRule="exact"/>
              <w:rPr>
                <w:sz w:val="20"/>
                <w:szCs w:val="20"/>
                <w:color w:val="auto"/>
              </w:rPr>
            </w:pPr>
            <w:r>
              <w:rPr>
                <w:rFonts w:ascii="Calibri" w:cs="Calibri" w:eastAsia="Calibri" w:hAnsi="Calibri"/>
                <w:sz w:val="18"/>
                <w:szCs w:val="18"/>
                <w:color w:val="auto"/>
              </w:rPr>
              <w:t>23</w:t>
            </w:r>
          </w:p>
        </w:tc>
        <w:tc>
          <w:tcPr>
            <w:tcW w:w="60" w:type="dxa"/>
            <w:vAlign w:val="bottom"/>
            <w:shd w:val="clear" w:color="auto" w:fill="F5F5F5"/>
          </w:tcPr>
          <w:p>
            <w:pPr>
              <w:spacing w:after="0"/>
              <w:rPr>
                <w:sz w:val="16"/>
                <w:szCs w:val="16"/>
                <w:color w:val="auto"/>
              </w:rPr>
            </w:pPr>
          </w:p>
        </w:tc>
        <w:tc>
          <w:tcPr>
            <w:tcW w:w="940" w:type="dxa"/>
            <w:vAlign w:val="bottom"/>
            <w:shd w:val="clear" w:color="auto" w:fill="F5F5F5"/>
          </w:tcPr>
          <w:p>
            <w:pPr>
              <w:jc w:val="right"/>
              <w:ind w:right="23"/>
              <w:spacing w:after="0" w:line="194" w:lineRule="exact"/>
              <w:rPr>
                <w:sz w:val="20"/>
                <w:szCs w:val="20"/>
                <w:color w:val="auto"/>
              </w:rPr>
            </w:pPr>
            <w:r>
              <w:rPr>
                <w:rFonts w:ascii="Calibri" w:cs="Calibri" w:eastAsia="Calibri" w:hAnsi="Calibri"/>
                <w:sz w:val="18"/>
                <w:szCs w:val="18"/>
                <w:color w:val="auto"/>
              </w:rPr>
              <w:t>100%</w:t>
            </w:r>
          </w:p>
        </w:tc>
        <w:tc>
          <w:tcPr>
            <w:tcW w:w="4100" w:type="dxa"/>
            <w:vAlign w:val="bottom"/>
            <w:gridSpan w:val="3"/>
            <w:shd w:val="clear" w:color="auto" w:fill="F5F5F5"/>
          </w:tcPr>
          <w:p>
            <w:pPr>
              <w:ind w:left="80"/>
              <w:spacing w:after="0" w:line="194" w:lineRule="exact"/>
              <w:rPr>
                <w:sz w:val="20"/>
                <w:szCs w:val="20"/>
                <w:color w:val="auto"/>
              </w:rPr>
            </w:pPr>
            <w:r>
              <w:rPr>
                <w:rFonts w:ascii="Calibri" w:cs="Calibri" w:eastAsia="Calibri" w:hAnsi="Calibri"/>
                <w:sz w:val="18"/>
                <w:szCs w:val="18"/>
                <w:color w:val="auto"/>
              </w:rPr>
              <w:t>Superstton Springs Center(c)</w:t>
            </w:r>
          </w:p>
        </w:tc>
        <w:tc>
          <w:tcPr>
            <w:tcW w:w="1520" w:type="dxa"/>
            <w:vAlign w:val="bottom"/>
            <w:shd w:val="clear" w:color="auto" w:fill="F5F5F5"/>
          </w:tcPr>
          <w:p>
            <w:pPr>
              <w:jc w:val="right"/>
              <w:spacing w:after="0" w:line="194" w:lineRule="exact"/>
              <w:rPr>
                <w:sz w:val="20"/>
                <w:szCs w:val="20"/>
                <w:color w:val="auto"/>
              </w:rPr>
            </w:pPr>
            <w:r>
              <w:rPr>
                <w:rFonts w:ascii="Calibri" w:cs="Calibri" w:eastAsia="Calibri" w:hAnsi="Calibri"/>
                <w:sz w:val="18"/>
                <w:szCs w:val="18"/>
                <w:color w:val="auto"/>
              </w:rPr>
              <w:t>1990/2002</w:t>
            </w:r>
          </w:p>
        </w:tc>
        <w:tc>
          <w:tcPr>
            <w:tcW w:w="60" w:type="dxa"/>
            <w:vAlign w:val="bottom"/>
            <w:shd w:val="clear" w:color="auto" w:fill="F5F5F5"/>
          </w:tcPr>
          <w:p>
            <w:pPr>
              <w:spacing w:after="0"/>
              <w:rPr>
                <w:sz w:val="16"/>
                <w:szCs w:val="16"/>
                <w:color w:val="auto"/>
              </w:rPr>
            </w:pPr>
          </w:p>
        </w:tc>
        <w:tc>
          <w:tcPr>
            <w:tcW w:w="1260" w:type="dxa"/>
            <w:vAlign w:val="bottom"/>
            <w:shd w:val="clear" w:color="auto" w:fill="F5F5F5"/>
          </w:tcPr>
          <w:p>
            <w:pPr>
              <w:jc w:val="center"/>
              <w:spacing w:after="0" w:line="194" w:lineRule="exact"/>
              <w:rPr>
                <w:sz w:val="20"/>
                <w:szCs w:val="20"/>
                <w:color w:val="auto"/>
              </w:rPr>
            </w:pPr>
            <w:r>
              <w:rPr>
                <w:rFonts w:ascii="Calibri" w:cs="Calibri" w:eastAsia="Calibri" w:hAnsi="Calibri"/>
                <w:sz w:val="18"/>
                <w:szCs w:val="18"/>
                <w:color w:val="auto"/>
                <w:w w:val="98"/>
              </w:rPr>
              <w:t>2002</w:t>
            </w:r>
          </w:p>
        </w:tc>
        <w:tc>
          <w:tcPr>
            <w:tcW w:w="60" w:type="dxa"/>
            <w:vAlign w:val="bottom"/>
            <w:shd w:val="clear" w:color="auto" w:fill="F5F5F5"/>
          </w:tcPr>
          <w:p>
            <w:pPr>
              <w:spacing w:after="0"/>
              <w:rPr>
                <w:sz w:val="16"/>
                <w:szCs w:val="16"/>
                <w:color w:val="auto"/>
              </w:rPr>
            </w:pPr>
          </w:p>
        </w:tc>
        <w:tc>
          <w:tcPr>
            <w:tcW w:w="1240" w:type="dxa"/>
            <w:vAlign w:val="bottom"/>
            <w:shd w:val="clear" w:color="auto" w:fill="F5F5F5"/>
          </w:tcPr>
          <w:p>
            <w:pPr>
              <w:jc w:val="right"/>
              <w:spacing w:after="0" w:line="194" w:lineRule="exact"/>
              <w:rPr>
                <w:sz w:val="20"/>
                <w:szCs w:val="20"/>
                <w:color w:val="auto"/>
              </w:rPr>
            </w:pPr>
            <w:r>
              <w:rPr>
                <w:rFonts w:ascii="Calibri" w:cs="Calibri" w:eastAsia="Calibri" w:hAnsi="Calibri"/>
                <w:sz w:val="18"/>
                <w:szCs w:val="18"/>
                <w:color w:val="auto"/>
              </w:rPr>
              <w:t>795,000</w:t>
            </w:r>
          </w:p>
        </w:tc>
        <w:tc>
          <w:tcPr>
            <w:tcW w:w="0" w:type="dxa"/>
            <w:vAlign w:val="bottom"/>
          </w:tcPr>
          <w:p>
            <w:pPr>
              <w:spacing w:after="0"/>
              <w:rPr>
                <w:sz w:val="1"/>
                <w:szCs w:val="1"/>
                <w:color w:val="auto"/>
              </w:rPr>
            </w:pPr>
          </w:p>
        </w:tc>
      </w:tr>
      <w:tr>
        <w:trPr>
          <w:trHeight w:val="215"/>
        </w:trPr>
        <w:tc>
          <w:tcPr>
            <w:tcW w:w="48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940" w:type="dxa"/>
            <w:vAlign w:val="bottom"/>
            <w:shd w:val="clear" w:color="auto" w:fill="F5F5F5"/>
          </w:tcPr>
          <w:p>
            <w:pPr>
              <w:spacing w:after="0"/>
              <w:rPr>
                <w:sz w:val="18"/>
                <w:szCs w:val="18"/>
                <w:color w:val="auto"/>
              </w:rPr>
            </w:pPr>
          </w:p>
        </w:tc>
        <w:tc>
          <w:tcPr>
            <w:tcW w:w="1540" w:type="dxa"/>
            <w:vAlign w:val="bottom"/>
            <w:shd w:val="clear" w:color="auto" w:fill="F5F5F5"/>
          </w:tcPr>
          <w:p>
            <w:pPr>
              <w:ind w:left="80"/>
              <w:spacing w:after="0" w:line="215" w:lineRule="exact"/>
              <w:rPr>
                <w:sz w:val="20"/>
                <w:szCs w:val="20"/>
                <w:color w:val="auto"/>
              </w:rPr>
            </w:pPr>
            <w:r>
              <w:rPr>
                <w:rFonts w:ascii="Calibri" w:cs="Calibri" w:eastAsia="Calibri" w:hAnsi="Calibri"/>
                <w:sz w:val="18"/>
                <w:szCs w:val="18"/>
                <w:color w:val="auto"/>
              </w:rPr>
              <w:t>Mesa, Arizona</w:t>
            </w:r>
          </w:p>
        </w:tc>
        <w:tc>
          <w:tcPr>
            <w:tcW w:w="250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152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126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124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480" w:type="dxa"/>
            <w:vAlign w:val="bottom"/>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940" w:type="dxa"/>
            <w:vAlign w:val="bottom"/>
            <w:shd w:val="clear" w:color="auto" w:fill="F5F5F5"/>
          </w:tcPr>
          <w:p>
            <w:pPr>
              <w:spacing w:after="0"/>
              <w:rPr>
                <w:sz w:val="5"/>
                <w:szCs w:val="5"/>
                <w:color w:val="auto"/>
              </w:rPr>
            </w:pPr>
          </w:p>
        </w:tc>
        <w:tc>
          <w:tcPr>
            <w:tcW w:w="1540" w:type="dxa"/>
            <w:vAlign w:val="bottom"/>
            <w:shd w:val="clear" w:color="auto" w:fill="F5F5F5"/>
          </w:tcPr>
          <w:p>
            <w:pPr>
              <w:spacing w:after="0"/>
              <w:rPr>
                <w:sz w:val="5"/>
                <w:szCs w:val="5"/>
                <w:color w:val="auto"/>
              </w:rPr>
            </w:pPr>
          </w:p>
        </w:tc>
        <w:tc>
          <w:tcPr>
            <w:tcW w:w="2500" w:type="dxa"/>
            <w:vAlign w:val="bottom"/>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1520" w:type="dxa"/>
            <w:vAlign w:val="bottom"/>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1260" w:type="dxa"/>
            <w:vAlign w:val="bottom"/>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1240" w:type="dxa"/>
            <w:vAlign w:val="bottom"/>
            <w:shd w:val="clear" w:color="auto" w:fill="F5F5F5"/>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-2331085</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85" w:lineRule="exact"/>
        <w:rPr>
          <w:sz w:val="20"/>
          <w:szCs w:val="20"/>
          <w:color w:val="auto"/>
        </w:rPr>
      </w:pPr>
    </w:p>
    <w:p>
      <w:pPr>
        <w:jc w:val="center"/>
        <w:ind w:right="-219"/>
        <w:spacing w:after="0"/>
        <w:rPr>
          <w:sz w:val="20"/>
          <w:szCs w:val="20"/>
          <w:color w:val="auto"/>
        </w:rPr>
      </w:pPr>
      <w:r>
        <w:rPr>
          <w:rFonts w:ascii="Calibri" w:cs="Calibri" w:eastAsia="Calibri" w:hAnsi="Calibri"/>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b w:val="1"/>
          <w:bCs w:val="1"/>
          <w:color w:val="auto"/>
        </w:rPr>
        <w:t>The Macerich Company</w:t>
      </w:r>
    </w:p>
    <w:p>
      <w:pPr>
        <w:jc w:val="center"/>
        <w:ind w:right="-179"/>
        <w:spacing w:after="0" w:line="206" w:lineRule="auto"/>
        <w:rPr>
          <w:sz w:val="20"/>
          <w:szCs w:val="20"/>
          <w:color w:val="auto"/>
        </w:rPr>
      </w:pPr>
      <w:r>
        <w:rPr>
          <w:rFonts w:ascii="Calibri" w:cs="Calibri" w:eastAsia="Calibri" w:hAnsi="Calibri"/>
          <w:sz w:val="18"/>
          <w:szCs w:val="18"/>
          <w:b w:val="1"/>
          <w:bCs w:val="1"/>
          <w:color w:val="auto"/>
        </w:rPr>
        <w:t>Property Listng</w:t>
      </w:r>
    </w:p>
    <w:p>
      <w:pPr>
        <w:jc w:val="center"/>
        <w:ind w:right="-199"/>
        <w:spacing w:after="0" w:line="221" w:lineRule="auto"/>
        <w:rPr>
          <w:sz w:val="20"/>
          <w:szCs w:val="20"/>
          <w:color w:val="auto"/>
        </w:rPr>
      </w:pPr>
      <w:r>
        <w:rPr>
          <w:rFonts w:ascii="Calibri" w:cs="Calibri" w:eastAsia="Calibri" w:hAnsi="Calibri"/>
          <w:sz w:val="18"/>
          <w:szCs w:val="18"/>
          <w:b w:val="1"/>
          <w:bCs w:val="1"/>
          <w:color w:val="auto"/>
        </w:rPr>
        <w:t>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24</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Valley River Center(c)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1969/2006</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2007</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813,000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Eugene, Oregon</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25</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Victor Valley, Mall of(c)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1986/2004</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2012</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576,000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Victorville, California</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26</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Vintage Faire Mall(c)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1977/1996</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2020</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1,069,000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Modesto, California</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27</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Washington Square(c)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1974/1999</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2005</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1,136,000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Portland, Oregon</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40" w:type="dxa"/>
            <w:vAlign w:val="bottom"/>
          </w:tcPr>
          <w:p>
            <w:pPr>
              <w:ind w:left="100"/>
              <w:spacing w:after="0"/>
              <w:rPr>
                <w:sz w:val="20"/>
                <w:szCs w:val="20"/>
                <w:color w:val="auto"/>
              </w:rPr>
            </w:pPr>
            <w:r>
              <w:rPr>
                <w:rFonts w:ascii="Calibri" w:cs="Calibri" w:eastAsia="Calibri" w:hAnsi="Calibri"/>
                <w:sz w:val="18"/>
                <w:szCs w:val="18"/>
                <w:b w:val="1"/>
                <w:bCs w:val="1"/>
                <w:color w:val="auto"/>
              </w:rPr>
              <w:t>Total Consolidated Centers</w:t>
            </w:r>
          </w:p>
        </w:tc>
        <w:tc>
          <w:tcPr>
            <w:tcW w:w="1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26,183,000</w:t>
            </w:r>
          </w:p>
        </w:tc>
      </w:tr>
      <w:tr>
        <w:trPr>
          <w:trHeight w:val="257"/>
        </w:trPr>
        <w:tc>
          <w:tcPr>
            <w:tcW w:w="5240" w:type="dxa"/>
            <w:vAlign w:val="bottom"/>
            <w:gridSpan w:val="3"/>
          </w:tcPr>
          <w:p>
            <w:pPr>
              <w:spacing w:after="0"/>
              <w:rPr>
                <w:sz w:val="20"/>
                <w:szCs w:val="20"/>
                <w:color w:val="auto"/>
              </w:rPr>
            </w:pPr>
            <w:r>
              <w:rPr>
                <w:rFonts w:ascii="Calibri" w:cs="Calibri" w:eastAsia="Calibri" w:hAnsi="Calibri"/>
                <w:sz w:val="18"/>
                <w:szCs w:val="18"/>
                <w:b w:val="1"/>
                <w:bCs w:val="1"/>
                <w:color w:val="007681"/>
              </w:rPr>
              <w:t>UNCONSOLIDATED JOINT VENTURE CENTERS:</w:t>
            </w:r>
          </w:p>
        </w:tc>
        <w:tc>
          <w:tcPr>
            <w:tcW w:w="1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28</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Broadway Plaza(c)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1951/1985</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2016</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1,003,000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Walnut Creek, California</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29</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50.1%</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Chandler Fashion Center(c)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2001/2002</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2023</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1,412,000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Chandler, Arizona</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30</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50.1%</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Corte Madera, The Village at(c)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1985/1998</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2020</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502,000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Corte Madera, California</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31</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51%</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Deptord Mall(c)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1975/2006</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2020</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1,011,000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Deptord, New Jersey</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32</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51%</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Flatron Crossing(c)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2000/2002</w:t>
            </w:r>
          </w:p>
        </w:tc>
        <w:tc>
          <w:tcPr>
            <w:tcW w:w="1200" w:type="dxa"/>
            <w:vAlign w:val="bottom"/>
          </w:tcPr>
          <w:p>
            <w:pPr>
              <w:ind w:left="220"/>
              <w:spacing w:after="0"/>
              <w:rPr>
                <w:sz w:val="20"/>
                <w:szCs w:val="20"/>
                <w:color w:val="auto"/>
              </w:rPr>
            </w:pPr>
            <w:r>
              <w:rPr>
                <w:rFonts w:ascii="Calibri" w:cs="Calibri" w:eastAsia="Calibri" w:hAnsi="Calibri"/>
                <w:sz w:val="18"/>
                <w:szCs w:val="18"/>
                <w:color w:val="auto"/>
              </w:rPr>
              <w:t>ongoing</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1,400,000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Broomfeld, Colorado</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33</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Kierland Commons(c)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1999/2005</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2003</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439,000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Phoenix, Arizona</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34</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Scotsdale Fashion Square(c)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1961/2002</w:t>
            </w:r>
          </w:p>
        </w:tc>
        <w:tc>
          <w:tcPr>
            <w:tcW w:w="1200" w:type="dxa"/>
            <w:vAlign w:val="bottom"/>
          </w:tcPr>
          <w:p>
            <w:pPr>
              <w:ind w:left="220"/>
              <w:spacing w:after="0"/>
              <w:rPr>
                <w:sz w:val="20"/>
                <w:szCs w:val="20"/>
                <w:color w:val="auto"/>
              </w:rPr>
            </w:pPr>
            <w:r>
              <w:rPr>
                <w:rFonts w:ascii="Calibri" w:cs="Calibri" w:eastAsia="Calibri" w:hAnsi="Calibri"/>
                <w:sz w:val="18"/>
                <w:szCs w:val="18"/>
                <w:color w:val="auto"/>
              </w:rPr>
              <w:t>ongoing</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1,875,000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Scotsdale, Arizona</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35</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51%</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Twenty Ninth Street(d)</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1963/1979</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2007</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685,000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Boulder, Colorado</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36</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Tysons Corner Center(c)</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1968/2005</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2014</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1,924,000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Tysons Corner, Virginia</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37</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19%</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West Acres</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1972/1986</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2001</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673,000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Fargo, North Dakota</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40" w:type="dxa"/>
            <w:vAlign w:val="bottom"/>
          </w:tcPr>
          <w:p>
            <w:pPr>
              <w:ind w:left="100"/>
              <w:spacing w:after="0"/>
              <w:rPr>
                <w:sz w:val="20"/>
                <w:szCs w:val="20"/>
                <w:color w:val="auto"/>
              </w:rPr>
            </w:pPr>
            <w:r>
              <w:rPr>
                <w:rFonts w:ascii="Calibri" w:cs="Calibri" w:eastAsia="Calibri" w:hAnsi="Calibri"/>
                <w:sz w:val="18"/>
                <w:szCs w:val="18"/>
                <w:b w:val="1"/>
                <w:bCs w:val="1"/>
                <w:color w:val="auto"/>
              </w:rPr>
              <w:t>Total Unconsolidated Joint Venture Centers</w:t>
            </w:r>
          </w:p>
        </w:tc>
        <w:tc>
          <w:tcPr>
            <w:tcW w:w="1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10,924,000</w:t>
            </w:r>
          </w:p>
        </w:tc>
      </w:tr>
      <w:tr>
        <w:trPr>
          <w:trHeight w:val="257"/>
        </w:trPr>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40" w:type="dxa"/>
            <w:vAlign w:val="bottom"/>
          </w:tcPr>
          <w:p>
            <w:pPr>
              <w:ind w:left="100"/>
              <w:spacing w:after="0"/>
              <w:rPr>
                <w:sz w:val="20"/>
                <w:szCs w:val="20"/>
                <w:color w:val="auto"/>
              </w:rPr>
            </w:pPr>
            <w:r>
              <w:rPr>
                <w:rFonts w:ascii="Calibri" w:cs="Calibri" w:eastAsia="Calibri" w:hAnsi="Calibri"/>
                <w:sz w:val="18"/>
                <w:szCs w:val="18"/>
                <w:b w:val="1"/>
                <w:bCs w:val="1"/>
                <w:color w:val="auto"/>
              </w:rPr>
              <w:t>Total Retail Centers</w:t>
            </w:r>
          </w:p>
        </w:tc>
        <w:tc>
          <w:tcPr>
            <w:tcW w:w="1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37,107,000</w:t>
            </w:r>
          </w:p>
        </w:tc>
      </w:tr>
      <w:tr>
        <w:trPr>
          <w:trHeight w:val="540"/>
        </w:trPr>
        <w:tc>
          <w:tcPr>
            <w:tcW w:w="5240" w:type="dxa"/>
            <w:vAlign w:val="bottom"/>
            <w:gridSpan w:val="3"/>
          </w:tcPr>
          <w:p>
            <w:pPr>
              <w:spacing w:after="0"/>
              <w:rPr>
                <w:sz w:val="20"/>
                <w:szCs w:val="20"/>
                <w:color w:val="auto"/>
              </w:rPr>
            </w:pPr>
            <w:r>
              <w:rPr>
                <w:rFonts w:ascii="Calibri" w:cs="Calibri" w:eastAsia="Calibri" w:hAnsi="Calibri"/>
                <w:sz w:val="18"/>
                <w:szCs w:val="18"/>
                <w:b w:val="1"/>
                <w:bCs w:val="1"/>
                <w:color w:val="007681"/>
              </w:rPr>
              <w:t>COMMUNITY / POWER CENTER:</w:t>
            </w:r>
          </w:p>
        </w:tc>
        <w:tc>
          <w:tcPr>
            <w:tcW w:w="1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640" w:type="dxa"/>
            <w:vAlign w:val="bottom"/>
          </w:tcPr>
          <w:p>
            <w:pPr>
              <w:jc w:val="right"/>
              <w:ind w:right="170"/>
              <w:spacing w:after="0"/>
              <w:rPr>
                <w:sz w:val="20"/>
                <w:szCs w:val="20"/>
                <w:color w:val="auto"/>
              </w:rPr>
            </w:pPr>
            <w:r>
              <w:rPr>
                <w:rFonts w:ascii="Calibri" w:cs="Calibri" w:eastAsia="Calibri" w:hAnsi="Calibri"/>
                <w:sz w:val="18"/>
                <w:szCs w:val="18"/>
                <w:color w:val="auto"/>
              </w:rPr>
              <w:t>1</w:t>
            </w:r>
          </w:p>
        </w:tc>
        <w:tc>
          <w:tcPr>
            <w:tcW w:w="76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Boulevard Shops(f)</w:t>
            </w:r>
          </w:p>
        </w:tc>
        <w:tc>
          <w:tcPr>
            <w:tcW w:w="1960" w:type="dxa"/>
            <w:vAlign w:val="bottom"/>
          </w:tcPr>
          <w:p>
            <w:pPr>
              <w:ind w:left="640"/>
              <w:spacing w:after="0"/>
              <w:rPr>
                <w:sz w:val="20"/>
                <w:szCs w:val="20"/>
                <w:color w:val="auto"/>
              </w:rPr>
            </w:pPr>
            <w:r>
              <w:rPr>
                <w:rFonts w:ascii="Calibri" w:cs="Calibri" w:eastAsia="Calibri" w:hAnsi="Calibri"/>
                <w:sz w:val="18"/>
                <w:szCs w:val="18"/>
                <w:color w:val="auto"/>
              </w:rPr>
              <w:t>2001/2002</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2004</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205,000</w:t>
            </w:r>
          </w:p>
        </w:tc>
      </w:tr>
      <w:tr>
        <w:trPr>
          <w:trHeight w:val="215"/>
        </w:trPr>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ind w:left="100"/>
              <w:spacing w:after="0" w:line="215" w:lineRule="exact"/>
              <w:rPr>
                <w:sz w:val="20"/>
                <w:szCs w:val="20"/>
                <w:color w:val="auto"/>
              </w:rPr>
            </w:pPr>
            <w:r>
              <w:rPr>
                <w:rFonts w:ascii="Calibri" w:cs="Calibri" w:eastAsia="Calibri" w:hAnsi="Calibri"/>
                <w:sz w:val="18"/>
                <w:szCs w:val="18"/>
                <w:color w:val="auto"/>
              </w:rPr>
              <w:t>Chandler, Arizona</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40" w:type="dxa"/>
            <w:vAlign w:val="bottom"/>
          </w:tcPr>
          <w:p>
            <w:pPr>
              <w:ind w:left="100"/>
              <w:spacing w:after="0"/>
              <w:rPr>
                <w:sz w:val="20"/>
                <w:szCs w:val="20"/>
                <w:color w:val="auto"/>
              </w:rPr>
            </w:pPr>
            <w:r>
              <w:rPr>
                <w:rFonts w:ascii="Calibri" w:cs="Calibri" w:eastAsia="Calibri" w:hAnsi="Calibri"/>
                <w:sz w:val="18"/>
                <w:szCs w:val="18"/>
                <w:b w:val="1"/>
                <w:bCs w:val="1"/>
                <w:color w:val="auto"/>
              </w:rPr>
              <w:t>Total Community / Power Center</w:t>
            </w:r>
          </w:p>
        </w:tc>
        <w:tc>
          <w:tcPr>
            <w:tcW w:w="1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Calibri" w:cs="Calibri" w:eastAsia="Calibri" w:hAnsi="Calibri"/>
                <w:sz w:val="18"/>
                <w:szCs w:val="18"/>
                <w:color w:val="auto"/>
              </w:rPr>
              <w:t>205,000</w:t>
            </w:r>
          </w:p>
        </w:tc>
      </w:tr>
      <w:tr>
        <w:trPr>
          <w:trHeight w:val="257"/>
        </w:trPr>
        <w:tc>
          <w:tcPr>
            <w:tcW w:w="1400" w:type="dxa"/>
            <w:vAlign w:val="bottom"/>
            <w:gridSpan w:val="2"/>
          </w:tcPr>
          <w:p>
            <w:pPr>
              <w:spacing w:after="0"/>
              <w:rPr>
                <w:sz w:val="20"/>
                <w:szCs w:val="20"/>
                <w:color w:val="auto"/>
              </w:rPr>
            </w:pPr>
            <w:r>
              <w:rPr>
                <w:rFonts w:ascii="Calibri" w:cs="Calibri" w:eastAsia="Calibri" w:hAnsi="Calibri"/>
                <w:sz w:val="18"/>
                <w:szCs w:val="18"/>
                <w:b w:val="1"/>
                <w:bCs w:val="1"/>
                <w:color w:val="007681"/>
              </w:rPr>
              <w:t>OTHER ASSETS:</w:t>
            </w:r>
          </w:p>
        </w:tc>
        <w:tc>
          <w:tcPr>
            <w:tcW w:w="38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3"/>
        </w:trPr>
        <w:tc>
          <w:tcPr>
            <w:tcW w:w="6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100%</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Various(g)</w:t>
            </w:r>
          </w:p>
        </w:tc>
        <w:tc>
          <w:tcPr>
            <w:tcW w:w="1960" w:type="dxa"/>
            <w:vAlign w:val="bottom"/>
          </w:tcPr>
          <w:p>
            <w:pPr>
              <w:ind w:left="940"/>
              <w:spacing w:after="0"/>
              <w:rPr>
                <w:sz w:val="20"/>
                <w:szCs w:val="20"/>
                <w:color w:val="auto"/>
              </w:rPr>
            </w:pPr>
            <w:r>
              <w:rPr>
                <w:rFonts w:ascii="Calibri" w:cs="Calibri" w:eastAsia="Calibri" w:hAnsi="Calibri"/>
                <w:sz w:val="18"/>
                <w:szCs w:val="18"/>
                <w:color w:val="auto"/>
              </w:rPr>
              <w:t>—</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7"/>
              </w:rPr>
              <w:t>—</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83,000</w:t>
            </w:r>
          </w:p>
        </w:tc>
      </w:tr>
      <w:tr>
        <w:trPr>
          <w:trHeight w:val="256"/>
        </w:trPr>
        <w:tc>
          <w:tcPr>
            <w:tcW w:w="6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3840" w:type="dxa"/>
            <w:vAlign w:val="bottom"/>
          </w:tcPr>
          <w:p>
            <w:pPr>
              <w:ind w:left="100"/>
              <w:spacing w:after="0"/>
              <w:rPr>
                <w:sz w:val="20"/>
                <w:szCs w:val="20"/>
                <w:color w:val="auto"/>
              </w:rPr>
            </w:pPr>
            <w:r>
              <w:rPr>
                <w:rFonts w:ascii="Calibri" w:cs="Calibri" w:eastAsia="Calibri" w:hAnsi="Calibri"/>
                <w:sz w:val="18"/>
                <w:szCs w:val="18"/>
                <w:color w:val="auto"/>
              </w:rPr>
              <w:t>Scotsdale Fashion Square-Ofce(c)(f)</w:t>
            </w:r>
          </w:p>
        </w:tc>
        <w:tc>
          <w:tcPr>
            <w:tcW w:w="1960" w:type="dxa"/>
            <w:vAlign w:val="bottom"/>
          </w:tcPr>
          <w:p>
            <w:pPr>
              <w:ind w:left="640"/>
              <w:spacing w:after="0"/>
              <w:rPr>
                <w:sz w:val="20"/>
                <w:szCs w:val="20"/>
                <w:color w:val="auto"/>
              </w:rPr>
            </w:pPr>
            <w:r>
              <w:rPr>
                <w:rFonts w:ascii="Calibri" w:cs="Calibri" w:eastAsia="Calibri" w:hAnsi="Calibri"/>
                <w:sz w:val="18"/>
                <w:szCs w:val="18"/>
                <w:color w:val="auto"/>
              </w:rPr>
              <w:t>1984/2002</w:t>
            </w:r>
          </w:p>
        </w:tc>
        <w:tc>
          <w:tcPr>
            <w:tcW w:w="1200" w:type="dxa"/>
            <w:vAlign w:val="bottom"/>
          </w:tcPr>
          <w:p>
            <w:pPr>
              <w:jc w:val="center"/>
              <w:ind w:right="70"/>
              <w:spacing w:after="0"/>
              <w:rPr>
                <w:sz w:val="20"/>
                <w:szCs w:val="20"/>
                <w:color w:val="auto"/>
              </w:rPr>
            </w:pPr>
            <w:r>
              <w:rPr>
                <w:rFonts w:ascii="Calibri" w:cs="Calibri" w:eastAsia="Calibri" w:hAnsi="Calibri"/>
                <w:sz w:val="18"/>
                <w:szCs w:val="18"/>
                <w:color w:val="auto"/>
                <w:w w:val="98"/>
              </w:rPr>
              <w:t>2016</w:t>
            </w:r>
          </w:p>
        </w:tc>
        <w:tc>
          <w:tcPr>
            <w:tcW w:w="1220" w:type="dxa"/>
            <w:vAlign w:val="bottom"/>
          </w:tcPr>
          <w:p>
            <w:pPr>
              <w:jc w:val="right"/>
              <w:spacing w:after="0"/>
              <w:rPr>
                <w:sz w:val="20"/>
                <w:szCs w:val="20"/>
                <w:color w:val="auto"/>
              </w:rPr>
            </w:pPr>
            <w:r>
              <w:rPr>
                <w:rFonts w:ascii="Calibri" w:cs="Calibri" w:eastAsia="Calibri" w:hAnsi="Calibri"/>
                <w:sz w:val="18"/>
                <w:szCs w:val="18"/>
                <w:color w:val="auto"/>
              </w:rPr>
              <w:t>121,000</w:t>
            </w:r>
          </w:p>
        </w:tc>
      </w:tr>
    </w:tbl>
    <w:p>
      <w:pPr>
        <w:sectPr>
          <w:pgSz w:w="11900" w:h="16908" w:orient="portrait"/>
          <w:cols w:equalWidth="0" w:num="1">
            <w:col w:w="9720"/>
          </w:cols>
          <w:pgMar w:left="980" w:top="28" w:right="1199" w:bottom="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0"/>
        </w:trPr>
        <w:tc>
          <w:tcPr>
            <w:tcW w:w="400" w:type="dxa"/>
            <w:vAlign w:val="bottom"/>
            <w:tcBorders>
              <w:left w:val="single" w:sz="8" w:color="CCCCCC"/>
            </w:tcBorders>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ind w:left="60"/>
              <w:spacing w:after="0"/>
              <w:rPr>
                <w:sz w:val="20"/>
                <w:szCs w:val="20"/>
                <w:color w:val="auto"/>
              </w:rPr>
            </w:pPr>
            <w:r>
              <w:rPr>
                <w:rFonts w:ascii="Calibri" w:cs="Calibri" w:eastAsia="Calibri" w:hAnsi="Calibri"/>
                <w:sz w:val="18"/>
                <w:szCs w:val="18"/>
                <w:color w:val="auto"/>
              </w:rPr>
              <w:t>Scotsdale, Arizona</w:t>
            </w:r>
          </w:p>
        </w:tc>
        <w:tc>
          <w:tcPr>
            <w:tcW w:w="2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Year of Original</w:t>
            </w:r>
          </w:p>
        </w:tc>
        <w:tc>
          <w:tcPr>
            <w:tcW w:w="132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Year of Most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400" w:type="dxa"/>
            <w:vAlign w:val="bottom"/>
            <w:tcBorders>
              <w:left w:val="single" w:sz="8" w:color="CCCCCC"/>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60"/>
              <w:spacing w:after="0" w:line="136" w:lineRule="exact"/>
              <w:rPr>
                <w:sz w:val="20"/>
                <w:szCs w:val="20"/>
                <w:color w:val="auto"/>
              </w:rPr>
            </w:pPr>
            <w:r>
              <w:rPr>
                <w:rFonts w:ascii="Calibri" w:cs="Calibri" w:eastAsia="Calibri" w:hAnsi="Calibri"/>
                <w:sz w:val="14"/>
                <w:szCs w:val="14"/>
                <w:b w:val="1"/>
                <w:bCs w:val="1"/>
                <w:color w:val="auto"/>
              </w:rPr>
              <w:t>Company’s</w:t>
            </w:r>
          </w:p>
        </w:tc>
        <w:tc>
          <w:tcPr>
            <w:tcW w:w="1460" w:type="dxa"/>
            <w:vAlign w:val="bottom"/>
          </w:tcPr>
          <w:p>
            <w:pPr>
              <w:spacing w:after="0"/>
              <w:rPr>
                <w:sz w:val="11"/>
                <w:szCs w:val="11"/>
                <w:color w:val="auto"/>
              </w:rPr>
            </w:pPr>
          </w:p>
        </w:tc>
        <w:tc>
          <w:tcPr>
            <w:tcW w:w="2880" w:type="dxa"/>
            <w:vAlign w:val="bottom"/>
            <w:gridSpan w:val="3"/>
          </w:tcPr>
          <w:p>
            <w:pPr>
              <w:jc w:val="center"/>
              <w:ind w:right="1780"/>
              <w:spacing w:after="0" w:line="136" w:lineRule="exact"/>
              <w:rPr>
                <w:sz w:val="20"/>
                <w:szCs w:val="20"/>
                <w:color w:val="auto"/>
              </w:rPr>
            </w:pPr>
            <w:r>
              <w:rPr>
                <w:rFonts w:ascii="Calibri" w:cs="Calibri" w:eastAsia="Calibri" w:hAnsi="Calibri"/>
                <w:sz w:val="14"/>
                <w:szCs w:val="14"/>
                <w:b w:val="1"/>
                <w:bCs w:val="1"/>
                <w:color w:val="auto"/>
              </w:rPr>
              <w:t>Name of</w:t>
            </w:r>
          </w:p>
        </w:tc>
        <w:tc>
          <w:tcPr>
            <w:tcW w:w="1320" w:type="dxa"/>
            <w:vAlign w:val="bottom"/>
            <w:gridSpan w:val="2"/>
          </w:tcPr>
          <w:p>
            <w:pPr>
              <w:jc w:val="center"/>
              <w:ind w:right="340"/>
              <w:spacing w:after="0" w:line="136" w:lineRule="exact"/>
              <w:rPr>
                <w:sz w:val="20"/>
                <w:szCs w:val="20"/>
                <w:color w:val="auto"/>
              </w:rPr>
            </w:pPr>
            <w:r>
              <w:rPr>
                <w:rFonts w:ascii="Calibri" w:cs="Calibri" w:eastAsia="Calibri" w:hAnsi="Calibri"/>
                <w:sz w:val="14"/>
                <w:szCs w:val="14"/>
                <w:b w:val="1"/>
                <w:bCs w:val="1"/>
                <w:color w:val="auto"/>
              </w:rPr>
              <w:t>Constructon/</w:t>
            </w:r>
          </w:p>
        </w:tc>
        <w:tc>
          <w:tcPr>
            <w:tcW w:w="1320" w:type="dxa"/>
            <w:vAlign w:val="bottom"/>
            <w:gridSpan w:val="2"/>
          </w:tcPr>
          <w:p>
            <w:pPr>
              <w:jc w:val="center"/>
              <w:ind w:right="80"/>
              <w:spacing w:after="0" w:line="136" w:lineRule="exact"/>
              <w:rPr>
                <w:sz w:val="20"/>
                <w:szCs w:val="20"/>
                <w:color w:val="auto"/>
              </w:rPr>
            </w:pPr>
            <w:r>
              <w:rPr>
                <w:rFonts w:ascii="Calibri" w:cs="Calibri" w:eastAsia="Calibri" w:hAnsi="Calibri"/>
                <w:sz w:val="14"/>
                <w:szCs w:val="14"/>
                <w:b w:val="1"/>
                <w:bCs w:val="1"/>
                <w:color w:val="auto"/>
              </w:rPr>
              <w:t>Recent Expansion/</w:t>
            </w:r>
          </w:p>
        </w:tc>
        <w:tc>
          <w:tcPr>
            <w:tcW w:w="1860" w:type="dxa"/>
            <w:vAlign w:val="bottom"/>
            <w:tcBorders>
              <w:right w:val="single" w:sz="8" w:color="CCCCCC"/>
            </w:tcBorders>
            <w:gridSpan w:val="3"/>
          </w:tcPr>
          <w:p>
            <w:pPr>
              <w:jc w:val="center"/>
              <w:ind w:right="640"/>
              <w:spacing w:after="0" w:line="136"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0" w:type="dxa"/>
            <w:vAlign w:val="bottom"/>
            <w:tcBorders>
              <w:left w:val="single" w:sz="8" w:color="CCCCCC"/>
            </w:tcBorders>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jc w:val="right"/>
              <w:ind w:right="4"/>
              <w:spacing w:after="0" w:line="68" w:lineRule="exact"/>
              <w:rPr>
                <w:sz w:val="20"/>
                <w:szCs w:val="20"/>
                <w:color w:val="auto"/>
              </w:rPr>
            </w:pPr>
            <w:r>
              <w:rPr>
                <w:rFonts w:ascii="Calibri" w:cs="Calibri" w:eastAsia="Calibri" w:hAnsi="Calibri"/>
                <w:sz w:val="7"/>
                <w:szCs w:val="7"/>
                <w:color w:val="auto"/>
              </w:rPr>
              <w:t>50%</w:t>
            </w:r>
          </w:p>
        </w:tc>
        <w:tc>
          <w:tcPr>
            <w:tcW w:w="40" w:type="dxa"/>
            <w:vAlign w:val="bottom"/>
          </w:tcPr>
          <w:p>
            <w:pPr>
              <w:spacing w:after="0"/>
              <w:rPr>
                <w:sz w:val="5"/>
                <w:szCs w:val="5"/>
                <w:color w:val="auto"/>
              </w:rPr>
            </w:pPr>
          </w:p>
        </w:tc>
        <w:tc>
          <w:tcPr>
            <w:tcW w:w="4340" w:type="dxa"/>
            <w:vAlign w:val="bottom"/>
            <w:gridSpan w:val="4"/>
          </w:tcPr>
          <w:p>
            <w:pPr>
              <w:ind w:left="60"/>
              <w:spacing w:after="0" w:line="68" w:lineRule="exact"/>
              <w:rPr>
                <w:sz w:val="20"/>
                <w:szCs w:val="20"/>
                <w:color w:val="auto"/>
              </w:rPr>
            </w:pPr>
            <w:r>
              <w:rPr>
                <w:rFonts w:ascii="Calibri" w:cs="Calibri" w:eastAsia="Calibri" w:hAnsi="Calibri"/>
                <w:sz w:val="7"/>
                <w:szCs w:val="7"/>
                <w:color w:val="auto"/>
              </w:rPr>
              <w:t>Scotsdale Fashion Square-Caesars Republic</w:t>
            </w:r>
          </w:p>
        </w:tc>
        <w:tc>
          <w:tcPr>
            <w:tcW w:w="1260" w:type="dxa"/>
            <w:vAlign w:val="bottom"/>
          </w:tcPr>
          <w:p>
            <w:pPr>
              <w:jc w:val="center"/>
              <w:ind w:right="225"/>
              <w:spacing w:after="0" w:line="68" w:lineRule="exact"/>
              <w:rPr>
                <w:sz w:val="20"/>
                <w:szCs w:val="20"/>
                <w:color w:val="auto"/>
              </w:rPr>
            </w:pPr>
            <w:r>
              <w:rPr>
                <w:rFonts w:ascii="Calibri" w:cs="Calibri" w:eastAsia="Calibri" w:hAnsi="Calibri"/>
                <w:sz w:val="7"/>
                <w:szCs w:val="7"/>
                <w:color w:val="auto"/>
              </w:rPr>
              <w:t>2024</w:t>
            </w:r>
          </w:p>
        </w:tc>
        <w:tc>
          <w:tcPr>
            <w:tcW w:w="60" w:type="dxa"/>
            <w:vAlign w:val="bottom"/>
          </w:tcPr>
          <w:p>
            <w:pPr>
              <w:spacing w:after="0"/>
              <w:rPr>
                <w:sz w:val="5"/>
                <w:szCs w:val="5"/>
                <w:color w:val="auto"/>
              </w:rPr>
            </w:pPr>
          </w:p>
        </w:tc>
        <w:tc>
          <w:tcPr>
            <w:tcW w:w="1260" w:type="dxa"/>
            <w:vAlign w:val="bottom"/>
          </w:tcPr>
          <w:p>
            <w:pPr>
              <w:jc w:val="center"/>
              <w:spacing w:after="0" w:line="68" w:lineRule="exact"/>
              <w:rPr>
                <w:sz w:val="20"/>
                <w:szCs w:val="20"/>
                <w:color w:val="auto"/>
              </w:rPr>
            </w:pPr>
            <w:r>
              <w:rPr>
                <w:rFonts w:ascii="Calibri" w:cs="Calibri" w:eastAsia="Calibri" w:hAnsi="Calibri"/>
                <w:sz w:val="7"/>
                <w:szCs w:val="7"/>
                <w:color w:val="auto"/>
              </w:rPr>
              <w:t>2024</w:t>
            </w:r>
          </w:p>
        </w:tc>
        <w:tc>
          <w:tcPr>
            <w:tcW w:w="60" w:type="dxa"/>
            <w:vAlign w:val="bottom"/>
          </w:tcPr>
          <w:p>
            <w:pPr>
              <w:spacing w:after="0"/>
              <w:rPr>
                <w:sz w:val="5"/>
                <w:szCs w:val="5"/>
                <w:color w:val="auto"/>
              </w:rPr>
            </w:pPr>
          </w:p>
        </w:tc>
        <w:tc>
          <w:tcPr>
            <w:tcW w:w="1240" w:type="dxa"/>
            <w:vAlign w:val="bottom"/>
          </w:tcPr>
          <w:p>
            <w:pPr>
              <w:jc w:val="right"/>
              <w:spacing w:after="0" w:line="68" w:lineRule="exact"/>
              <w:rPr>
                <w:sz w:val="20"/>
                <w:szCs w:val="20"/>
                <w:color w:val="auto"/>
              </w:rPr>
            </w:pPr>
            <w:r>
              <w:rPr>
                <w:rFonts w:ascii="Calibri" w:cs="Calibri" w:eastAsia="Calibri" w:hAnsi="Calibri"/>
                <w:sz w:val="7"/>
                <w:szCs w:val="7"/>
                <w:color w:val="auto"/>
              </w:rPr>
              <w:t>245,000</w:t>
            </w:r>
          </w:p>
        </w:tc>
        <w:tc>
          <w:tcPr>
            <w:tcW w:w="220" w:type="dxa"/>
            <w:vAlign w:val="bottom"/>
          </w:tcPr>
          <w:p>
            <w:pPr>
              <w:spacing w:after="0"/>
              <w:rPr>
                <w:sz w:val="5"/>
                <w:szCs w:val="5"/>
                <w:color w:val="auto"/>
              </w:rPr>
            </w:pPr>
          </w:p>
        </w:tc>
        <w:tc>
          <w:tcPr>
            <w:tcW w:w="400" w:type="dxa"/>
            <w:vAlign w:val="bottom"/>
            <w:tcBorders>
              <w:right w:val="single" w:sz="8" w:color="CCCCCC"/>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CCCCCC"/>
            </w:tcBorders>
          </w:tcPr>
          <w:p>
            <w:pPr>
              <w:spacing w:after="0"/>
              <w:rPr>
                <w:sz w:val="16"/>
                <w:szCs w:val="16"/>
                <w:color w:val="auto"/>
              </w:rPr>
            </w:pPr>
          </w:p>
        </w:tc>
        <w:tc>
          <w:tcPr>
            <w:tcW w:w="540" w:type="dxa"/>
            <w:vAlign w:val="bottom"/>
            <w:gridSpan w:val="2"/>
          </w:tcPr>
          <w:p>
            <w:pPr>
              <w:ind w:left="80"/>
              <w:spacing w:after="0" w:line="169" w:lineRule="exact"/>
              <w:rPr>
                <w:sz w:val="20"/>
                <w:szCs w:val="20"/>
                <w:color w:val="auto"/>
              </w:rPr>
            </w:pPr>
            <w:r>
              <w:rPr>
                <w:rFonts w:ascii="Calibri" w:cs="Calibri" w:eastAsia="Calibri" w:hAnsi="Calibri"/>
                <w:sz w:val="14"/>
                <w:szCs w:val="14"/>
                <w:b w:val="1"/>
                <w:bCs w:val="1"/>
                <w:color w:val="auto"/>
              </w:rPr>
              <w:t>Count</w:t>
            </w:r>
          </w:p>
        </w:tc>
        <w:tc>
          <w:tcPr>
            <w:tcW w:w="960" w:type="dxa"/>
            <w:vAlign w:val="bottom"/>
            <w:gridSpan w:val="2"/>
          </w:tcPr>
          <w:p>
            <w:pPr>
              <w:jc w:val="center"/>
              <w:ind w:right="60"/>
              <w:spacing w:after="0" w:line="169" w:lineRule="exact"/>
              <w:rPr>
                <w:sz w:val="20"/>
                <w:szCs w:val="20"/>
                <w:color w:val="auto"/>
              </w:rPr>
            </w:pPr>
            <w:r>
              <w:rPr>
                <w:rFonts w:ascii="Calibri" w:cs="Calibri" w:eastAsia="Calibri" w:hAnsi="Calibri"/>
                <w:sz w:val="14"/>
                <w:szCs w:val="14"/>
                <w:b w:val="1"/>
                <w:bCs w:val="1"/>
                <w:color w:val="auto"/>
              </w:rPr>
              <w:t>Ownership(a)</w:t>
            </w:r>
          </w:p>
        </w:tc>
        <w:tc>
          <w:tcPr>
            <w:tcW w:w="1460" w:type="dxa"/>
            <w:vAlign w:val="bottom"/>
          </w:tcPr>
          <w:p>
            <w:pPr>
              <w:ind w:left="60"/>
              <w:spacing w:after="0" w:line="183" w:lineRule="exact"/>
              <w:rPr>
                <w:sz w:val="20"/>
                <w:szCs w:val="20"/>
                <w:color w:val="auto"/>
              </w:rPr>
            </w:pPr>
            <w:r>
              <w:rPr>
                <w:rFonts w:ascii="Calibri" w:cs="Calibri" w:eastAsia="Calibri" w:hAnsi="Calibri"/>
                <w:sz w:val="18"/>
                <w:szCs w:val="18"/>
                <w:color w:val="auto"/>
              </w:rPr>
              <w:t>Hotel(c)(f)</w:t>
            </w:r>
          </w:p>
        </w:tc>
        <w:tc>
          <w:tcPr>
            <w:tcW w:w="2880" w:type="dxa"/>
            <w:vAlign w:val="bottom"/>
            <w:gridSpan w:val="3"/>
          </w:tcPr>
          <w:p>
            <w:pPr>
              <w:jc w:val="center"/>
              <w:ind w:right="1800"/>
              <w:spacing w:after="0" w:line="169" w:lineRule="exact"/>
              <w:rPr>
                <w:sz w:val="20"/>
                <w:szCs w:val="20"/>
                <w:color w:val="auto"/>
              </w:rPr>
            </w:pPr>
            <w:r>
              <w:rPr>
                <w:rFonts w:ascii="Calibri" w:cs="Calibri" w:eastAsia="Calibri" w:hAnsi="Calibri"/>
                <w:sz w:val="14"/>
                <w:szCs w:val="14"/>
                <w:b w:val="1"/>
                <w:bCs w:val="1"/>
                <w:color w:val="auto"/>
              </w:rPr>
              <w:t>Center/Locaton</w:t>
            </w:r>
          </w:p>
        </w:tc>
        <w:tc>
          <w:tcPr>
            <w:tcW w:w="1320" w:type="dxa"/>
            <w:vAlign w:val="bottom"/>
            <w:gridSpan w:val="2"/>
          </w:tcPr>
          <w:p>
            <w:pPr>
              <w:jc w:val="center"/>
              <w:ind w:right="340"/>
              <w:spacing w:after="0" w:line="169" w:lineRule="exact"/>
              <w:rPr>
                <w:sz w:val="20"/>
                <w:szCs w:val="20"/>
                <w:color w:val="auto"/>
              </w:rPr>
            </w:pPr>
            <w:r>
              <w:rPr>
                <w:rFonts w:ascii="Calibri" w:cs="Calibri" w:eastAsia="Calibri" w:hAnsi="Calibri"/>
                <w:sz w:val="14"/>
                <w:szCs w:val="14"/>
                <w:b w:val="1"/>
                <w:bCs w:val="1"/>
                <w:color w:val="auto"/>
              </w:rPr>
              <w:t>Acquisiton</w:t>
            </w:r>
          </w:p>
        </w:tc>
        <w:tc>
          <w:tcPr>
            <w:tcW w:w="1320" w:type="dxa"/>
            <w:vAlign w:val="bottom"/>
            <w:gridSpan w:val="2"/>
          </w:tcPr>
          <w:p>
            <w:pPr>
              <w:jc w:val="center"/>
              <w:ind w:right="80"/>
              <w:spacing w:after="0" w:line="169" w:lineRule="exact"/>
              <w:rPr>
                <w:sz w:val="20"/>
                <w:szCs w:val="20"/>
                <w:color w:val="auto"/>
              </w:rPr>
            </w:pPr>
            <w:r>
              <w:rPr>
                <w:rFonts w:ascii="Calibri" w:cs="Calibri" w:eastAsia="Calibri" w:hAnsi="Calibri"/>
                <w:sz w:val="14"/>
                <w:szCs w:val="14"/>
                <w:b w:val="1"/>
                <w:bCs w:val="1"/>
                <w:color w:val="auto"/>
              </w:rPr>
              <w:t>Renovaton</w:t>
            </w:r>
          </w:p>
        </w:tc>
        <w:tc>
          <w:tcPr>
            <w:tcW w:w="1860" w:type="dxa"/>
            <w:vAlign w:val="bottom"/>
            <w:tcBorders>
              <w:right w:val="single" w:sz="8" w:color="CCCCCC"/>
            </w:tcBorders>
            <w:gridSpan w:val="3"/>
          </w:tcPr>
          <w:p>
            <w:pPr>
              <w:jc w:val="center"/>
              <w:ind w:right="620"/>
              <w:spacing w:after="0" w:line="169" w:lineRule="exact"/>
              <w:rPr>
                <w:sz w:val="20"/>
                <w:szCs w:val="20"/>
                <w:color w:val="auto"/>
              </w:rPr>
            </w:pPr>
            <w:r>
              <w:rPr>
                <w:rFonts w:ascii="Calibri" w:cs="Calibri" w:eastAsia="Calibri" w:hAnsi="Calibri"/>
                <w:sz w:val="14"/>
                <w:szCs w:val="14"/>
                <w:b w:val="1"/>
                <w:bCs w:val="1"/>
                <w:color w:val="auto"/>
              </w:rPr>
              <w:t>GLA(b)</w:t>
            </w:r>
          </w:p>
        </w:tc>
        <w:tc>
          <w:tcPr>
            <w:tcW w:w="0" w:type="dxa"/>
            <w:vAlign w:val="bottom"/>
          </w:tcPr>
          <w:p>
            <w:pPr>
              <w:spacing w:after="0"/>
              <w:rPr>
                <w:sz w:val="1"/>
                <w:szCs w:val="1"/>
                <w:color w:val="auto"/>
              </w:rPr>
            </w:pPr>
          </w:p>
        </w:tc>
      </w:tr>
      <w:tr>
        <w:trPr>
          <w:trHeight w:val="267"/>
        </w:trPr>
        <w:tc>
          <w:tcPr>
            <w:tcW w:w="400" w:type="dxa"/>
            <w:vAlign w:val="bottom"/>
            <w:tcBorders>
              <w:left w:val="single" w:sz="8" w:color="CCCCCC"/>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tcPr>
          <w:p>
            <w:pPr>
              <w:ind w:left="60"/>
              <w:spacing w:after="0"/>
              <w:rPr>
                <w:sz w:val="20"/>
                <w:szCs w:val="20"/>
                <w:color w:val="auto"/>
              </w:rPr>
            </w:pPr>
            <w:r>
              <w:rPr>
                <w:rFonts w:ascii="Calibri" w:cs="Calibri" w:eastAsia="Calibri" w:hAnsi="Calibri"/>
                <w:sz w:val="18"/>
                <w:szCs w:val="18"/>
                <w:color w:val="auto"/>
              </w:rPr>
              <w:t>Scotsdale, Arizona</w:t>
            </w:r>
          </w:p>
        </w:tc>
        <w:tc>
          <w:tcPr>
            <w:tcW w:w="2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Borders>
              <w:right w:val="single" w:sz="8" w:color="CCCCCC"/>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400" w:type="dxa"/>
            <w:vAlign w:val="bottom"/>
            <w:tcBorders>
              <w:left w:val="single" w:sz="8" w:color="CCCCCC"/>
            </w:tcBorders>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Calibri" w:cs="Calibri" w:eastAsia="Calibri" w:hAnsi="Calibri"/>
                <w:sz w:val="18"/>
                <w:szCs w:val="18"/>
                <w:color w:val="auto"/>
              </w:rPr>
              <w:t>50%</w:t>
            </w:r>
          </w:p>
        </w:tc>
        <w:tc>
          <w:tcPr>
            <w:tcW w:w="40" w:type="dxa"/>
            <w:vAlign w:val="bottom"/>
          </w:tcPr>
          <w:p>
            <w:pPr>
              <w:spacing w:after="0"/>
              <w:rPr>
                <w:sz w:val="22"/>
                <w:szCs w:val="22"/>
                <w:color w:val="auto"/>
              </w:rPr>
            </w:pPr>
          </w:p>
        </w:tc>
        <w:tc>
          <w:tcPr>
            <w:tcW w:w="4340" w:type="dxa"/>
            <w:vAlign w:val="bottom"/>
            <w:gridSpan w:val="4"/>
          </w:tcPr>
          <w:p>
            <w:pPr>
              <w:ind w:left="60"/>
              <w:spacing w:after="0"/>
              <w:rPr>
                <w:sz w:val="20"/>
                <w:szCs w:val="20"/>
                <w:color w:val="auto"/>
              </w:rPr>
            </w:pPr>
            <w:r>
              <w:rPr>
                <w:rFonts w:ascii="Calibri" w:cs="Calibri" w:eastAsia="Calibri" w:hAnsi="Calibri"/>
                <w:sz w:val="18"/>
                <w:szCs w:val="18"/>
                <w:color w:val="auto"/>
              </w:rPr>
              <w:t>Tysons Corner Center-Ofce(c)(f)</w:t>
            </w:r>
          </w:p>
        </w:tc>
        <w:tc>
          <w:tcPr>
            <w:tcW w:w="1260" w:type="dxa"/>
            <w:vAlign w:val="bottom"/>
          </w:tcPr>
          <w:p>
            <w:pPr>
              <w:jc w:val="center"/>
              <w:ind w:right="205"/>
              <w:spacing w:after="0"/>
              <w:rPr>
                <w:sz w:val="20"/>
                <w:szCs w:val="20"/>
                <w:color w:val="auto"/>
              </w:rPr>
            </w:pPr>
            <w:r>
              <w:rPr>
                <w:rFonts w:ascii="Calibri" w:cs="Calibri" w:eastAsia="Calibri" w:hAnsi="Calibri"/>
                <w:sz w:val="18"/>
                <w:szCs w:val="18"/>
                <w:color w:val="auto"/>
                <w:w w:val="97"/>
              </w:rPr>
              <w:t>1999/2005</w:t>
            </w:r>
          </w:p>
        </w:tc>
        <w:tc>
          <w:tcPr>
            <w:tcW w:w="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Calibri" w:cs="Calibri" w:eastAsia="Calibri" w:hAnsi="Calibri"/>
                <w:sz w:val="18"/>
                <w:szCs w:val="18"/>
                <w:color w:val="auto"/>
                <w:w w:val="98"/>
              </w:rPr>
              <w:t>2012</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Calibri" w:cs="Calibri" w:eastAsia="Calibri" w:hAnsi="Calibri"/>
                <w:sz w:val="18"/>
                <w:szCs w:val="18"/>
                <w:color w:val="auto"/>
              </w:rPr>
              <w:t>171,000</w:t>
            </w:r>
          </w:p>
        </w:tc>
        <w:tc>
          <w:tcPr>
            <w:tcW w:w="220" w:type="dxa"/>
            <w:vAlign w:val="bottom"/>
          </w:tcPr>
          <w:p>
            <w:pPr>
              <w:spacing w:after="0"/>
              <w:rPr>
                <w:sz w:val="22"/>
                <w:szCs w:val="22"/>
                <w:color w:val="auto"/>
              </w:rPr>
            </w:pPr>
          </w:p>
        </w:tc>
        <w:tc>
          <w:tcPr>
            <w:tcW w:w="40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0" w:type="dxa"/>
            <w:vAlign w:val="bottom"/>
            <w:tcBorders>
              <w:left w:val="single" w:sz="8" w:color="CCCCCC"/>
            </w:tcBorders>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4"/>
          </w:tcPr>
          <w:p>
            <w:pPr>
              <w:ind w:left="60"/>
              <w:spacing w:after="0" w:line="215" w:lineRule="exact"/>
              <w:rPr>
                <w:sz w:val="20"/>
                <w:szCs w:val="20"/>
                <w:color w:val="auto"/>
              </w:rPr>
            </w:pPr>
            <w:r>
              <w:rPr>
                <w:rFonts w:ascii="Calibri" w:cs="Calibri" w:eastAsia="Calibri" w:hAnsi="Calibri"/>
                <w:sz w:val="18"/>
                <w:szCs w:val="18"/>
                <w:color w:val="auto"/>
              </w:rPr>
              <w:t>Tysons Corner, Virginia</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0" w:type="dxa"/>
            <w:vAlign w:val="bottom"/>
            <w:tcBorders>
              <w:left w:val="single" w:sz="8" w:color="CCCCCC"/>
            </w:tcBorders>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Calibri" w:cs="Calibri" w:eastAsia="Calibri" w:hAnsi="Calibri"/>
                <w:sz w:val="18"/>
                <w:szCs w:val="18"/>
                <w:color w:val="auto"/>
              </w:rPr>
              <w:t>50%</w:t>
            </w:r>
          </w:p>
        </w:tc>
        <w:tc>
          <w:tcPr>
            <w:tcW w:w="40" w:type="dxa"/>
            <w:vAlign w:val="bottom"/>
          </w:tcPr>
          <w:p>
            <w:pPr>
              <w:spacing w:after="0"/>
              <w:rPr>
                <w:sz w:val="22"/>
                <w:szCs w:val="22"/>
                <w:color w:val="auto"/>
              </w:rPr>
            </w:pPr>
          </w:p>
        </w:tc>
        <w:tc>
          <w:tcPr>
            <w:tcW w:w="4340" w:type="dxa"/>
            <w:vAlign w:val="bottom"/>
            <w:gridSpan w:val="4"/>
          </w:tcPr>
          <w:p>
            <w:pPr>
              <w:ind w:left="60"/>
              <w:spacing w:after="0"/>
              <w:rPr>
                <w:sz w:val="20"/>
                <w:szCs w:val="20"/>
                <w:color w:val="auto"/>
              </w:rPr>
            </w:pPr>
            <w:r>
              <w:rPr>
                <w:rFonts w:ascii="Calibri" w:cs="Calibri" w:eastAsia="Calibri" w:hAnsi="Calibri"/>
                <w:sz w:val="18"/>
                <w:szCs w:val="18"/>
                <w:color w:val="auto"/>
              </w:rPr>
              <w:t>Hyat Regency Tysons Corner Center(c)(f)</w:t>
            </w:r>
          </w:p>
        </w:tc>
        <w:tc>
          <w:tcPr>
            <w:tcW w:w="1260" w:type="dxa"/>
            <w:vAlign w:val="bottom"/>
          </w:tcPr>
          <w:p>
            <w:pPr>
              <w:jc w:val="center"/>
              <w:ind w:right="225"/>
              <w:spacing w:after="0"/>
              <w:rPr>
                <w:sz w:val="20"/>
                <w:szCs w:val="20"/>
                <w:color w:val="auto"/>
              </w:rPr>
            </w:pPr>
            <w:r>
              <w:rPr>
                <w:rFonts w:ascii="Calibri" w:cs="Calibri" w:eastAsia="Calibri" w:hAnsi="Calibri"/>
                <w:sz w:val="18"/>
                <w:szCs w:val="18"/>
                <w:color w:val="auto"/>
                <w:w w:val="98"/>
              </w:rPr>
              <w:t>2015</w:t>
            </w:r>
          </w:p>
        </w:tc>
        <w:tc>
          <w:tcPr>
            <w:tcW w:w="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Calibri" w:cs="Calibri" w:eastAsia="Calibri" w:hAnsi="Calibri"/>
                <w:sz w:val="18"/>
                <w:szCs w:val="18"/>
                <w:color w:val="auto"/>
                <w:w w:val="98"/>
              </w:rPr>
              <w:t>2015</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Calibri" w:cs="Calibri" w:eastAsia="Calibri" w:hAnsi="Calibri"/>
                <w:sz w:val="18"/>
                <w:szCs w:val="18"/>
                <w:color w:val="auto"/>
              </w:rPr>
              <w:t>290,000</w:t>
            </w:r>
          </w:p>
        </w:tc>
        <w:tc>
          <w:tcPr>
            <w:tcW w:w="220" w:type="dxa"/>
            <w:vAlign w:val="bottom"/>
          </w:tcPr>
          <w:p>
            <w:pPr>
              <w:spacing w:after="0"/>
              <w:rPr>
                <w:sz w:val="22"/>
                <w:szCs w:val="22"/>
                <w:color w:val="auto"/>
              </w:rPr>
            </w:pPr>
          </w:p>
        </w:tc>
        <w:tc>
          <w:tcPr>
            <w:tcW w:w="40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0" w:type="dxa"/>
            <w:vAlign w:val="bottom"/>
            <w:tcBorders>
              <w:left w:val="single" w:sz="8" w:color="CCCCCC"/>
            </w:tcBorders>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4"/>
          </w:tcPr>
          <w:p>
            <w:pPr>
              <w:ind w:left="60"/>
              <w:spacing w:after="0" w:line="215" w:lineRule="exact"/>
              <w:rPr>
                <w:sz w:val="20"/>
                <w:szCs w:val="20"/>
                <w:color w:val="auto"/>
              </w:rPr>
            </w:pPr>
            <w:r>
              <w:rPr>
                <w:rFonts w:ascii="Calibri" w:cs="Calibri" w:eastAsia="Calibri" w:hAnsi="Calibri"/>
                <w:sz w:val="18"/>
                <w:szCs w:val="18"/>
                <w:color w:val="auto"/>
              </w:rPr>
              <w:t>Tysons Corner, Virginia</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0" w:type="dxa"/>
            <w:vAlign w:val="bottom"/>
            <w:tcBorders>
              <w:left w:val="single" w:sz="8" w:color="CCCCCC"/>
            </w:tcBorders>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Calibri" w:cs="Calibri" w:eastAsia="Calibri" w:hAnsi="Calibri"/>
                <w:sz w:val="18"/>
                <w:szCs w:val="18"/>
                <w:color w:val="auto"/>
              </w:rPr>
              <w:t>50%</w:t>
            </w:r>
          </w:p>
        </w:tc>
        <w:tc>
          <w:tcPr>
            <w:tcW w:w="40" w:type="dxa"/>
            <w:vAlign w:val="bottom"/>
          </w:tcPr>
          <w:p>
            <w:pPr>
              <w:spacing w:after="0"/>
              <w:rPr>
                <w:sz w:val="22"/>
                <w:szCs w:val="22"/>
                <w:color w:val="auto"/>
              </w:rPr>
            </w:pPr>
          </w:p>
        </w:tc>
        <w:tc>
          <w:tcPr>
            <w:tcW w:w="1460" w:type="dxa"/>
            <w:vAlign w:val="bottom"/>
          </w:tcPr>
          <w:p>
            <w:pPr>
              <w:ind w:left="60"/>
              <w:spacing w:after="0"/>
              <w:rPr>
                <w:sz w:val="20"/>
                <w:szCs w:val="20"/>
                <w:color w:val="auto"/>
              </w:rPr>
            </w:pPr>
            <w:r>
              <w:rPr>
                <w:rFonts w:ascii="Calibri" w:cs="Calibri" w:eastAsia="Calibri" w:hAnsi="Calibri"/>
                <w:sz w:val="18"/>
                <w:szCs w:val="18"/>
                <w:color w:val="auto"/>
              </w:rPr>
              <w:t>Tysons Tower(c)(f)</w:t>
            </w:r>
          </w:p>
        </w:tc>
        <w:tc>
          <w:tcPr>
            <w:tcW w:w="2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center"/>
              <w:ind w:right="225"/>
              <w:spacing w:after="0"/>
              <w:rPr>
                <w:sz w:val="20"/>
                <w:szCs w:val="20"/>
                <w:color w:val="auto"/>
              </w:rPr>
            </w:pPr>
            <w:r>
              <w:rPr>
                <w:rFonts w:ascii="Calibri" w:cs="Calibri" w:eastAsia="Calibri" w:hAnsi="Calibri"/>
                <w:sz w:val="18"/>
                <w:szCs w:val="18"/>
                <w:color w:val="auto"/>
                <w:w w:val="98"/>
              </w:rPr>
              <w:t>2014</w:t>
            </w:r>
          </w:p>
        </w:tc>
        <w:tc>
          <w:tcPr>
            <w:tcW w:w="6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Calibri" w:cs="Calibri" w:eastAsia="Calibri" w:hAnsi="Calibri"/>
                <w:sz w:val="18"/>
                <w:szCs w:val="18"/>
                <w:color w:val="auto"/>
                <w:w w:val="98"/>
              </w:rPr>
              <w:t>2014</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Calibri" w:cs="Calibri" w:eastAsia="Calibri" w:hAnsi="Calibri"/>
                <w:sz w:val="18"/>
                <w:szCs w:val="18"/>
                <w:color w:val="auto"/>
              </w:rPr>
              <w:t>547,000</w:t>
            </w:r>
          </w:p>
        </w:tc>
        <w:tc>
          <w:tcPr>
            <w:tcW w:w="220" w:type="dxa"/>
            <w:vAlign w:val="bottom"/>
          </w:tcPr>
          <w:p>
            <w:pPr>
              <w:spacing w:after="0"/>
              <w:rPr>
                <w:sz w:val="22"/>
                <w:szCs w:val="22"/>
                <w:color w:val="auto"/>
              </w:rPr>
            </w:pPr>
          </w:p>
        </w:tc>
        <w:tc>
          <w:tcPr>
            <w:tcW w:w="40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0" w:type="dxa"/>
            <w:vAlign w:val="bottom"/>
            <w:tcBorders>
              <w:left w:val="single" w:sz="8" w:color="CCCCCC"/>
            </w:tcBorders>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4"/>
          </w:tcPr>
          <w:p>
            <w:pPr>
              <w:ind w:left="60"/>
              <w:spacing w:after="0" w:line="215" w:lineRule="exact"/>
              <w:rPr>
                <w:sz w:val="20"/>
                <w:szCs w:val="20"/>
                <w:color w:val="auto"/>
              </w:rPr>
            </w:pPr>
            <w:r>
              <w:rPr>
                <w:rFonts w:ascii="Calibri" w:cs="Calibri" w:eastAsia="Calibri" w:hAnsi="Calibri"/>
                <w:sz w:val="18"/>
                <w:szCs w:val="18"/>
                <w:color w:val="auto"/>
              </w:rPr>
              <w:t>Tysons Corner, Virginia</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0" w:type="dxa"/>
            <w:vAlign w:val="bottom"/>
            <w:tcBorders>
              <w:left w:val="single" w:sz="8" w:color="CCCCCC"/>
            </w:tcBorders>
          </w:tcPr>
          <w:p>
            <w:pPr>
              <w:spacing w:after="0"/>
              <w:rPr>
                <w:sz w:val="16"/>
                <w:szCs w:val="16"/>
                <w:color w:val="auto"/>
              </w:rPr>
            </w:pPr>
          </w:p>
        </w:tc>
        <w:tc>
          <w:tcPr>
            <w:tcW w:w="480" w:type="dxa"/>
            <w:vAlign w:val="bottom"/>
            <w:tcBorders>
              <w:bottom w:val="single" w:sz="8" w:color="F5F5F5"/>
            </w:tcBorders>
          </w:tcPr>
          <w:p>
            <w:pPr>
              <w:spacing w:after="0"/>
              <w:rPr>
                <w:sz w:val="16"/>
                <w:szCs w:val="16"/>
                <w:color w:val="auto"/>
              </w:rPr>
            </w:pPr>
          </w:p>
        </w:tc>
        <w:tc>
          <w:tcPr>
            <w:tcW w:w="60" w:type="dxa"/>
            <w:vAlign w:val="bottom"/>
            <w:tcBorders>
              <w:bottom w:val="single" w:sz="8" w:color="F5F5F5"/>
            </w:tcBorders>
          </w:tcPr>
          <w:p>
            <w:pPr>
              <w:spacing w:after="0"/>
              <w:rPr>
                <w:sz w:val="16"/>
                <w:szCs w:val="16"/>
                <w:color w:val="auto"/>
              </w:rPr>
            </w:pPr>
          </w:p>
        </w:tc>
        <w:tc>
          <w:tcPr>
            <w:tcW w:w="920" w:type="dxa"/>
            <w:vAlign w:val="bottom"/>
            <w:tcBorders>
              <w:bottom w:val="single" w:sz="8" w:color="F5F5F5"/>
            </w:tcBorders>
          </w:tcPr>
          <w:p>
            <w:pPr>
              <w:spacing w:after="0"/>
              <w:rPr>
                <w:sz w:val="16"/>
                <w:szCs w:val="16"/>
                <w:color w:val="auto"/>
              </w:rPr>
            </w:pPr>
          </w:p>
        </w:tc>
        <w:tc>
          <w:tcPr>
            <w:tcW w:w="40" w:type="dxa"/>
            <w:vAlign w:val="bottom"/>
            <w:tcBorders>
              <w:bottom w:val="single" w:sz="8" w:color="F5F5F5"/>
            </w:tcBorders>
          </w:tcPr>
          <w:p>
            <w:pPr>
              <w:spacing w:after="0"/>
              <w:rPr>
                <w:sz w:val="16"/>
                <w:szCs w:val="16"/>
                <w:color w:val="auto"/>
              </w:rPr>
            </w:pPr>
          </w:p>
        </w:tc>
        <w:tc>
          <w:tcPr>
            <w:tcW w:w="1460" w:type="dxa"/>
            <w:vAlign w:val="bottom"/>
            <w:tcBorders>
              <w:bottom w:val="single" w:sz="8" w:color="F5F5F5"/>
            </w:tcBorders>
          </w:tcPr>
          <w:p>
            <w:pPr>
              <w:spacing w:after="0"/>
              <w:rPr>
                <w:sz w:val="16"/>
                <w:szCs w:val="16"/>
                <w:color w:val="auto"/>
              </w:rPr>
            </w:pPr>
          </w:p>
        </w:tc>
        <w:tc>
          <w:tcPr>
            <w:tcW w:w="2560" w:type="dxa"/>
            <w:vAlign w:val="bottom"/>
            <w:tcBorders>
              <w:bottom w:val="single" w:sz="8" w:color="F5F5F5"/>
            </w:tcBorders>
          </w:tcPr>
          <w:p>
            <w:pPr>
              <w:spacing w:after="0"/>
              <w:rPr>
                <w:sz w:val="16"/>
                <w:szCs w:val="16"/>
                <w:color w:val="auto"/>
              </w:rPr>
            </w:pPr>
          </w:p>
        </w:tc>
        <w:tc>
          <w:tcPr>
            <w:tcW w:w="60" w:type="dxa"/>
            <w:vAlign w:val="bottom"/>
            <w:tcBorders>
              <w:bottom w:val="single" w:sz="8" w:color="F5F5F5"/>
            </w:tcBorders>
          </w:tcPr>
          <w:p>
            <w:pPr>
              <w:spacing w:after="0"/>
              <w:rPr>
                <w:sz w:val="16"/>
                <w:szCs w:val="16"/>
                <w:color w:val="auto"/>
              </w:rPr>
            </w:pPr>
          </w:p>
        </w:tc>
        <w:tc>
          <w:tcPr>
            <w:tcW w:w="260" w:type="dxa"/>
            <w:vAlign w:val="bottom"/>
            <w:tcBorders>
              <w:bottom w:val="single" w:sz="8" w:color="F5F5F5"/>
            </w:tcBorders>
          </w:tcPr>
          <w:p>
            <w:pPr>
              <w:spacing w:after="0"/>
              <w:rPr>
                <w:sz w:val="16"/>
                <w:szCs w:val="16"/>
                <w:color w:val="auto"/>
              </w:rPr>
            </w:pPr>
          </w:p>
        </w:tc>
        <w:tc>
          <w:tcPr>
            <w:tcW w:w="1260" w:type="dxa"/>
            <w:vAlign w:val="bottom"/>
            <w:tcBorders>
              <w:bottom w:val="single" w:sz="8" w:color="F5F5F5"/>
            </w:tcBorders>
          </w:tcPr>
          <w:p>
            <w:pPr>
              <w:spacing w:after="0"/>
              <w:rPr>
                <w:sz w:val="16"/>
                <w:szCs w:val="16"/>
                <w:color w:val="auto"/>
              </w:rPr>
            </w:pPr>
          </w:p>
        </w:tc>
        <w:tc>
          <w:tcPr>
            <w:tcW w:w="60" w:type="dxa"/>
            <w:vAlign w:val="bottom"/>
            <w:tcBorders>
              <w:bottom w:val="single" w:sz="8" w:color="F5F5F5"/>
            </w:tcBorders>
          </w:tcPr>
          <w:p>
            <w:pPr>
              <w:spacing w:after="0"/>
              <w:rPr>
                <w:sz w:val="16"/>
                <w:szCs w:val="16"/>
                <w:color w:val="auto"/>
              </w:rPr>
            </w:pPr>
          </w:p>
        </w:tc>
        <w:tc>
          <w:tcPr>
            <w:tcW w:w="1260" w:type="dxa"/>
            <w:vAlign w:val="bottom"/>
            <w:tcBorders>
              <w:bottom w:val="single" w:sz="8" w:color="F5F5F5"/>
            </w:tcBorders>
          </w:tcPr>
          <w:p>
            <w:pPr>
              <w:spacing w:after="0"/>
              <w:rPr>
                <w:sz w:val="16"/>
                <w:szCs w:val="16"/>
                <w:color w:val="auto"/>
              </w:rPr>
            </w:pPr>
          </w:p>
        </w:tc>
        <w:tc>
          <w:tcPr>
            <w:tcW w:w="60" w:type="dxa"/>
            <w:vAlign w:val="bottom"/>
            <w:tcBorders>
              <w:bottom w:val="single" w:sz="8" w:color="F5F5F5"/>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0" w:type="dxa"/>
            <w:vAlign w:val="bottom"/>
            <w:tcBorders>
              <w:left w:val="single" w:sz="8" w:color="CCCCCC"/>
            </w:tcBorders>
          </w:tcPr>
          <w:p>
            <w:pPr>
              <w:spacing w:after="0"/>
              <w:rPr>
                <w:sz w:val="20"/>
                <w:szCs w:val="20"/>
                <w:color w:val="auto"/>
              </w:rPr>
            </w:pPr>
          </w:p>
        </w:tc>
        <w:tc>
          <w:tcPr>
            <w:tcW w:w="480" w:type="dxa"/>
            <w:vAlign w:val="bottom"/>
            <w:shd w:val="clear" w:color="auto" w:fill="F5F5F5"/>
          </w:tcPr>
          <w:p>
            <w:pPr>
              <w:spacing w:after="0"/>
              <w:rPr>
                <w:sz w:val="20"/>
                <w:szCs w:val="20"/>
                <w:color w:val="auto"/>
              </w:rPr>
            </w:pPr>
          </w:p>
        </w:tc>
        <w:tc>
          <w:tcPr>
            <w:tcW w:w="60" w:type="dxa"/>
            <w:vAlign w:val="bottom"/>
            <w:shd w:val="clear" w:color="auto" w:fill="F5F5F5"/>
          </w:tcPr>
          <w:p>
            <w:pPr>
              <w:spacing w:after="0"/>
              <w:rPr>
                <w:sz w:val="20"/>
                <w:szCs w:val="20"/>
                <w:color w:val="auto"/>
              </w:rPr>
            </w:pPr>
          </w:p>
        </w:tc>
        <w:tc>
          <w:tcPr>
            <w:tcW w:w="920" w:type="dxa"/>
            <w:vAlign w:val="bottom"/>
            <w:shd w:val="clear" w:color="auto" w:fill="F5F5F5"/>
          </w:tcPr>
          <w:p>
            <w:pPr>
              <w:spacing w:after="0"/>
              <w:rPr>
                <w:sz w:val="20"/>
                <w:szCs w:val="20"/>
                <w:color w:val="auto"/>
              </w:rPr>
            </w:pPr>
          </w:p>
        </w:tc>
        <w:tc>
          <w:tcPr>
            <w:tcW w:w="40" w:type="dxa"/>
            <w:vAlign w:val="bottom"/>
            <w:shd w:val="clear" w:color="auto" w:fill="F5F5F5"/>
          </w:tcPr>
          <w:p>
            <w:pPr>
              <w:spacing w:after="0"/>
              <w:rPr>
                <w:sz w:val="20"/>
                <w:szCs w:val="20"/>
                <w:color w:val="auto"/>
              </w:rPr>
            </w:pPr>
          </w:p>
        </w:tc>
        <w:tc>
          <w:tcPr>
            <w:tcW w:w="1460" w:type="dxa"/>
            <w:vAlign w:val="bottom"/>
            <w:shd w:val="clear" w:color="auto" w:fill="F5F5F5"/>
          </w:tcPr>
          <w:p>
            <w:pPr>
              <w:spacing w:after="0"/>
              <w:rPr>
                <w:sz w:val="20"/>
                <w:szCs w:val="20"/>
                <w:color w:val="auto"/>
              </w:rPr>
            </w:pPr>
          </w:p>
        </w:tc>
        <w:tc>
          <w:tcPr>
            <w:tcW w:w="2560" w:type="dxa"/>
            <w:vAlign w:val="bottom"/>
            <w:shd w:val="clear" w:color="auto" w:fill="F5F5F5"/>
          </w:tcPr>
          <w:p>
            <w:pPr>
              <w:spacing w:after="0"/>
              <w:rPr>
                <w:sz w:val="20"/>
                <w:szCs w:val="20"/>
                <w:color w:val="auto"/>
              </w:rPr>
            </w:pPr>
          </w:p>
        </w:tc>
        <w:tc>
          <w:tcPr>
            <w:tcW w:w="60" w:type="dxa"/>
            <w:vAlign w:val="bottom"/>
            <w:shd w:val="clear" w:color="auto" w:fill="F5F5F5"/>
          </w:tcPr>
          <w:p>
            <w:pPr>
              <w:spacing w:after="0"/>
              <w:rPr>
                <w:sz w:val="20"/>
                <w:szCs w:val="20"/>
                <w:color w:val="auto"/>
              </w:rPr>
            </w:pPr>
          </w:p>
        </w:tc>
        <w:tc>
          <w:tcPr>
            <w:tcW w:w="260" w:type="dxa"/>
            <w:vAlign w:val="bottom"/>
            <w:shd w:val="clear" w:color="auto" w:fill="F5F5F5"/>
          </w:tcPr>
          <w:p>
            <w:pPr>
              <w:spacing w:after="0"/>
              <w:rPr>
                <w:sz w:val="20"/>
                <w:szCs w:val="20"/>
                <w:color w:val="auto"/>
              </w:rPr>
            </w:pPr>
          </w:p>
        </w:tc>
        <w:tc>
          <w:tcPr>
            <w:tcW w:w="1260" w:type="dxa"/>
            <w:vAlign w:val="bottom"/>
            <w:shd w:val="clear" w:color="auto" w:fill="F5F5F5"/>
          </w:tcPr>
          <w:p>
            <w:pPr>
              <w:spacing w:after="0"/>
              <w:rPr>
                <w:sz w:val="20"/>
                <w:szCs w:val="20"/>
                <w:color w:val="auto"/>
              </w:rPr>
            </w:pPr>
          </w:p>
        </w:tc>
        <w:tc>
          <w:tcPr>
            <w:tcW w:w="60" w:type="dxa"/>
            <w:vAlign w:val="bottom"/>
            <w:shd w:val="clear" w:color="auto" w:fill="F5F5F5"/>
          </w:tcPr>
          <w:p>
            <w:pPr>
              <w:spacing w:after="0"/>
              <w:rPr>
                <w:sz w:val="20"/>
                <w:szCs w:val="20"/>
                <w:color w:val="auto"/>
              </w:rPr>
            </w:pPr>
          </w:p>
        </w:tc>
        <w:tc>
          <w:tcPr>
            <w:tcW w:w="1260" w:type="dxa"/>
            <w:vAlign w:val="bottom"/>
            <w:shd w:val="clear" w:color="auto" w:fill="F5F5F5"/>
          </w:tcPr>
          <w:p>
            <w:pPr>
              <w:spacing w:after="0"/>
              <w:rPr>
                <w:sz w:val="20"/>
                <w:szCs w:val="20"/>
                <w:color w:val="auto"/>
              </w:rPr>
            </w:pPr>
          </w:p>
        </w:tc>
        <w:tc>
          <w:tcPr>
            <w:tcW w:w="60" w:type="dxa"/>
            <w:vAlign w:val="bottom"/>
            <w:shd w:val="clear" w:color="auto" w:fill="F5F5F5"/>
          </w:tcPr>
          <w:p>
            <w:pPr>
              <w:spacing w:after="0"/>
              <w:rPr>
                <w:sz w:val="20"/>
                <w:szCs w:val="20"/>
                <w:color w:val="auto"/>
              </w:rPr>
            </w:pPr>
          </w:p>
        </w:tc>
        <w:tc>
          <w:tcPr>
            <w:tcW w:w="1240" w:type="dxa"/>
            <w:vAlign w:val="bottom"/>
            <w:tcBorders>
              <w:bottom w:val="single" w:sz="8" w:color="auto"/>
            </w:tcBorders>
            <w:shd w:val="clear" w:color="auto" w:fill="F5F5F5"/>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right w:val="single" w:sz="8" w:color="CCCCC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 w:type="dxa"/>
            <w:vAlign w:val="bottom"/>
            <w:tcBorders>
              <w:left w:val="single" w:sz="8" w:color="CCCCCC"/>
            </w:tcBorders>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60" w:type="dxa"/>
            <w:vAlign w:val="bottom"/>
          </w:tcPr>
          <w:p>
            <w:pPr>
              <w:jc w:val="center"/>
              <w:ind w:left="1379"/>
              <w:spacing w:after="0" w:line="217" w:lineRule="exact"/>
              <w:rPr>
                <w:sz w:val="20"/>
                <w:szCs w:val="20"/>
                <w:color w:val="auto"/>
              </w:rPr>
            </w:pPr>
            <w:r>
              <w:rPr>
                <w:rFonts w:ascii="Calibri" w:cs="Calibri" w:eastAsia="Calibri" w:hAnsi="Calibri"/>
                <w:sz w:val="18"/>
                <w:szCs w:val="18"/>
                <w:color w:val="auto"/>
                <w:w w:val="98"/>
              </w:rPr>
              <w:t>21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right w:val="single" w:sz="8" w:color="CCCCCC"/>
            </w:tcBorders>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00" w:type="dxa"/>
            <w:vAlign w:val="bottom"/>
            <w:tcBorders>
              <w:left w:val="single" w:sz="8" w:color="CCCCCC"/>
            </w:tcBorders>
          </w:tcPr>
          <w:p>
            <w:pPr>
              <w:spacing w:after="0"/>
              <w:rPr>
                <w:sz w:val="24"/>
                <w:szCs w:val="24"/>
                <w:color w:val="auto"/>
              </w:rPr>
            </w:pPr>
          </w:p>
        </w:tc>
        <w:tc>
          <w:tcPr>
            <w:tcW w:w="480" w:type="dxa"/>
            <w:vAlign w:val="bottom"/>
            <w:shd w:val="clear" w:color="auto" w:fill="F5F5F5"/>
          </w:tcPr>
          <w:p>
            <w:pPr>
              <w:spacing w:after="0"/>
              <w:rPr>
                <w:sz w:val="24"/>
                <w:szCs w:val="24"/>
                <w:color w:val="auto"/>
              </w:rPr>
            </w:pPr>
          </w:p>
        </w:tc>
        <w:tc>
          <w:tcPr>
            <w:tcW w:w="60" w:type="dxa"/>
            <w:vAlign w:val="bottom"/>
            <w:shd w:val="clear" w:color="auto" w:fill="F5F5F5"/>
          </w:tcPr>
          <w:p>
            <w:pPr>
              <w:spacing w:after="0"/>
              <w:rPr>
                <w:sz w:val="24"/>
                <w:szCs w:val="24"/>
                <w:color w:val="auto"/>
              </w:rPr>
            </w:pPr>
          </w:p>
        </w:tc>
        <w:tc>
          <w:tcPr>
            <w:tcW w:w="920" w:type="dxa"/>
            <w:vAlign w:val="bottom"/>
            <w:shd w:val="clear" w:color="auto" w:fill="F5F5F5"/>
          </w:tcPr>
          <w:p>
            <w:pPr>
              <w:spacing w:after="0"/>
              <w:rPr>
                <w:sz w:val="24"/>
                <w:szCs w:val="24"/>
                <w:color w:val="auto"/>
              </w:rPr>
            </w:pPr>
          </w:p>
        </w:tc>
        <w:tc>
          <w:tcPr>
            <w:tcW w:w="40" w:type="dxa"/>
            <w:vAlign w:val="bottom"/>
            <w:shd w:val="clear" w:color="auto" w:fill="F5F5F5"/>
          </w:tcPr>
          <w:p>
            <w:pPr>
              <w:spacing w:after="0"/>
              <w:rPr>
                <w:sz w:val="24"/>
                <w:szCs w:val="24"/>
                <w:color w:val="auto"/>
              </w:rPr>
            </w:pPr>
          </w:p>
        </w:tc>
        <w:tc>
          <w:tcPr>
            <w:tcW w:w="1460" w:type="dxa"/>
            <w:vAlign w:val="bottom"/>
            <w:shd w:val="clear" w:color="auto" w:fill="F5F5F5"/>
          </w:tcPr>
          <w:p>
            <w:pPr>
              <w:spacing w:after="0"/>
              <w:rPr>
                <w:sz w:val="24"/>
                <w:szCs w:val="24"/>
                <w:color w:val="auto"/>
              </w:rPr>
            </w:pPr>
          </w:p>
        </w:tc>
        <w:tc>
          <w:tcPr>
            <w:tcW w:w="2560" w:type="dxa"/>
            <w:vAlign w:val="bottom"/>
            <w:shd w:val="clear" w:color="auto" w:fill="F5F5F5"/>
          </w:tcPr>
          <w:p>
            <w:pPr>
              <w:spacing w:after="0"/>
              <w:rPr>
                <w:sz w:val="24"/>
                <w:szCs w:val="24"/>
                <w:color w:val="auto"/>
              </w:rPr>
            </w:pPr>
          </w:p>
        </w:tc>
        <w:tc>
          <w:tcPr>
            <w:tcW w:w="60" w:type="dxa"/>
            <w:vAlign w:val="bottom"/>
            <w:shd w:val="clear" w:color="auto" w:fill="F5F5F5"/>
          </w:tcPr>
          <w:p>
            <w:pPr>
              <w:spacing w:after="0"/>
              <w:rPr>
                <w:sz w:val="24"/>
                <w:szCs w:val="24"/>
                <w:color w:val="auto"/>
              </w:rPr>
            </w:pPr>
          </w:p>
        </w:tc>
        <w:tc>
          <w:tcPr>
            <w:tcW w:w="260" w:type="dxa"/>
            <w:vAlign w:val="bottom"/>
            <w:shd w:val="clear" w:color="auto" w:fill="F5F5F5"/>
          </w:tcPr>
          <w:p>
            <w:pPr>
              <w:spacing w:after="0"/>
              <w:rPr>
                <w:sz w:val="24"/>
                <w:szCs w:val="24"/>
                <w:color w:val="auto"/>
              </w:rPr>
            </w:pPr>
          </w:p>
        </w:tc>
        <w:tc>
          <w:tcPr>
            <w:tcW w:w="1260" w:type="dxa"/>
            <w:vAlign w:val="bottom"/>
            <w:shd w:val="clear" w:color="auto" w:fill="F5F5F5"/>
          </w:tcPr>
          <w:p>
            <w:pPr>
              <w:spacing w:after="0"/>
              <w:rPr>
                <w:sz w:val="24"/>
                <w:szCs w:val="24"/>
                <w:color w:val="auto"/>
              </w:rPr>
            </w:pPr>
          </w:p>
        </w:tc>
        <w:tc>
          <w:tcPr>
            <w:tcW w:w="60" w:type="dxa"/>
            <w:vAlign w:val="bottom"/>
            <w:shd w:val="clear" w:color="auto" w:fill="F5F5F5"/>
          </w:tcPr>
          <w:p>
            <w:pPr>
              <w:spacing w:after="0"/>
              <w:rPr>
                <w:sz w:val="24"/>
                <w:szCs w:val="24"/>
                <w:color w:val="auto"/>
              </w:rPr>
            </w:pPr>
          </w:p>
        </w:tc>
        <w:tc>
          <w:tcPr>
            <w:tcW w:w="1260" w:type="dxa"/>
            <w:vAlign w:val="bottom"/>
            <w:shd w:val="clear" w:color="auto" w:fill="F5F5F5"/>
          </w:tcPr>
          <w:p>
            <w:pPr>
              <w:spacing w:after="0"/>
              <w:rPr>
                <w:sz w:val="24"/>
                <w:szCs w:val="24"/>
                <w:color w:val="auto"/>
              </w:rPr>
            </w:pPr>
          </w:p>
        </w:tc>
        <w:tc>
          <w:tcPr>
            <w:tcW w:w="60" w:type="dxa"/>
            <w:vAlign w:val="bottom"/>
            <w:shd w:val="clear" w:color="auto" w:fill="F5F5F5"/>
          </w:tcPr>
          <w:p>
            <w:pPr>
              <w:spacing w:after="0"/>
              <w:rPr>
                <w:sz w:val="24"/>
                <w:szCs w:val="24"/>
                <w:color w:val="auto"/>
              </w:rPr>
            </w:pPr>
          </w:p>
        </w:tc>
        <w:tc>
          <w:tcPr>
            <w:tcW w:w="1240" w:type="dxa"/>
            <w:vAlign w:val="bottom"/>
            <w:shd w:val="clear" w:color="auto" w:fill="F5F5F5"/>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0" w:type="dxa"/>
            <w:vAlign w:val="bottom"/>
            <w:tcBorders>
              <w:left w:val="single" w:sz="8" w:color="CCCCCC"/>
              <w:bottom w:val="single" w:sz="8" w:color="CCCCCC"/>
            </w:tcBorders>
          </w:tcPr>
          <w:p>
            <w:pPr>
              <w:spacing w:after="0"/>
              <w:rPr>
                <w:sz w:val="24"/>
                <w:szCs w:val="24"/>
                <w:color w:val="auto"/>
              </w:rPr>
            </w:pPr>
          </w:p>
        </w:tc>
        <w:tc>
          <w:tcPr>
            <w:tcW w:w="48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920" w:type="dxa"/>
            <w:vAlign w:val="bottom"/>
            <w:tcBorders>
              <w:bottom w:val="single" w:sz="8" w:color="CCCCCC"/>
            </w:tcBorders>
          </w:tcPr>
          <w:p>
            <w:pPr>
              <w:spacing w:after="0"/>
              <w:rPr>
                <w:sz w:val="24"/>
                <w:szCs w:val="24"/>
                <w:color w:val="auto"/>
              </w:rPr>
            </w:pPr>
          </w:p>
        </w:tc>
        <w:tc>
          <w:tcPr>
            <w:tcW w:w="40" w:type="dxa"/>
            <w:vAlign w:val="bottom"/>
            <w:tcBorders>
              <w:bottom w:val="single" w:sz="8" w:color="CCCCCC"/>
            </w:tcBorders>
          </w:tcPr>
          <w:p>
            <w:pPr>
              <w:spacing w:after="0"/>
              <w:rPr>
                <w:sz w:val="24"/>
                <w:szCs w:val="24"/>
                <w:color w:val="auto"/>
              </w:rPr>
            </w:pPr>
          </w:p>
        </w:tc>
        <w:tc>
          <w:tcPr>
            <w:tcW w:w="1460" w:type="dxa"/>
            <w:vAlign w:val="bottom"/>
            <w:tcBorders>
              <w:bottom w:val="single" w:sz="8" w:color="CCCCCC"/>
            </w:tcBorders>
          </w:tcPr>
          <w:p>
            <w:pPr>
              <w:spacing w:after="0"/>
              <w:rPr>
                <w:sz w:val="24"/>
                <w:szCs w:val="24"/>
                <w:color w:val="auto"/>
              </w:rPr>
            </w:pPr>
          </w:p>
        </w:tc>
        <w:tc>
          <w:tcPr>
            <w:tcW w:w="256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260" w:type="dxa"/>
            <w:vAlign w:val="bottom"/>
            <w:tcBorders>
              <w:bottom w:val="single" w:sz="8" w:color="CCCCCC"/>
            </w:tcBorders>
          </w:tcPr>
          <w:p>
            <w:pPr>
              <w:spacing w:after="0"/>
              <w:rPr>
                <w:sz w:val="24"/>
                <w:szCs w:val="24"/>
                <w:color w:val="auto"/>
              </w:rPr>
            </w:pPr>
          </w:p>
        </w:tc>
        <w:tc>
          <w:tcPr>
            <w:tcW w:w="126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1260" w:type="dxa"/>
            <w:vAlign w:val="bottom"/>
            <w:tcBorders>
              <w:bottom w:val="single" w:sz="8" w:color="CCCCCC"/>
            </w:tcBorders>
          </w:tcPr>
          <w:p>
            <w:pPr>
              <w:spacing w:after="0"/>
              <w:rPr>
                <w:sz w:val="24"/>
                <w:szCs w:val="24"/>
                <w:color w:val="auto"/>
              </w:rPr>
            </w:pPr>
          </w:p>
        </w:tc>
        <w:tc>
          <w:tcPr>
            <w:tcW w:w="60" w:type="dxa"/>
            <w:vAlign w:val="bottom"/>
            <w:tcBorders>
              <w:bottom w:val="single" w:sz="8" w:color="CCCCCC"/>
            </w:tcBorders>
          </w:tcPr>
          <w:p>
            <w:pPr>
              <w:spacing w:after="0"/>
              <w:rPr>
                <w:sz w:val="24"/>
                <w:szCs w:val="24"/>
                <w:color w:val="auto"/>
              </w:rPr>
            </w:pPr>
          </w:p>
        </w:tc>
        <w:tc>
          <w:tcPr>
            <w:tcW w:w="1240" w:type="dxa"/>
            <w:vAlign w:val="bottom"/>
            <w:tcBorders>
              <w:bottom w:val="single" w:sz="8" w:color="CCCCCC"/>
            </w:tcBorders>
          </w:tcPr>
          <w:p>
            <w:pPr>
              <w:spacing w:after="0"/>
              <w:rPr>
                <w:sz w:val="24"/>
                <w:szCs w:val="24"/>
                <w:color w:val="auto"/>
              </w:rPr>
            </w:pPr>
          </w:p>
        </w:tc>
        <w:tc>
          <w:tcPr>
            <w:tcW w:w="220" w:type="dxa"/>
            <w:vAlign w:val="bottom"/>
            <w:tcBorders>
              <w:bottom w:val="single" w:sz="8" w:color="CCCCCC"/>
            </w:tcBorders>
          </w:tcPr>
          <w:p>
            <w:pPr>
              <w:spacing w:after="0"/>
              <w:rPr>
                <w:sz w:val="24"/>
                <w:szCs w:val="24"/>
                <w:color w:val="auto"/>
              </w:rPr>
            </w:pPr>
          </w:p>
        </w:tc>
        <w:tc>
          <w:tcPr>
            <w:tcW w:w="40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CCCCCC"/>
            </w:tcBorders>
          </w:tcPr>
          <w:p>
            <w:pPr>
              <w:spacing w:after="0"/>
              <w:rPr>
                <w:sz w:val="11"/>
                <w:szCs w:val="11"/>
                <w:color w:val="auto"/>
              </w:rPr>
            </w:pPr>
          </w:p>
        </w:tc>
        <w:tc>
          <w:tcPr>
            <w:tcW w:w="480" w:type="dxa"/>
            <w:vAlign w:val="bottom"/>
            <w:tcBorders>
              <w:bottom w:val="single" w:sz="8" w:color="CCCCCC"/>
            </w:tcBorders>
          </w:tcPr>
          <w:p>
            <w:pPr>
              <w:spacing w:after="0"/>
              <w:rPr>
                <w:sz w:val="11"/>
                <w:szCs w:val="11"/>
                <w:color w:val="auto"/>
              </w:rPr>
            </w:pPr>
          </w:p>
        </w:tc>
        <w:tc>
          <w:tcPr>
            <w:tcW w:w="60" w:type="dxa"/>
            <w:vAlign w:val="bottom"/>
            <w:tcBorders>
              <w:bottom w:val="single" w:sz="8" w:color="CCCCCC"/>
            </w:tcBorders>
          </w:tcPr>
          <w:p>
            <w:pPr>
              <w:spacing w:after="0"/>
              <w:rPr>
                <w:sz w:val="11"/>
                <w:szCs w:val="11"/>
                <w:color w:val="auto"/>
              </w:rPr>
            </w:pPr>
          </w:p>
        </w:tc>
        <w:tc>
          <w:tcPr>
            <w:tcW w:w="920" w:type="dxa"/>
            <w:vAlign w:val="bottom"/>
            <w:tcBorders>
              <w:bottom w:val="single" w:sz="8" w:color="CCCCCC"/>
            </w:tcBorders>
          </w:tcPr>
          <w:p>
            <w:pPr>
              <w:spacing w:after="0"/>
              <w:rPr>
                <w:sz w:val="11"/>
                <w:szCs w:val="11"/>
                <w:color w:val="auto"/>
              </w:rPr>
            </w:pPr>
          </w:p>
        </w:tc>
        <w:tc>
          <w:tcPr>
            <w:tcW w:w="40" w:type="dxa"/>
            <w:vAlign w:val="bottom"/>
            <w:tcBorders>
              <w:bottom w:val="single" w:sz="8" w:color="CCCCCC"/>
            </w:tcBorders>
          </w:tcPr>
          <w:p>
            <w:pPr>
              <w:spacing w:after="0"/>
              <w:rPr>
                <w:sz w:val="11"/>
                <w:szCs w:val="11"/>
                <w:color w:val="auto"/>
              </w:rPr>
            </w:pPr>
          </w:p>
        </w:tc>
        <w:tc>
          <w:tcPr>
            <w:tcW w:w="1460" w:type="dxa"/>
            <w:vAlign w:val="bottom"/>
            <w:tcBorders>
              <w:bottom w:val="single" w:sz="8" w:color="CCCCCC"/>
            </w:tcBorders>
          </w:tcPr>
          <w:p>
            <w:pPr>
              <w:spacing w:after="0"/>
              <w:rPr>
                <w:sz w:val="11"/>
                <w:szCs w:val="11"/>
                <w:color w:val="auto"/>
              </w:rPr>
            </w:pPr>
          </w:p>
        </w:tc>
        <w:tc>
          <w:tcPr>
            <w:tcW w:w="2880" w:type="dxa"/>
            <w:vAlign w:val="bottom"/>
            <w:tcBorders>
              <w:bottom w:val="single" w:sz="8" w:color="CCCCCC"/>
            </w:tcBorders>
            <w:gridSpan w:val="3"/>
          </w:tcPr>
          <w:p>
            <w:pPr>
              <w:spacing w:after="0"/>
              <w:rPr>
                <w:sz w:val="11"/>
                <w:szCs w:val="11"/>
                <w:color w:val="auto"/>
              </w:rPr>
            </w:pPr>
          </w:p>
        </w:tc>
        <w:tc>
          <w:tcPr>
            <w:tcW w:w="1260" w:type="dxa"/>
            <w:vAlign w:val="bottom"/>
            <w:tcBorders>
              <w:bottom w:val="single" w:sz="8" w:color="CCCCCC"/>
            </w:tcBorders>
          </w:tcPr>
          <w:p>
            <w:pPr>
              <w:spacing w:after="0"/>
              <w:rPr>
                <w:sz w:val="11"/>
                <w:szCs w:val="11"/>
                <w:color w:val="auto"/>
              </w:rPr>
            </w:pPr>
          </w:p>
        </w:tc>
        <w:tc>
          <w:tcPr>
            <w:tcW w:w="60" w:type="dxa"/>
            <w:vAlign w:val="bottom"/>
            <w:tcBorders>
              <w:bottom w:val="single" w:sz="8" w:color="CCCCCC"/>
            </w:tcBorders>
          </w:tcPr>
          <w:p>
            <w:pPr>
              <w:spacing w:after="0"/>
              <w:rPr>
                <w:sz w:val="11"/>
                <w:szCs w:val="11"/>
                <w:color w:val="auto"/>
              </w:rPr>
            </w:pPr>
          </w:p>
        </w:tc>
        <w:tc>
          <w:tcPr>
            <w:tcW w:w="1260" w:type="dxa"/>
            <w:vAlign w:val="bottom"/>
            <w:tcBorders>
              <w:bottom w:val="single" w:sz="8" w:color="CCCCCC"/>
            </w:tcBorders>
          </w:tcPr>
          <w:p>
            <w:pPr>
              <w:spacing w:after="0"/>
              <w:rPr>
                <w:sz w:val="11"/>
                <w:szCs w:val="11"/>
                <w:color w:val="auto"/>
              </w:rPr>
            </w:pPr>
          </w:p>
        </w:tc>
        <w:tc>
          <w:tcPr>
            <w:tcW w:w="60" w:type="dxa"/>
            <w:vAlign w:val="bottom"/>
            <w:tcBorders>
              <w:bottom w:val="single" w:sz="8" w:color="CCCCCC"/>
            </w:tcBorders>
          </w:tcPr>
          <w:p>
            <w:pPr>
              <w:spacing w:after="0"/>
              <w:rPr>
                <w:sz w:val="11"/>
                <w:szCs w:val="11"/>
                <w:color w:val="auto"/>
              </w:rPr>
            </w:pPr>
          </w:p>
        </w:tc>
        <w:tc>
          <w:tcPr>
            <w:tcW w:w="1240" w:type="dxa"/>
            <w:vAlign w:val="bottom"/>
            <w:tcBorders>
              <w:bottom w:val="single" w:sz="8" w:color="CCCCCC"/>
            </w:tcBorders>
          </w:tcPr>
          <w:p>
            <w:pPr>
              <w:spacing w:after="0"/>
              <w:rPr>
                <w:sz w:val="11"/>
                <w:szCs w:val="11"/>
                <w:color w:val="auto"/>
              </w:rPr>
            </w:pPr>
          </w:p>
        </w:tc>
        <w:tc>
          <w:tcPr>
            <w:tcW w:w="220" w:type="dxa"/>
            <w:vAlign w:val="bottom"/>
            <w:tcBorders>
              <w:bottom w:val="single" w:sz="8" w:color="CCCCCC"/>
            </w:tcBorders>
          </w:tcPr>
          <w:p>
            <w:pPr>
              <w:spacing w:after="0"/>
              <w:rPr>
                <w:sz w:val="11"/>
                <w:szCs w:val="11"/>
                <w:color w:val="auto"/>
              </w:rPr>
            </w:pPr>
          </w:p>
        </w:tc>
        <w:tc>
          <w:tcPr>
            <w:tcW w:w="4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880" w:type="dxa"/>
            <w:vAlign w:val="bottom"/>
            <w:tcBorders>
              <w:bottom w:val="single" w:sz="8" w:color="9A9A9A"/>
            </w:tcBorders>
            <w:gridSpan w:val="3"/>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00" w:type="dxa"/>
            <w:vAlign w:val="bottom"/>
          </w:tcPr>
          <w:p>
            <w:pPr>
              <w:spacing w:after="0"/>
              <w:rPr>
                <w:sz w:val="2"/>
                <w:szCs w:val="2"/>
                <w:color w:val="auto"/>
              </w:rPr>
            </w:pPr>
          </w:p>
        </w:tc>
        <w:tc>
          <w:tcPr>
            <w:tcW w:w="480" w:type="dxa"/>
            <w:vAlign w:val="bottom"/>
            <w:tcBorders>
              <w:bottom w:val="single" w:sz="8" w:color="EFEFEF"/>
            </w:tcBorders>
          </w:tcPr>
          <w:p>
            <w:pPr>
              <w:spacing w:after="0"/>
              <w:rPr>
                <w:sz w:val="2"/>
                <w:szCs w:val="2"/>
                <w:color w:val="auto"/>
              </w:rPr>
            </w:pPr>
          </w:p>
        </w:tc>
        <w:tc>
          <w:tcPr>
            <w:tcW w:w="60" w:type="dxa"/>
            <w:vAlign w:val="bottom"/>
            <w:tcBorders>
              <w:bottom w:val="single" w:sz="8" w:color="EFEFEF"/>
            </w:tcBorders>
          </w:tcPr>
          <w:p>
            <w:pPr>
              <w:spacing w:after="0"/>
              <w:rPr>
                <w:sz w:val="2"/>
                <w:szCs w:val="2"/>
                <w:color w:val="auto"/>
              </w:rPr>
            </w:pPr>
          </w:p>
        </w:tc>
        <w:tc>
          <w:tcPr>
            <w:tcW w:w="920" w:type="dxa"/>
            <w:vAlign w:val="bottom"/>
            <w:tcBorders>
              <w:bottom w:val="single" w:sz="8" w:color="EFEFEF"/>
            </w:tcBorders>
          </w:tcPr>
          <w:p>
            <w:pPr>
              <w:spacing w:after="0"/>
              <w:rPr>
                <w:sz w:val="2"/>
                <w:szCs w:val="2"/>
                <w:color w:val="auto"/>
              </w:rPr>
            </w:pPr>
          </w:p>
        </w:tc>
        <w:tc>
          <w:tcPr>
            <w:tcW w:w="40" w:type="dxa"/>
            <w:vAlign w:val="bottom"/>
            <w:tcBorders>
              <w:bottom w:val="single" w:sz="8" w:color="EFEFEF"/>
            </w:tcBorders>
          </w:tcPr>
          <w:p>
            <w:pPr>
              <w:spacing w:after="0"/>
              <w:rPr>
                <w:sz w:val="2"/>
                <w:szCs w:val="2"/>
                <w:color w:val="auto"/>
              </w:rPr>
            </w:pPr>
          </w:p>
        </w:tc>
        <w:tc>
          <w:tcPr>
            <w:tcW w:w="1460" w:type="dxa"/>
            <w:vAlign w:val="bottom"/>
            <w:tcBorders>
              <w:bottom w:val="single" w:sz="8" w:color="EFEFEF"/>
            </w:tcBorders>
          </w:tcPr>
          <w:p>
            <w:pPr>
              <w:spacing w:after="0"/>
              <w:rPr>
                <w:sz w:val="2"/>
                <w:szCs w:val="2"/>
                <w:color w:val="auto"/>
              </w:rPr>
            </w:pPr>
          </w:p>
        </w:tc>
        <w:tc>
          <w:tcPr>
            <w:tcW w:w="2560" w:type="dxa"/>
            <w:vAlign w:val="bottom"/>
            <w:tcBorders>
              <w:bottom w:val="single" w:sz="8" w:color="EFEFEF"/>
            </w:tcBorders>
          </w:tcPr>
          <w:p>
            <w:pPr>
              <w:spacing w:after="0"/>
              <w:rPr>
                <w:sz w:val="2"/>
                <w:szCs w:val="2"/>
                <w:color w:val="auto"/>
              </w:rPr>
            </w:pPr>
          </w:p>
        </w:tc>
        <w:tc>
          <w:tcPr>
            <w:tcW w:w="60" w:type="dxa"/>
            <w:vAlign w:val="bottom"/>
            <w:tcBorders>
              <w:bottom w:val="single" w:sz="8" w:color="EFEFEF"/>
            </w:tcBorders>
          </w:tcPr>
          <w:p>
            <w:pPr>
              <w:spacing w:after="0"/>
              <w:rPr>
                <w:sz w:val="2"/>
                <w:szCs w:val="2"/>
                <w:color w:val="auto"/>
              </w:rPr>
            </w:pPr>
          </w:p>
        </w:tc>
        <w:tc>
          <w:tcPr>
            <w:tcW w:w="260" w:type="dxa"/>
            <w:vAlign w:val="bottom"/>
            <w:tcBorders>
              <w:bottom w:val="single" w:sz="8" w:color="EFEFEF"/>
            </w:tcBorders>
          </w:tcPr>
          <w:p>
            <w:pPr>
              <w:spacing w:after="0"/>
              <w:rPr>
                <w:sz w:val="2"/>
                <w:szCs w:val="2"/>
                <w:color w:val="auto"/>
              </w:rPr>
            </w:pPr>
          </w:p>
        </w:tc>
        <w:tc>
          <w:tcPr>
            <w:tcW w:w="1260" w:type="dxa"/>
            <w:vAlign w:val="bottom"/>
            <w:tcBorders>
              <w:bottom w:val="single" w:sz="8" w:color="EFEFEF"/>
            </w:tcBorders>
          </w:tcPr>
          <w:p>
            <w:pPr>
              <w:spacing w:after="0"/>
              <w:rPr>
                <w:sz w:val="2"/>
                <w:szCs w:val="2"/>
                <w:color w:val="auto"/>
              </w:rPr>
            </w:pPr>
          </w:p>
        </w:tc>
        <w:tc>
          <w:tcPr>
            <w:tcW w:w="60" w:type="dxa"/>
            <w:vAlign w:val="bottom"/>
            <w:tcBorders>
              <w:bottom w:val="single" w:sz="8" w:color="EFEFEF"/>
            </w:tcBorders>
          </w:tcPr>
          <w:p>
            <w:pPr>
              <w:spacing w:after="0"/>
              <w:rPr>
                <w:sz w:val="2"/>
                <w:szCs w:val="2"/>
                <w:color w:val="auto"/>
              </w:rPr>
            </w:pPr>
          </w:p>
        </w:tc>
        <w:tc>
          <w:tcPr>
            <w:tcW w:w="1260" w:type="dxa"/>
            <w:vAlign w:val="bottom"/>
            <w:tcBorders>
              <w:bottom w:val="single" w:sz="8" w:color="EFEFEF"/>
            </w:tcBorders>
          </w:tcPr>
          <w:p>
            <w:pPr>
              <w:spacing w:after="0"/>
              <w:rPr>
                <w:sz w:val="2"/>
                <w:szCs w:val="2"/>
                <w:color w:val="auto"/>
              </w:rPr>
            </w:pPr>
          </w:p>
        </w:tc>
        <w:tc>
          <w:tcPr>
            <w:tcW w:w="60" w:type="dxa"/>
            <w:vAlign w:val="bottom"/>
            <w:tcBorders>
              <w:bottom w:val="single" w:sz="8" w:color="EFEFEF"/>
            </w:tcBorders>
          </w:tcPr>
          <w:p>
            <w:pPr>
              <w:spacing w:after="0"/>
              <w:rPr>
                <w:sz w:val="2"/>
                <w:szCs w:val="2"/>
                <w:color w:val="auto"/>
              </w:rPr>
            </w:pPr>
          </w:p>
        </w:tc>
        <w:tc>
          <w:tcPr>
            <w:tcW w:w="1240" w:type="dxa"/>
            <w:vAlign w:val="bottom"/>
            <w:tcBorders>
              <w:bottom w:val="single" w:sz="8" w:color="EFEFEF"/>
            </w:tcBorders>
          </w:tcPr>
          <w:p>
            <w:pPr>
              <w:spacing w:after="0"/>
              <w:rPr>
                <w:sz w:val="2"/>
                <w:szCs w:val="2"/>
                <w:color w:val="auto"/>
              </w:rPr>
            </w:pPr>
          </w:p>
        </w:tc>
        <w:tc>
          <w:tcPr>
            <w:tcW w:w="220" w:type="dxa"/>
            <w:vAlign w:val="bottom"/>
            <w:tcBorders>
              <w:bottom w:val="single" w:sz="8" w:color="EFEFEF"/>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80" w:type="dxa"/>
            <w:vAlign w:val="bottom"/>
            <w:gridSpan w:val="3"/>
          </w:tcPr>
          <w:p>
            <w:pPr>
              <w:jc w:val="center"/>
              <w:ind w:left="1019"/>
              <w:spacing w:after="0" w:line="201" w:lineRule="exact"/>
              <w:rPr>
                <w:sz w:val="20"/>
                <w:szCs w:val="20"/>
                <w:color w:val="auto"/>
              </w:rPr>
            </w:pPr>
            <w:r>
              <w:rPr>
                <w:rFonts w:ascii="Calibri" w:cs="Calibri" w:eastAsia="Calibri" w:hAnsi="Calibri"/>
                <w:sz w:val="18"/>
                <w:szCs w:val="18"/>
                <w:b w:val="1"/>
                <w:bCs w:val="1"/>
                <w:color w:val="auto"/>
                <w:w w:val="96"/>
              </w:rPr>
              <w:t>The Macerich Company</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80" w:type="dxa"/>
            <w:vAlign w:val="bottom"/>
            <w:gridSpan w:val="3"/>
          </w:tcPr>
          <w:p>
            <w:pPr>
              <w:jc w:val="center"/>
              <w:ind w:left="1019"/>
              <w:spacing w:after="0" w:line="203" w:lineRule="exact"/>
              <w:rPr>
                <w:sz w:val="20"/>
                <w:szCs w:val="20"/>
                <w:color w:val="auto"/>
              </w:rPr>
            </w:pPr>
            <w:r>
              <w:rPr>
                <w:rFonts w:ascii="Calibri" w:cs="Calibri" w:eastAsia="Calibri" w:hAnsi="Calibri"/>
                <w:sz w:val="18"/>
                <w:szCs w:val="18"/>
                <w:b w:val="1"/>
                <w:bCs w:val="1"/>
                <w:color w:val="auto"/>
              </w:rPr>
              <w:t>Property Listng</w:t>
            </w: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80" w:type="dxa"/>
            <w:vAlign w:val="bottom"/>
            <w:gridSpan w:val="3"/>
          </w:tcPr>
          <w:p>
            <w:pPr>
              <w:jc w:val="center"/>
              <w:ind w:left="1019"/>
              <w:spacing w:after="0" w:line="215" w:lineRule="exact"/>
              <w:rPr>
                <w:sz w:val="20"/>
                <w:szCs w:val="20"/>
                <w:color w:val="auto"/>
              </w:rPr>
            </w:pPr>
            <w:r>
              <w:rPr>
                <w:rFonts w:ascii="Calibri" w:cs="Calibri" w:eastAsia="Calibri" w:hAnsi="Calibri"/>
                <w:sz w:val="18"/>
                <w:szCs w:val="18"/>
                <w:b w:val="1"/>
                <w:bCs w:val="1"/>
                <w:color w:val="auto"/>
                <w:w w:val="97"/>
              </w:rPr>
              <w:t>As of March 31, 2026</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6"/>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Year of Original</w:t>
            </w:r>
          </w:p>
        </w:tc>
        <w:tc>
          <w:tcPr>
            <w:tcW w:w="132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Year of Most</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60"/>
              <w:spacing w:after="0" w:line="168" w:lineRule="exact"/>
              <w:rPr>
                <w:sz w:val="20"/>
                <w:szCs w:val="20"/>
                <w:color w:val="auto"/>
              </w:rPr>
            </w:pPr>
            <w:r>
              <w:rPr>
                <w:rFonts w:ascii="Calibri" w:cs="Calibri" w:eastAsia="Calibri" w:hAnsi="Calibri"/>
                <w:sz w:val="14"/>
                <w:szCs w:val="14"/>
                <w:b w:val="1"/>
                <w:bCs w:val="1"/>
                <w:color w:val="auto"/>
              </w:rPr>
              <w:t>Company’s</w:t>
            </w:r>
          </w:p>
        </w:tc>
        <w:tc>
          <w:tcPr>
            <w:tcW w:w="1460" w:type="dxa"/>
            <w:vAlign w:val="bottom"/>
          </w:tcPr>
          <w:p>
            <w:pPr>
              <w:spacing w:after="0"/>
              <w:rPr>
                <w:sz w:val="14"/>
                <w:szCs w:val="14"/>
                <w:color w:val="auto"/>
              </w:rPr>
            </w:pPr>
          </w:p>
        </w:tc>
        <w:tc>
          <w:tcPr>
            <w:tcW w:w="2880" w:type="dxa"/>
            <w:vAlign w:val="bottom"/>
            <w:gridSpan w:val="3"/>
          </w:tcPr>
          <w:p>
            <w:pPr>
              <w:jc w:val="center"/>
              <w:ind w:right="1780"/>
              <w:spacing w:after="0" w:line="168" w:lineRule="exact"/>
              <w:rPr>
                <w:sz w:val="20"/>
                <w:szCs w:val="20"/>
                <w:color w:val="auto"/>
              </w:rPr>
            </w:pPr>
            <w:r>
              <w:rPr>
                <w:rFonts w:ascii="Calibri" w:cs="Calibri" w:eastAsia="Calibri" w:hAnsi="Calibri"/>
                <w:sz w:val="14"/>
                <w:szCs w:val="14"/>
                <w:b w:val="1"/>
                <w:bCs w:val="1"/>
                <w:color w:val="auto"/>
              </w:rPr>
              <w:t>Name of</w:t>
            </w:r>
          </w:p>
        </w:tc>
        <w:tc>
          <w:tcPr>
            <w:tcW w:w="1320" w:type="dxa"/>
            <w:vAlign w:val="bottom"/>
            <w:gridSpan w:val="2"/>
          </w:tcPr>
          <w:p>
            <w:pPr>
              <w:jc w:val="center"/>
              <w:ind w:right="340"/>
              <w:spacing w:after="0" w:line="168" w:lineRule="exact"/>
              <w:rPr>
                <w:sz w:val="20"/>
                <w:szCs w:val="20"/>
                <w:color w:val="auto"/>
              </w:rPr>
            </w:pPr>
            <w:r>
              <w:rPr>
                <w:rFonts w:ascii="Calibri" w:cs="Calibri" w:eastAsia="Calibri" w:hAnsi="Calibri"/>
                <w:sz w:val="14"/>
                <w:szCs w:val="14"/>
                <w:b w:val="1"/>
                <w:bCs w:val="1"/>
                <w:color w:val="auto"/>
              </w:rPr>
              <w:t>Constructon/</w:t>
            </w:r>
          </w:p>
        </w:tc>
        <w:tc>
          <w:tcPr>
            <w:tcW w:w="1320" w:type="dxa"/>
            <w:vAlign w:val="bottom"/>
            <w:gridSpan w:val="2"/>
          </w:tcPr>
          <w:p>
            <w:pPr>
              <w:jc w:val="center"/>
              <w:ind w:right="80"/>
              <w:spacing w:after="0" w:line="168" w:lineRule="exact"/>
              <w:rPr>
                <w:sz w:val="20"/>
                <w:szCs w:val="20"/>
                <w:color w:val="auto"/>
              </w:rPr>
            </w:pPr>
            <w:r>
              <w:rPr>
                <w:rFonts w:ascii="Calibri" w:cs="Calibri" w:eastAsia="Calibri" w:hAnsi="Calibri"/>
                <w:sz w:val="14"/>
                <w:szCs w:val="14"/>
                <w:b w:val="1"/>
                <w:bCs w:val="1"/>
                <w:color w:val="auto"/>
              </w:rPr>
              <w:t>Recent Expansion/</w:t>
            </w:r>
          </w:p>
        </w:tc>
        <w:tc>
          <w:tcPr>
            <w:tcW w:w="1860" w:type="dxa"/>
            <w:vAlign w:val="bottom"/>
            <w:gridSpan w:val="3"/>
          </w:tcPr>
          <w:p>
            <w:pPr>
              <w:jc w:val="center"/>
              <w:ind w:right="640"/>
              <w:spacing w:after="0" w:line="168"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Count</w:t>
            </w:r>
          </w:p>
        </w:tc>
        <w:tc>
          <w:tcPr>
            <w:tcW w:w="960" w:type="dxa"/>
            <w:vAlign w:val="bottom"/>
            <w:gridSpan w:val="2"/>
          </w:tcPr>
          <w:p>
            <w:pPr>
              <w:jc w:val="center"/>
              <w:ind w:right="60"/>
              <w:spacing w:after="0"/>
              <w:rPr>
                <w:sz w:val="20"/>
                <w:szCs w:val="20"/>
                <w:color w:val="auto"/>
              </w:rPr>
            </w:pPr>
            <w:r>
              <w:rPr>
                <w:rFonts w:ascii="Calibri" w:cs="Calibri" w:eastAsia="Calibri" w:hAnsi="Calibri"/>
                <w:sz w:val="14"/>
                <w:szCs w:val="14"/>
                <w:b w:val="1"/>
                <w:bCs w:val="1"/>
                <w:color w:val="auto"/>
              </w:rPr>
              <w:t>Ownership(a)</w:t>
            </w:r>
          </w:p>
        </w:tc>
        <w:tc>
          <w:tcPr>
            <w:tcW w:w="1460" w:type="dxa"/>
            <w:vAlign w:val="bottom"/>
          </w:tcPr>
          <w:p>
            <w:pPr>
              <w:spacing w:after="0"/>
              <w:rPr>
                <w:sz w:val="14"/>
                <w:szCs w:val="14"/>
                <w:color w:val="auto"/>
              </w:rPr>
            </w:pPr>
          </w:p>
        </w:tc>
        <w:tc>
          <w:tcPr>
            <w:tcW w:w="2880" w:type="dxa"/>
            <w:vAlign w:val="bottom"/>
            <w:gridSpan w:val="3"/>
          </w:tcPr>
          <w:p>
            <w:pPr>
              <w:jc w:val="center"/>
              <w:ind w:right="1800"/>
              <w:spacing w:after="0"/>
              <w:rPr>
                <w:sz w:val="20"/>
                <w:szCs w:val="20"/>
                <w:color w:val="auto"/>
              </w:rPr>
            </w:pPr>
            <w:r>
              <w:rPr>
                <w:rFonts w:ascii="Calibri" w:cs="Calibri" w:eastAsia="Calibri" w:hAnsi="Calibri"/>
                <w:sz w:val="14"/>
                <w:szCs w:val="14"/>
                <w:b w:val="1"/>
                <w:bCs w:val="1"/>
                <w:color w:val="auto"/>
              </w:rPr>
              <w:t>Center/Locaton</w:t>
            </w:r>
          </w:p>
        </w:tc>
        <w:tc>
          <w:tcPr>
            <w:tcW w:w="132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rPr>
              <w:t>Acquisiton</w:t>
            </w:r>
          </w:p>
        </w:tc>
        <w:tc>
          <w:tcPr>
            <w:tcW w:w="132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Renovaton</w:t>
            </w:r>
          </w:p>
        </w:tc>
        <w:tc>
          <w:tcPr>
            <w:tcW w:w="1860" w:type="dxa"/>
            <w:vAlign w:val="bottom"/>
            <w:gridSpan w:val="3"/>
          </w:tcPr>
          <w:p>
            <w:pPr>
              <w:jc w:val="center"/>
              <w:ind w:right="620"/>
              <w:spacing w:after="0"/>
              <w:rPr>
                <w:sz w:val="20"/>
                <w:szCs w:val="20"/>
                <w:color w:val="auto"/>
              </w:rPr>
            </w:pPr>
            <w:r>
              <w:rPr>
                <w:rFonts w:ascii="Calibri" w:cs="Calibri" w:eastAsia="Calibri" w:hAnsi="Calibri"/>
                <w:sz w:val="14"/>
                <w:szCs w:val="14"/>
                <w:b w:val="1"/>
                <w:bCs w:val="1"/>
                <w:color w:val="auto"/>
              </w:rPr>
              <w:t>GLA(b)</w:t>
            </w:r>
          </w:p>
        </w:tc>
        <w:tc>
          <w:tcPr>
            <w:tcW w:w="0" w:type="dxa"/>
            <w:vAlign w:val="bottom"/>
          </w:tcPr>
          <w:p>
            <w:pPr>
              <w:spacing w:after="0"/>
              <w:rPr>
                <w:sz w:val="1"/>
                <w:szCs w:val="1"/>
                <w:color w:val="auto"/>
              </w:rPr>
            </w:pPr>
          </w:p>
        </w:tc>
      </w:tr>
      <w:tr>
        <w:trPr>
          <w:trHeight w:val="47"/>
        </w:trPr>
        <w:tc>
          <w:tcPr>
            <w:tcW w:w="4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20" w:type="dxa"/>
            <w:vAlign w:val="bottom"/>
            <w:tcBorders>
              <w:bottom w:val="single" w:sz="8" w:color="auto"/>
            </w:tcBorders>
            <w:gridSpan w:val="2"/>
          </w:tcPr>
          <w:p>
            <w:pPr>
              <w:spacing w:after="0"/>
              <w:rPr>
                <w:sz w:val="4"/>
                <w:szCs w:val="4"/>
                <w:color w:val="auto"/>
              </w:rPr>
            </w:pPr>
          </w:p>
        </w:tc>
        <w:tc>
          <w:tcPr>
            <w:tcW w:w="60" w:type="dxa"/>
            <w:vAlign w:val="bottom"/>
            <w:vMerge w:val="restart"/>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ind w:right="4"/>
              <w:spacing w:after="0" w:line="187" w:lineRule="exact"/>
              <w:rPr>
                <w:sz w:val="20"/>
                <w:szCs w:val="20"/>
                <w:color w:val="auto"/>
              </w:rPr>
            </w:pPr>
            <w:r>
              <w:rPr>
                <w:rFonts w:ascii="Calibri" w:cs="Calibri" w:eastAsia="Calibri" w:hAnsi="Calibri"/>
                <w:sz w:val="18"/>
                <w:szCs w:val="18"/>
                <w:color w:val="auto"/>
              </w:rPr>
              <w:t>50%</w:t>
            </w:r>
          </w:p>
        </w:tc>
        <w:tc>
          <w:tcPr>
            <w:tcW w:w="40" w:type="dxa"/>
            <w:vAlign w:val="bottom"/>
          </w:tcPr>
          <w:p>
            <w:pPr>
              <w:spacing w:after="0"/>
              <w:rPr>
                <w:sz w:val="16"/>
                <w:szCs w:val="16"/>
                <w:color w:val="auto"/>
              </w:rPr>
            </w:pPr>
          </w:p>
        </w:tc>
        <w:tc>
          <w:tcPr>
            <w:tcW w:w="4020" w:type="dxa"/>
            <w:vAlign w:val="bottom"/>
            <w:gridSpan w:val="2"/>
          </w:tcPr>
          <w:p>
            <w:pPr>
              <w:ind w:left="60"/>
              <w:spacing w:after="0" w:line="187" w:lineRule="exact"/>
              <w:rPr>
                <w:sz w:val="20"/>
                <w:szCs w:val="20"/>
                <w:color w:val="auto"/>
              </w:rPr>
            </w:pPr>
            <w:r>
              <w:rPr>
                <w:rFonts w:ascii="Calibri" w:cs="Calibri" w:eastAsia="Calibri" w:hAnsi="Calibri"/>
                <w:sz w:val="18"/>
                <w:szCs w:val="18"/>
                <w:color w:val="auto"/>
              </w:rPr>
              <w:t>VITA Tysons Corner Center(c)(f)</w:t>
            </w:r>
          </w:p>
        </w:tc>
        <w:tc>
          <w:tcPr>
            <w:tcW w:w="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225"/>
              <w:spacing w:after="0" w:line="187" w:lineRule="exact"/>
              <w:rPr>
                <w:sz w:val="20"/>
                <w:szCs w:val="20"/>
                <w:color w:val="auto"/>
              </w:rPr>
            </w:pPr>
            <w:r>
              <w:rPr>
                <w:rFonts w:ascii="Calibri" w:cs="Calibri" w:eastAsia="Calibri" w:hAnsi="Calibri"/>
                <w:sz w:val="18"/>
                <w:szCs w:val="18"/>
                <w:color w:val="auto"/>
                <w:w w:val="98"/>
              </w:rPr>
              <w:t>2015</w:t>
            </w:r>
          </w:p>
        </w:tc>
        <w:tc>
          <w:tcPr>
            <w:tcW w:w="60" w:type="dxa"/>
            <w:vAlign w:val="bottom"/>
          </w:tcPr>
          <w:p>
            <w:pPr>
              <w:spacing w:after="0"/>
              <w:rPr>
                <w:sz w:val="16"/>
                <w:szCs w:val="16"/>
                <w:color w:val="auto"/>
              </w:rPr>
            </w:pPr>
          </w:p>
        </w:tc>
        <w:tc>
          <w:tcPr>
            <w:tcW w:w="1260" w:type="dxa"/>
            <w:vAlign w:val="bottom"/>
          </w:tcPr>
          <w:p>
            <w:pPr>
              <w:jc w:val="center"/>
              <w:spacing w:after="0" w:line="187" w:lineRule="exact"/>
              <w:rPr>
                <w:sz w:val="20"/>
                <w:szCs w:val="20"/>
                <w:color w:val="auto"/>
              </w:rPr>
            </w:pPr>
            <w:r>
              <w:rPr>
                <w:rFonts w:ascii="Calibri" w:cs="Calibri" w:eastAsia="Calibri" w:hAnsi="Calibri"/>
                <w:sz w:val="18"/>
                <w:szCs w:val="18"/>
                <w:color w:val="auto"/>
                <w:w w:val="98"/>
              </w:rPr>
              <w:t>2015</w:t>
            </w:r>
          </w:p>
        </w:tc>
        <w:tc>
          <w:tcPr>
            <w:tcW w:w="60" w:type="dxa"/>
            <w:vAlign w:val="bottom"/>
          </w:tcPr>
          <w:p>
            <w:pPr>
              <w:spacing w:after="0"/>
              <w:rPr>
                <w:sz w:val="16"/>
                <w:szCs w:val="16"/>
                <w:color w:val="auto"/>
              </w:rPr>
            </w:pPr>
          </w:p>
        </w:tc>
        <w:tc>
          <w:tcPr>
            <w:tcW w:w="1240" w:type="dxa"/>
            <w:vAlign w:val="bottom"/>
          </w:tcPr>
          <w:p>
            <w:pPr>
              <w:jc w:val="right"/>
              <w:spacing w:after="0" w:line="187" w:lineRule="exact"/>
              <w:rPr>
                <w:sz w:val="20"/>
                <w:szCs w:val="20"/>
                <w:color w:val="auto"/>
              </w:rPr>
            </w:pPr>
            <w:r>
              <w:rPr>
                <w:rFonts w:ascii="Calibri" w:cs="Calibri" w:eastAsia="Calibri" w:hAnsi="Calibri"/>
                <w:sz w:val="18"/>
                <w:szCs w:val="18"/>
                <w:color w:val="auto"/>
              </w:rPr>
              <w:t>399,000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gridSpan w:val="4"/>
          </w:tcPr>
          <w:p>
            <w:pPr>
              <w:ind w:left="60"/>
              <w:spacing w:after="0" w:line="215" w:lineRule="exact"/>
              <w:rPr>
                <w:sz w:val="20"/>
                <w:szCs w:val="20"/>
                <w:color w:val="auto"/>
              </w:rPr>
            </w:pPr>
            <w:r>
              <w:rPr>
                <w:rFonts w:ascii="Calibri" w:cs="Calibri" w:eastAsia="Calibri" w:hAnsi="Calibri"/>
                <w:sz w:val="18"/>
                <w:szCs w:val="18"/>
                <w:color w:val="auto"/>
              </w:rPr>
              <w:t>Tysons Corner, Virginia</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00" w:type="dxa"/>
            <w:vAlign w:val="bottom"/>
          </w:tcPr>
          <w:p>
            <w:pPr>
              <w:spacing w:after="0"/>
              <w:rPr>
                <w:sz w:val="4"/>
                <w:szCs w:val="4"/>
                <w:color w:val="auto"/>
              </w:rPr>
            </w:pPr>
          </w:p>
        </w:tc>
        <w:tc>
          <w:tcPr>
            <w:tcW w:w="480" w:type="dxa"/>
            <w:vAlign w:val="bottom"/>
            <w:tcBorders>
              <w:bottom w:val="single" w:sz="8" w:color="F5F5F5"/>
            </w:tcBorders>
          </w:tcPr>
          <w:p>
            <w:pPr>
              <w:spacing w:after="0"/>
              <w:rPr>
                <w:sz w:val="4"/>
                <w:szCs w:val="4"/>
                <w:color w:val="auto"/>
              </w:rPr>
            </w:pPr>
          </w:p>
        </w:tc>
        <w:tc>
          <w:tcPr>
            <w:tcW w:w="60" w:type="dxa"/>
            <w:vAlign w:val="bottom"/>
            <w:tcBorders>
              <w:bottom w:val="single" w:sz="8" w:color="F5F5F5"/>
            </w:tcBorders>
          </w:tcPr>
          <w:p>
            <w:pPr>
              <w:spacing w:after="0"/>
              <w:rPr>
                <w:sz w:val="4"/>
                <w:szCs w:val="4"/>
                <w:color w:val="auto"/>
              </w:rPr>
            </w:pPr>
          </w:p>
        </w:tc>
        <w:tc>
          <w:tcPr>
            <w:tcW w:w="920" w:type="dxa"/>
            <w:vAlign w:val="bottom"/>
            <w:tcBorders>
              <w:bottom w:val="single" w:sz="8" w:color="F5F5F5"/>
            </w:tcBorders>
          </w:tcPr>
          <w:p>
            <w:pPr>
              <w:spacing w:after="0"/>
              <w:rPr>
                <w:sz w:val="4"/>
                <w:szCs w:val="4"/>
                <w:color w:val="auto"/>
              </w:rPr>
            </w:pPr>
          </w:p>
        </w:tc>
        <w:tc>
          <w:tcPr>
            <w:tcW w:w="40" w:type="dxa"/>
            <w:vAlign w:val="bottom"/>
            <w:tcBorders>
              <w:bottom w:val="single" w:sz="8" w:color="F5F5F5"/>
            </w:tcBorders>
          </w:tcPr>
          <w:p>
            <w:pPr>
              <w:spacing w:after="0"/>
              <w:rPr>
                <w:sz w:val="4"/>
                <w:szCs w:val="4"/>
                <w:color w:val="auto"/>
              </w:rPr>
            </w:pPr>
          </w:p>
        </w:tc>
        <w:tc>
          <w:tcPr>
            <w:tcW w:w="1460" w:type="dxa"/>
            <w:vAlign w:val="bottom"/>
            <w:tcBorders>
              <w:bottom w:val="single" w:sz="8" w:color="F5F5F5"/>
            </w:tcBorders>
          </w:tcPr>
          <w:p>
            <w:pPr>
              <w:spacing w:after="0"/>
              <w:rPr>
                <w:sz w:val="4"/>
                <w:szCs w:val="4"/>
                <w:color w:val="auto"/>
              </w:rPr>
            </w:pPr>
          </w:p>
        </w:tc>
        <w:tc>
          <w:tcPr>
            <w:tcW w:w="2560" w:type="dxa"/>
            <w:vAlign w:val="bottom"/>
            <w:tcBorders>
              <w:bottom w:val="single" w:sz="8" w:color="F5F5F5"/>
            </w:tcBorders>
          </w:tcPr>
          <w:p>
            <w:pPr>
              <w:spacing w:after="0"/>
              <w:rPr>
                <w:sz w:val="4"/>
                <w:szCs w:val="4"/>
                <w:color w:val="auto"/>
              </w:rPr>
            </w:pPr>
          </w:p>
        </w:tc>
        <w:tc>
          <w:tcPr>
            <w:tcW w:w="60" w:type="dxa"/>
            <w:vAlign w:val="bottom"/>
            <w:tcBorders>
              <w:bottom w:val="single" w:sz="8" w:color="F5F5F5"/>
            </w:tcBorders>
          </w:tcPr>
          <w:p>
            <w:pPr>
              <w:spacing w:after="0"/>
              <w:rPr>
                <w:sz w:val="4"/>
                <w:szCs w:val="4"/>
                <w:color w:val="auto"/>
              </w:rPr>
            </w:pPr>
          </w:p>
        </w:tc>
        <w:tc>
          <w:tcPr>
            <w:tcW w:w="260" w:type="dxa"/>
            <w:vAlign w:val="bottom"/>
            <w:tcBorders>
              <w:bottom w:val="single" w:sz="8" w:color="F5F5F5"/>
            </w:tcBorders>
          </w:tcPr>
          <w:p>
            <w:pPr>
              <w:spacing w:after="0"/>
              <w:rPr>
                <w:sz w:val="4"/>
                <w:szCs w:val="4"/>
                <w:color w:val="auto"/>
              </w:rPr>
            </w:pPr>
          </w:p>
        </w:tc>
        <w:tc>
          <w:tcPr>
            <w:tcW w:w="1260" w:type="dxa"/>
            <w:vAlign w:val="bottom"/>
            <w:tcBorders>
              <w:bottom w:val="single" w:sz="8" w:color="F5F5F5"/>
            </w:tcBorders>
          </w:tcPr>
          <w:p>
            <w:pPr>
              <w:spacing w:after="0"/>
              <w:rPr>
                <w:sz w:val="4"/>
                <w:szCs w:val="4"/>
                <w:color w:val="auto"/>
              </w:rPr>
            </w:pPr>
          </w:p>
        </w:tc>
        <w:tc>
          <w:tcPr>
            <w:tcW w:w="60" w:type="dxa"/>
            <w:vAlign w:val="bottom"/>
            <w:tcBorders>
              <w:bottom w:val="single" w:sz="8" w:color="F5F5F5"/>
            </w:tcBorders>
          </w:tcPr>
          <w:p>
            <w:pPr>
              <w:spacing w:after="0"/>
              <w:rPr>
                <w:sz w:val="4"/>
                <w:szCs w:val="4"/>
                <w:color w:val="auto"/>
              </w:rPr>
            </w:pPr>
          </w:p>
        </w:tc>
        <w:tc>
          <w:tcPr>
            <w:tcW w:w="1260" w:type="dxa"/>
            <w:vAlign w:val="bottom"/>
            <w:tcBorders>
              <w:bottom w:val="single" w:sz="8" w:color="F5F5F5"/>
            </w:tcBorders>
          </w:tcPr>
          <w:p>
            <w:pPr>
              <w:spacing w:after="0"/>
              <w:rPr>
                <w:sz w:val="4"/>
                <w:szCs w:val="4"/>
                <w:color w:val="auto"/>
              </w:rPr>
            </w:pPr>
          </w:p>
        </w:tc>
        <w:tc>
          <w:tcPr>
            <w:tcW w:w="60" w:type="dxa"/>
            <w:vAlign w:val="bottom"/>
            <w:tcBorders>
              <w:bottom w:val="single" w:sz="8" w:color="F5F5F5"/>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80" w:type="dxa"/>
            <w:vAlign w:val="bottom"/>
            <w:tcBorders>
              <w:bottom w:val="single" w:sz="8" w:color="F5F5F5"/>
            </w:tcBorders>
            <w:shd w:val="clear" w:color="auto" w:fill="F5F5F5"/>
          </w:tcPr>
          <w:p>
            <w:pPr>
              <w:spacing w:after="0"/>
              <w:rPr>
                <w:sz w:val="20"/>
                <w:szCs w:val="20"/>
                <w:color w:val="auto"/>
              </w:rPr>
            </w:pPr>
          </w:p>
        </w:tc>
        <w:tc>
          <w:tcPr>
            <w:tcW w:w="60" w:type="dxa"/>
            <w:vAlign w:val="bottom"/>
            <w:tcBorders>
              <w:bottom w:val="single" w:sz="8" w:color="F5F5F5"/>
            </w:tcBorders>
            <w:shd w:val="clear" w:color="auto" w:fill="F5F5F5"/>
          </w:tcPr>
          <w:p>
            <w:pPr>
              <w:spacing w:after="0"/>
              <w:rPr>
                <w:sz w:val="20"/>
                <w:szCs w:val="20"/>
                <w:color w:val="auto"/>
              </w:rPr>
            </w:pPr>
          </w:p>
        </w:tc>
        <w:tc>
          <w:tcPr>
            <w:tcW w:w="920" w:type="dxa"/>
            <w:vAlign w:val="bottom"/>
            <w:tcBorders>
              <w:bottom w:val="single" w:sz="8" w:color="F5F5F5"/>
            </w:tcBorders>
            <w:shd w:val="clear" w:color="auto" w:fill="F5F5F5"/>
          </w:tcPr>
          <w:p>
            <w:pPr>
              <w:spacing w:after="0"/>
              <w:rPr>
                <w:sz w:val="20"/>
                <w:szCs w:val="20"/>
                <w:color w:val="auto"/>
              </w:rPr>
            </w:pPr>
          </w:p>
        </w:tc>
        <w:tc>
          <w:tcPr>
            <w:tcW w:w="40" w:type="dxa"/>
            <w:vAlign w:val="bottom"/>
            <w:tcBorders>
              <w:bottom w:val="single" w:sz="8" w:color="F5F5F5"/>
            </w:tcBorders>
            <w:shd w:val="clear" w:color="auto" w:fill="F5F5F5"/>
          </w:tcPr>
          <w:p>
            <w:pPr>
              <w:spacing w:after="0"/>
              <w:rPr>
                <w:sz w:val="20"/>
                <w:szCs w:val="20"/>
                <w:color w:val="auto"/>
              </w:rPr>
            </w:pPr>
          </w:p>
        </w:tc>
        <w:tc>
          <w:tcPr>
            <w:tcW w:w="1460" w:type="dxa"/>
            <w:vAlign w:val="bottom"/>
            <w:tcBorders>
              <w:bottom w:val="single" w:sz="8" w:color="F5F5F5"/>
            </w:tcBorders>
            <w:shd w:val="clear" w:color="auto" w:fill="F5F5F5"/>
          </w:tcPr>
          <w:p>
            <w:pPr>
              <w:ind w:left="60"/>
              <w:spacing w:after="0" w:line="195" w:lineRule="exact"/>
              <w:rPr>
                <w:sz w:val="20"/>
                <w:szCs w:val="20"/>
                <w:color w:val="auto"/>
              </w:rPr>
            </w:pPr>
            <w:r>
              <w:rPr>
                <w:rFonts w:ascii="Calibri" w:cs="Calibri" w:eastAsia="Calibri" w:hAnsi="Calibri"/>
                <w:sz w:val="18"/>
                <w:szCs w:val="18"/>
                <w:b w:val="1"/>
                <w:bCs w:val="1"/>
                <w:color w:val="auto"/>
              </w:rPr>
              <w:t>Total Other Assets</w:t>
            </w:r>
          </w:p>
        </w:tc>
        <w:tc>
          <w:tcPr>
            <w:tcW w:w="2560" w:type="dxa"/>
            <w:vAlign w:val="bottom"/>
            <w:tcBorders>
              <w:bottom w:val="single" w:sz="8" w:color="F5F5F5"/>
            </w:tcBorders>
            <w:shd w:val="clear" w:color="auto" w:fill="F5F5F5"/>
          </w:tcPr>
          <w:p>
            <w:pPr>
              <w:spacing w:after="0"/>
              <w:rPr>
                <w:sz w:val="20"/>
                <w:szCs w:val="20"/>
                <w:color w:val="auto"/>
              </w:rPr>
            </w:pPr>
          </w:p>
        </w:tc>
        <w:tc>
          <w:tcPr>
            <w:tcW w:w="60" w:type="dxa"/>
            <w:vAlign w:val="bottom"/>
            <w:tcBorders>
              <w:bottom w:val="single" w:sz="8" w:color="F5F5F5"/>
            </w:tcBorders>
            <w:shd w:val="clear" w:color="auto" w:fill="F5F5F5"/>
          </w:tcPr>
          <w:p>
            <w:pPr>
              <w:spacing w:after="0"/>
              <w:rPr>
                <w:sz w:val="20"/>
                <w:szCs w:val="20"/>
                <w:color w:val="auto"/>
              </w:rPr>
            </w:pPr>
          </w:p>
        </w:tc>
        <w:tc>
          <w:tcPr>
            <w:tcW w:w="260" w:type="dxa"/>
            <w:vAlign w:val="bottom"/>
            <w:tcBorders>
              <w:bottom w:val="single" w:sz="8" w:color="F5F5F5"/>
            </w:tcBorders>
            <w:shd w:val="clear" w:color="auto" w:fill="F5F5F5"/>
          </w:tcPr>
          <w:p>
            <w:pPr>
              <w:spacing w:after="0"/>
              <w:rPr>
                <w:sz w:val="20"/>
                <w:szCs w:val="20"/>
                <w:color w:val="auto"/>
              </w:rPr>
            </w:pPr>
          </w:p>
        </w:tc>
        <w:tc>
          <w:tcPr>
            <w:tcW w:w="1260" w:type="dxa"/>
            <w:vAlign w:val="bottom"/>
            <w:tcBorders>
              <w:bottom w:val="single" w:sz="8" w:color="F5F5F5"/>
            </w:tcBorders>
            <w:shd w:val="clear" w:color="auto" w:fill="F5F5F5"/>
          </w:tcPr>
          <w:p>
            <w:pPr>
              <w:spacing w:after="0"/>
              <w:rPr>
                <w:sz w:val="20"/>
                <w:szCs w:val="20"/>
                <w:color w:val="auto"/>
              </w:rPr>
            </w:pPr>
          </w:p>
        </w:tc>
        <w:tc>
          <w:tcPr>
            <w:tcW w:w="60" w:type="dxa"/>
            <w:vAlign w:val="bottom"/>
            <w:tcBorders>
              <w:bottom w:val="single" w:sz="8" w:color="F5F5F5"/>
            </w:tcBorders>
            <w:shd w:val="clear" w:color="auto" w:fill="F5F5F5"/>
          </w:tcPr>
          <w:p>
            <w:pPr>
              <w:spacing w:after="0"/>
              <w:rPr>
                <w:sz w:val="20"/>
                <w:szCs w:val="20"/>
                <w:color w:val="auto"/>
              </w:rPr>
            </w:pPr>
          </w:p>
        </w:tc>
        <w:tc>
          <w:tcPr>
            <w:tcW w:w="1260" w:type="dxa"/>
            <w:vAlign w:val="bottom"/>
            <w:tcBorders>
              <w:bottom w:val="single" w:sz="8" w:color="F5F5F5"/>
            </w:tcBorders>
            <w:shd w:val="clear" w:color="auto" w:fill="F5F5F5"/>
          </w:tcPr>
          <w:p>
            <w:pPr>
              <w:spacing w:after="0"/>
              <w:rPr>
                <w:sz w:val="20"/>
                <w:szCs w:val="20"/>
                <w:color w:val="auto"/>
              </w:rPr>
            </w:pPr>
          </w:p>
        </w:tc>
        <w:tc>
          <w:tcPr>
            <w:tcW w:w="60" w:type="dxa"/>
            <w:vAlign w:val="bottom"/>
            <w:tcBorders>
              <w:bottom w:val="single" w:sz="8" w:color="F5F5F5"/>
            </w:tcBorders>
            <w:shd w:val="clear" w:color="auto" w:fill="F5F5F5"/>
          </w:tcPr>
          <w:p>
            <w:pPr>
              <w:spacing w:after="0"/>
              <w:rPr>
                <w:sz w:val="20"/>
                <w:szCs w:val="20"/>
                <w:color w:val="auto"/>
              </w:rPr>
            </w:pPr>
          </w:p>
        </w:tc>
        <w:tc>
          <w:tcPr>
            <w:tcW w:w="1240" w:type="dxa"/>
            <w:vAlign w:val="bottom"/>
            <w:tcBorders>
              <w:bottom w:val="single" w:sz="8" w:color="F5F5F5"/>
            </w:tcBorders>
            <w:shd w:val="clear" w:color="auto" w:fill="F5F5F5"/>
          </w:tcPr>
          <w:p>
            <w:pPr>
              <w:jc w:val="right"/>
              <w:spacing w:after="0" w:line="208" w:lineRule="exact"/>
              <w:rPr>
                <w:sz w:val="20"/>
                <w:szCs w:val="20"/>
                <w:color w:val="auto"/>
              </w:rPr>
            </w:pPr>
            <w:r>
              <w:rPr>
                <w:rFonts w:ascii="Calibri" w:cs="Calibri" w:eastAsia="Calibri" w:hAnsi="Calibri"/>
                <w:sz w:val="18"/>
                <w:szCs w:val="18"/>
                <w:color w:val="auto"/>
              </w:rPr>
              <w:t>1,856,000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ind w:left="60"/>
              <w:spacing w:after="0" w:line="195" w:lineRule="exact"/>
              <w:rPr>
                <w:sz w:val="20"/>
                <w:szCs w:val="20"/>
                <w:color w:val="auto"/>
              </w:rPr>
            </w:pPr>
            <w:r>
              <w:rPr>
                <w:rFonts w:ascii="Calibri" w:cs="Calibri" w:eastAsia="Calibri" w:hAnsi="Calibri"/>
                <w:sz w:val="18"/>
                <w:szCs w:val="18"/>
                <w:b w:val="1"/>
                <w:bCs w:val="1"/>
                <w:color w:val="auto"/>
              </w:rPr>
              <w:t>Grand Total</w:t>
            </w:r>
          </w:p>
        </w:tc>
        <w:tc>
          <w:tcPr>
            <w:tcW w:w="2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39,168,000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00" w:right="620"/>
        <w:spacing w:after="0" w:line="224" w:lineRule="auto"/>
        <w:rPr>
          <w:sz w:val="20"/>
          <w:szCs w:val="20"/>
          <w:color w:val="auto"/>
        </w:rPr>
      </w:pPr>
      <w:r>
        <w:rPr>
          <w:rFonts w:ascii="Calibri" w:cs="Calibri" w:eastAsia="Calibri" w:hAnsi="Calibri"/>
          <w:sz w:val="14"/>
          <w:szCs w:val="14"/>
          <w:color w:val="auto"/>
        </w:rPr>
        <w:t>The Company owned or had an ownership interest in 37 retail centers (including ofce, hotel and residental space adjacent to these shopping centers), and one community/power shopping center. With the excepton of the Centers indicated with footnote (d) in the table above, the underlying land controlled by the Company is owned in fee entrely by the Company, or, in the case of jointly-owned Centers, by the joint venture property partnership or limited liability company.</w:t>
      </w:r>
    </w:p>
    <w:p>
      <w:pPr>
        <w:spacing w:after="0" w:line="142" w:lineRule="exact"/>
        <w:rPr>
          <w:sz w:val="20"/>
          <w:szCs w:val="20"/>
          <w:color w:val="auto"/>
        </w:rPr>
      </w:pPr>
    </w:p>
    <w:p>
      <w:pPr>
        <w:ind w:left="820" w:right="700" w:hanging="413"/>
        <w:spacing w:after="0" w:line="233" w:lineRule="auto"/>
        <w:tabs>
          <w:tab w:leader="none" w:pos="820"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The Company’s ownership interest in this table refects its legal ownership interest. See footnotes (a) and (b) in the Joint Venture List regarding the legal versus economic ownership of joint venture enttes.</w:t>
      </w:r>
    </w:p>
    <w:p>
      <w:pPr>
        <w:spacing w:after="0" w:line="180" w:lineRule="exact"/>
        <w:rPr>
          <w:rFonts w:ascii="Calibri" w:cs="Calibri" w:eastAsia="Calibri" w:hAnsi="Calibri"/>
          <w:sz w:val="14"/>
          <w:szCs w:val="14"/>
          <w:color w:val="auto"/>
        </w:rPr>
      </w:pPr>
    </w:p>
    <w:p>
      <w:pPr>
        <w:ind w:left="820" w:hanging="413"/>
        <w:spacing w:after="0"/>
        <w:tabs>
          <w:tab w:leader="none" w:pos="820"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Includes GLA atributable to anchors (whether owned or occupied non-owned) and mall and freestanding stores.</w:t>
      </w:r>
    </w:p>
    <w:p>
      <w:pPr>
        <w:spacing w:after="0" w:line="181" w:lineRule="exact"/>
        <w:rPr>
          <w:rFonts w:ascii="Calibri" w:cs="Calibri" w:eastAsia="Calibri" w:hAnsi="Calibri"/>
          <w:sz w:val="14"/>
          <w:szCs w:val="14"/>
          <w:color w:val="auto"/>
        </w:rPr>
      </w:pPr>
    </w:p>
    <w:p>
      <w:pPr>
        <w:ind w:left="820" w:right="500" w:hanging="413"/>
        <w:spacing w:after="0" w:line="233" w:lineRule="auto"/>
        <w:tabs>
          <w:tab w:leader="none" w:pos="820"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These Centers represent the Company’s go-forward portolio Centers as described in the Path Forward Plan (the “Go-Forward Portolio Centers”). The Go-Forward Portolio Centers are subject to change.</w:t>
      </w:r>
    </w:p>
    <w:p>
      <w:pPr>
        <w:spacing w:after="0" w:line="153" w:lineRule="exact"/>
        <w:rPr>
          <w:rFonts w:ascii="Calibri" w:cs="Calibri" w:eastAsia="Calibri" w:hAnsi="Calibri"/>
          <w:sz w:val="14"/>
          <w:szCs w:val="14"/>
          <w:color w:val="auto"/>
        </w:rPr>
      </w:pPr>
    </w:p>
    <w:p>
      <w:pPr>
        <w:ind w:left="820" w:hanging="413"/>
        <w:spacing w:after="0"/>
        <w:tabs>
          <w:tab w:leader="none" w:pos="820"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Portons of the land on which the Center is situated are subject to one or more long-term ground leases.</w:t>
      </w:r>
    </w:p>
    <w:p>
      <w:pPr>
        <w:spacing w:after="0" w:line="180" w:lineRule="exact"/>
        <w:rPr>
          <w:rFonts w:ascii="Calibri" w:cs="Calibri" w:eastAsia="Calibri" w:hAnsi="Calibri"/>
          <w:sz w:val="14"/>
          <w:szCs w:val="14"/>
          <w:color w:val="auto"/>
        </w:rPr>
      </w:pPr>
    </w:p>
    <w:p>
      <w:pPr>
        <w:ind w:left="820" w:hanging="413"/>
        <w:spacing w:after="0"/>
        <w:tabs>
          <w:tab w:leader="none" w:pos="820"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The Company has completed transiton of the property to a receiver, but is stll the owner on record.</w:t>
      </w:r>
    </w:p>
    <w:p>
      <w:pPr>
        <w:spacing w:after="0" w:line="166" w:lineRule="exact"/>
        <w:rPr>
          <w:rFonts w:ascii="Calibri" w:cs="Calibri" w:eastAsia="Calibri" w:hAnsi="Calibri"/>
          <w:sz w:val="14"/>
          <w:szCs w:val="14"/>
          <w:color w:val="auto"/>
        </w:rPr>
      </w:pPr>
    </w:p>
    <w:p>
      <w:pPr>
        <w:ind w:left="820" w:hanging="413"/>
        <w:spacing w:after="0"/>
        <w:tabs>
          <w:tab w:leader="none" w:pos="820"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Included in Unconsolidated Joint Venture Centers.</w:t>
      </w:r>
    </w:p>
    <w:p>
      <w:pPr>
        <w:spacing w:after="0" w:line="180" w:lineRule="exact"/>
        <w:rPr>
          <w:rFonts w:ascii="Calibri" w:cs="Calibri" w:eastAsia="Calibri" w:hAnsi="Calibri"/>
          <w:sz w:val="14"/>
          <w:szCs w:val="14"/>
          <w:color w:val="auto"/>
        </w:rPr>
      </w:pPr>
    </w:p>
    <w:p>
      <w:pPr>
        <w:ind w:left="820" w:hanging="413"/>
        <w:spacing w:after="0"/>
        <w:tabs>
          <w:tab w:leader="none" w:pos="820"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Included in Consolidated Centers.</w:t>
      </w:r>
    </w:p>
    <w:p>
      <w:pPr>
        <w:sectPr>
          <w:pgSz w:w="11900" w:h="16838" w:orient="portrait"/>
          <w:cols w:equalWidth="0" w:num="1">
            <w:col w:w="10740"/>
          </w:cols>
          <w:pgMar w:left="580" w:top="108" w:right="579" w:bottom="1440" w:gutter="0" w:footer="0" w:header="0"/>
        </w:sectPr>
      </w:pPr>
    </w:p>
    <w:bookmarkStart w:id="26" w:name="page27"/>
    <w:bookmarkEnd w:id="26"/>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79"/>
        <w:spacing w:after="0"/>
        <w:rPr>
          <w:sz w:val="20"/>
          <w:szCs w:val="20"/>
          <w:color w:val="auto"/>
        </w:rPr>
      </w:pPr>
      <w:r>
        <w:rPr>
          <w:rFonts w:ascii="Calibri" w:cs="Calibri" w:eastAsia="Calibri" w:hAnsi="Calibri"/>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The Macerich Company</w:t>
      </w:r>
    </w:p>
    <w:p>
      <w:pPr>
        <w:jc w:val="center"/>
        <w:ind w:right="-39"/>
        <w:spacing w:after="0" w:line="206" w:lineRule="auto"/>
        <w:rPr>
          <w:sz w:val="20"/>
          <w:szCs w:val="20"/>
          <w:color w:val="auto"/>
        </w:rPr>
      </w:pPr>
      <w:r>
        <w:rPr>
          <w:rFonts w:ascii="Calibri" w:cs="Calibri" w:eastAsia="Calibri" w:hAnsi="Calibri"/>
          <w:sz w:val="18"/>
          <w:szCs w:val="18"/>
          <w:b w:val="1"/>
          <w:bCs w:val="1"/>
          <w:color w:val="auto"/>
        </w:rPr>
        <w:t>Joint Venture List</w:t>
      </w:r>
    </w:p>
    <w:p>
      <w:pPr>
        <w:jc w:val="center"/>
        <w:ind w:right="-59"/>
        <w:spacing w:after="0" w:line="221" w:lineRule="auto"/>
        <w:rPr>
          <w:sz w:val="20"/>
          <w:szCs w:val="20"/>
          <w:color w:val="auto"/>
        </w:rPr>
      </w:pPr>
      <w:r>
        <w:rPr>
          <w:rFonts w:ascii="Calibri" w:cs="Calibri" w:eastAsia="Calibri" w:hAnsi="Calibri"/>
          <w:sz w:val="18"/>
          <w:szCs w:val="18"/>
          <w:b w:val="1"/>
          <w:bCs w:val="1"/>
          <w:color w:val="auto"/>
        </w:rPr>
        <w:t>March 31, 2026</w:t>
      </w:r>
    </w:p>
    <w:p>
      <w:pPr>
        <w:spacing w:after="0" w:line="218" w:lineRule="exact"/>
        <w:rPr>
          <w:sz w:val="20"/>
          <w:szCs w:val="20"/>
          <w:color w:val="auto"/>
        </w:rPr>
      </w:pPr>
    </w:p>
    <w:p>
      <w:pPr>
        <w:ind w:right="220"/>
        <w:spacing w:after="0" w:line="210" w:lineRule="auto"/>
        <w:rPr>
          <w:sz w:val="20"/>
          <w:szCs w:val="20"/>
          <w:color w:val="auto"/>
        </w:rPr>
      </w:pPr>
      <w:r>
        <w:rPr>
          <w:rFonts w:ascii="Calibri" w:cs="Calibri" w:eastAsia="Calibri" w:hAnsi="Calibri"/>
          <w:sz w:val="18"/>
          <w:szCs w:val="18"/>
          <w:color w:val="auto"/>
        </w:rPr>
        <w:t>The following table sets forth certain informaton regarding the Centers and other operatng propertes that are not wholly owned by the Company. This list of propertes includes unconsolidated joint ventures and consolidated joint ventures. The percentages shown are the efectve legal ownership and economic ownership interests of the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vMerge w:val="restart"/>
          </w:tcPr>
          <w:p>
            <w:pPr>
              <w:ind w:left="60"/>
              <w:spacing w:after="0"/>
              <w:rPr>
                <w:sz w:val="20"/>
                <w:szCs w:val="20"/>
                <w:color w:val="auto"/>
              </w:rPr>
            </w:pPr>
            <w:r>
              <w:rPr>
                <w:rFonts w:ascii="Calibri" w:cs="Calibri" w:eastAsia="Calibri" w:hAnsi="Calibri"/>
                <w:sz w:val="14"/>
                <w:szCs w:val="14"/>
                <w:b w:val="1"/>
                <w:bCs w:val="1"/>
                <w:color w:val="auto"/>
              </w:rPr>
              <w:t>Propertes</w:t>
            </w:r>
          </w:p>
        </w:tc>
        <w:tc>
          <w:tcPr>
            <w:tcW w:w="1140" w:type="dxa"/>
            <w:vAlign w:val="bottom"/>
            <w:gridSpan w:val="2"/>
          </w:tcPr>
          <w:p>
            <w:pPr>
              <w:jc w:val="center"/>
              <w:ind w:right="60"/>
              <w:spacing w:after="0"/>
              <w:rPr>
                <w:sz w:val="20"/>
                <w:szCs w:val="20"/>
                <w:color w:val="auto"/>
              </w:rPr>
            </w:pPr>
            <w:r>
              <w:rPr>
                <w:rFonts w:ascii="Calibri" w:cs="Calibri" w:eastAsia="Calibri" w:hAnsi="Calibri"/>
                <w:sz w:val="14"/>
                <w:szCs w:val="14"/>
                <w:b w:val="1"/>
                <w:bCs w:val="1"/>
                <w:color w:val="auto"/>
              </w:rPr>
              <w:t>Legal</w:t>
            </w:r>
          </w:p>
        </w:tc>
        <w:tc>
          <w:tcPr>
            <w:tcW w:w="12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Economic</w:t>
            </w:r>
          </w:p>
        </w:tc>
        <w:tc>
          <w:tcPr>
            <w:tcW w:w="3380" w:type="dxa"/>
            <w:vAlign w:val="bottom"/>
            <w:gridSpan w:val="2"/>
            <w:vMerge w:val="restart"/>
          </w:tcPr>
          <w:p>
            <w:pPr>
              <w:ind w:left="1260"/>
              <w:spacing w:after="0"/>
              <w:rPr>
                <w:sz w:val="20"/>
                <w:szCs w:val="20"/>
                <w:color w:val="auto"/>
              </w:rPr>
            </w:pPr>
            <w:r>
              <w:rPr>
                <w:rFonts w:ascii="Calibri" w:cs="Calibri" w:eastAsia="Calibri" w:hAnsi="Calibri"/>
                <w:sz w:val="14"/>
                <w:szCs w:val="14"/>
                <w:b w:val="1"/>
                <w:bCs w:val="1"/>
                <w:color w:val="auto"/>
              </w:rPr>
              <w:t>Joint Venture</w:t>
            </w:r>
          </w:p>
        </w:tc>
        <w:tc>
          <w:tcPr>
            <w:tcW w:w="1080" w:type="dxa"/>
            <w:vAlign w:val="bottom"/>
            <w:vMerge w:val="restart"/>
          </w:tcPr>
          <w:p>
            <w:pPr>
              <w:jc w:val="right"/>
              <w:ind w:right="111"/>
              <w:spacing w:after="0"/>
              <w:rPr>
                <w:sz w:val="20"/>
                <w:szCs w:val="20"/>
                <w:color w:val="auto"/>
              </w:rPr>
            </w:pPr>
            <w:r>
              <w:rPr>
                <w:rFonts w:ascii="Calibri" w:cs="Calibri" w:eastAsia="Calibri" w:hAnsi="Calibri"/>
                <w:sz w:val="14"/>
                <w:szCs w:val="14"/>
                <w:b w:val="1"/>
                <w:bCs w:val="1"/>
                <w:color w:val="auto"/>
              </w:rPr>
              <w:t>Total GLA(c)</w:t>
            </w:r>
          </w:p>
        </w:tc>
        <w:tc>
          <w:tcPr>
            <w:tcW w:w="0" w:type="dxa"/>
            <w:vAlign w:val="bottom"/>
          </w:tcPr>
          <w:p>
            <w:pPr>
              <w:spacing w:after="0"/>
              <w:rPr>
                <w:sz w:val="1"/>
                <w:szCs w:val="1"/>
                <w:color w:val="auto"/>
              </w:rPr>
            </w:pPr>
          </w:p>
        </w:tc>
      </w:tr>
      <w:tr>
        <w:trPr>
          <w:trHeight w:val="170"/>
        </w:trPr>
        <w:tc>
          <w:tcPr>
            <w:tcW w:w="2880" w:type="dxa"/>
            <w:vAlign w:val="bottom"/>
            <w:gridSpan w:val="2"/>
            <w:vMerge w:val="continue"/>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Calibri" w:cs="Calibri" w:eastAsia="Calibri" w:hAnsi="Calibri"/>
                <w:sz w:val="14"/>
                <w:szCs w:val="14"/>
                <w:b w:val="1"/>
                <w:bCs w:val="1"/>
                <w:color w:val="auto"/>
              </w:rPr>
              <w:t>Ownership(a)</w:t>
            </w:r>
          </w:p>
        </w:tc>
        <w:tc>
          <w:tcPr>
            <w:tcW w:w="126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Ownership(b)</w:t>
            </w:r>
          </w:p>
        </w:tc>
        <w:tc>
          <w:tcPr>
            <w:tcW w:w="33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840" w:type="dxa"/>
            <w:vAlign w:val="bottom"/>
            <w:tcBorders>
              <w:bottom w:val="single" w:sz="8" w:color="auto"/>
            </w:tcBorders>
          </w:tcPr>
          <w:p>
            <w:pPr>
              <w:spacing w:after="0"/>
              <w:rPr>
                <w:sz w:val="4"/>
                <w:szCs w:val="4"/>
                <w:color w:val="auto"/>
              </w:rPr>
            </w:pPr>
          </w:p>
        </w:tc>
        <w:tc>
          <w:tcPr>
            <w:tcW w:w="40" w:type="dxa"/>
            <w:vAlign w:val="bottom"/>
            <w:tcBorders>
              <w:bottom w:val="single" w:sz="8" w:color="F5F5F5"/>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Borders>
              <w:bottom w:val="single" w:sz="8" w:color="F5F5F5"/>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F5F5F5"/>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60" w:type="dxa"/>
            <w:vAlign w:val="bottom"/>
            <w:tcBorders>
              <w:bottom w:val="single" w:sz="8" w:color="F5F5F5"/>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840" w:type="dxa"/>
            <w:vAlign w:val="bottom"/>
            <w:tcBorders>
              <w:bottom w:val="single" w:sz="8" w:color="F5F5F5"/>
            </w:tcBorders>
            <w:shd w:val="clear" w:color="auto" w:fill="F5F5F5"/>
          </w:tcPr>
          <w:p>
            <w:pPr>
              <w:ind w:left="60"/>
              <w:spacing w:after="0" w:line="213" w:lineRule="exact"/>
              <w:rPr>
                <w:sz w:val="20"/>
                <w:szCs w:val="20"/>
                <w:color w:val="auto"/>
              </w:rPr>
            </w:pPr>
            <w:r>
              <w:rPr>
                <w:rFonts w:ascii="Calibri" w:cs="Calibri" w:eastAsia="Calibri" w:hAnsi="Calibri"/>
                <w:sz w:val="18"/>
                <w:szCs w:val="18"/>
                <w:color w:val="auto"/>
              </w:rPr>
              <w:t>Boulevard Shops</w:t>
            </w:r>
          </w:p>
        </w:tc>
        <w:tc>
          <w:tcPr>
            <w:tcW w:w="40" w:type="dxa"/>
            <w:vAlign w:val="bottom"/>
            <w:tcBorders>
              <w:bottom w:val="single" w:sz="8" w:color="F5F5F5"/>
            </w:tcBorders>
            <w:shd w:val="clear" w:color="auto" w:fill="F5F5F5"/>
          </w:tcPr>
          <w:p>
            <w:pPr>
              <w:spacing w:after="0"/>
              <w:rPr>
                <w:sz w:val="18"/>
                <w:szCs w:val="18"/>
                <w:color w:val="auto"/>
              </w:rPr>
            </w:pPr>
          </w:p>
        </w:tc>
        <w:tc>
          <w:tcPr>
            <w:tcW w:w="1080" w:type="dxa"/>
            <w:vAlign w:val="bottom"/>
            <w:tcBorders>
              <w:bottom w:val="single" w:sz="8" w:color="F5F5F5"/>
            </w:tcBorders>
            <w:shd w:val="clear" w:color="auto" w:fill="F5F5F5"/>
          </w:tcPr>
          <w:p>
            <w:pPr>
              <w:jc w:val="right"/>
              <w:spacing w:after="0" w:line="213" w:lineRule="exact"/>
              <w:rPr>
                <w:sz w:val="20"/>
                <w:szCs w:val="20"/>
                <w:color w:val="auto"/>
              </w:rPr>
            </w:pPr>
            <w:r>
              <w:rPr>
                <w:rFonts w:ascii="Calibri" w:cs="Calibri" w:eastAsia="Calibri" w:hAnsi="Calibri"/>
                <w:sz w:val="18"/>
                <w:szCs w:val="18"/>
                <w:color w:val="auto"/>
              </w:rPr>
              <w:t>50%</w:t>
            </w:r>
          </w:p>
        </w:tc>
        <w:tc>
          <w:tcPr>
            <w:tcW w:w="60" w:type="dxa"/>
            <w:vAlign w:val="bottom"/>
            <w:tcBorders>
              <w:bottom w:val="single" w:sz="8" w:color="F5F5F5"/>
            </w:tcBorders>
            <w:shd w:val="clear" w:color="auto" w:fill="F5F5F5"/>
          </w:tcPr>
          <w:p>
            <w:pPr>
              <w:spacing w:after="0"/>
              <w:rPr>
                <w:sz w:val="18"/>
                <w:szCs w:val="18"/>
                <w:color w:val="auto"/>
              </w:rPr>
            </w:pPr>
          </w:p>
        </w:tc>
        <w:tc>
          <w:tcPr>
            <w:tcW w:w="1080" w:type="dxa"/>
            <w:vAlign w:val="bottom"/>
            <w:tcBorders>
              <w:bottom w:val="single" w:sz="8" w:color="F5F5F5"/>
            </w:tcBorders>
            <w:shd w:val="clear" w:color="auto" w:fill="F5F5F5"/>
          </w:tcPr>
          <w:p>
            <w:pPr>
              <w:jc w:val="right"/>
              <w:spacing w:after="0" w:line="213" w:lineRule="exact"/>
              <w:rPr>
                <w:sz w:val="20"/>
                <w:szCs w:val="20"/>
                <w:color w:val="auto"/>
              </w:rPr>
            </w:pPr>
            <w:r>
              <w:rPr>
                <w:rFonts w:ascii="Calibri" w:cs="Calibri" w:eastAsia="Calibri" w:hAnsi="Calibri"/>
                <w:sz w:val="18"/>
                <w:szCs w:val="18"/>
                <w:color w:val="auto"/>
              </w:rPr>
              <w:t>50%</w:t>
            </w:r>
          </w:p>
        </w:tc>
        <w:tc>
          <w:tcPr>
            <w:tcW w:w="180" w:type="dxa"/>
            <w:vAlign w:val="bottom"/>
            <w:tcBorders>
              <w:bottom w:val="single" w:sz="8" w:color="F5F5F5"/>
            </w:tcBorders>
            <w:shd w:val="clear" w:color="auto" w:fill="F5F5F5"/>
          </w:tcPr>
          <w:p>
            <w:pPr>
              <w:spacing w:after="0"/>
              <w:rPr>
                <w:sz w:val="18"/>
                <w:szCs w:val="18"/>
                <w:color w:val="auto"/>
              </w:rPr>
            </w:pPr>
          </w:p>
        </w:tc>
        <w:tc>
          <w:tcPr>
            <w:tcW w:w="3320" w:type="dxa"/>
            <w:vAlign w:val="bottom"/>
            <w:tcBorders>
              <w:bottom w:val="single" w:sz="8" w:color="F5F5F5"/>
            </w:tcBorders>
            <w:shd w:val="clear" w:color="auto" w:fill="F5F5F5"/>
          </w:tcPr>
          <w:p>
            <w:pPr>
              <w:ind w:left="40"/>
              <w:spacing w:after="0" w:line="213" w:lineRule="exact"/>
              <w:rPr>
                <w:sz w:val="20"/>
                <w:szCs w:val="20"/>
                <w:color w:val="auto"/>
              </w:rPr>
            </w:pPr>
            <w:r>
              <w:rPr>
                <w:rFonts w:ascii="Calibri" w:cs="Calibri" w:eastAsia="Calibri" w:hAnsi="Calibri"/>
                <w:sz w:val="18"/>
                <w:szCs w:val="18"/>
                <w:color w:val="auto"/>
              </w:rPr>
              <w:t>Propcor II Associates, LLC</w:t>
            </w:r>
          </w:p>
        </w:tc>
        <w:tc>
          <w:tcPr>
            <w:tcW w:w="60" w:type="dxa"/>
            <w:vAlign w:val="bottom"/>
            <w:tcBorders>
              <w:bottom w:val="single" w:sz="8" w:color="F5F5F5"/>
            </w:tcBorders>
            <w:shd w:val="clear" w:color="auto" w:fill="F5F5F5"/>
          </w:tcPr>
          <w:p>
            <w:pPr>
              <w:spacing w:after="0"/>
              <w:rPr>
                <w:sz w:val="18"/>
                <w:szCs w:val="18"/>
                <w:color w:val="auto"/>
              </w:rPr>
            </w:pPr>
          </w:p>
        </w:tc>
        <w:tc>
          <w:tcPr>
            <w:tcW w:w="1080" w:type="dxa"/>
            <w:vAlign w:val="bottom"/>
            <w:tcBorders>
              <w:bottom w:val="single" w:sz="8" w:color="F5F5F5"/>
            </w:tcBorders>
            <w:shd w:val="clear" w:color="auto" w:fill="F5F5F5"/>
          </w:tcPr>
          <w:p>
            <w:pPr>
              <w:jc w:val="right"/>
              <w:spacing w:after="0" w:line="213" w:lineRule="exact"/>
              <w:rPr>
                <w:sz w:val="20"/>
                <w:szCs w:val="20"/>
                <w:color w:val="auto"/>
              </w:rPr>
            </w:pPr>
            <w:r>
              <w:rPr>
                <w:rFonts w:ascii="Calibri" w:cs="Calibri" w:eastAsia="Calibri" w:hAnsi="Calibri"/>
                <w:sz w:val="18"/>
                <w:szCs w:val="18"/>
                <w:color w:val="auto"/>
              </w:rPr>
              <w:t>205,000</w:t>
            </w:r>
          </w:p>
        </w:tc>
        <w:tc>
          <w:tcPr>
            <w:tcW w:w="0" w:type="dxa"/>
            <w:vAlign w:val="bottom"/>
          </w:tcPr>
          <w:p>
            <w:pPr>
              <w:spacing w:after="0"/>
              <w:rPr>
                <w:sz w:val="1"/>
                <w:szCs w:val="1"/>
                <w:color w:val="auto"/>
              </w:rPr>
            </w:pPr>
          </w:p>
        </w:tc>
      </w:tr>
      <w:tr>
        <w:trPr>
          <w:trHeight w:val="233"/>
        </w:trPr>
        <w:tc>
          <w:tcPr>
            <w:tcW w:w="2880" w:type="dxa"/>
            <w:vAlign w:val="bottom"/>
            <w:gridSpan w:val="2"/>
          </w:tcPr>
          <w:p>
            <w:pPr>
              <w:ind w:left="60"/>
              <w:spacing w:after="0" w:line="215" w:lineRule="exact"/>
              <w:rPr>
                <w:sz w:val="20"/>
                <w:szCs w:val="20"/>
                <w:color w:val="auto"/>
              </w:rPr>
            </w:pPr>
            <w:r>
              <w:rPr>
                <w:rFonts w:ascii="Calibri" w:cs="Calibri" w:eastAsia="Calibri" w:hAnsi="Calibri"/>
                <w:sz w:val="18"/>
                <w:szCs w:val="18"/>
                <w:color w:val="auto"/>
              </w:rPr>
              <w:t>Broadway Plaza</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180" w:type="dxa"/>
            <w:vAlign w:val="bottom"/>
          </w:tcPr>
          <w:p>
            <w:pPr>
              <w:spacing w:after="0"/>
              <w:rPr>
                <w:sz w:val="20"/>
                <w:szCs w:val="20"/>
                <w:color w:val="auto"/>
              </w:rPr>
            </w:pPr>
          </w:p>
        </w:tc>
        <w:tc>
          <w:tcPr>
            <w:tcW w:w="3380" w:type="dxa"/>
            <w:vAlign w:val="bottom"/>
            <w:gridSpan w:val="2"/>
          </w:tcPr>
          <w:p>
            <w:pPr>
              <w:ind w:left="40"/>
              <w:spacing w:after="0" w:line="215" w:lineRule="exact"/>
              <w:rPr>
                <w:sz w:val="20"/>
                <w:szCs w:val="20"/>
                <w:color w:val="auto"/>
              </w:rPr>
            </w:pPr>
            <w:r>
              <w:rPr>
                <w:rFonts w:ascii="Calibri" w:cs="Calibri" w:eastAsia="Calibri" w:hAnsi="Calibri"/>
                <w:sz w:val="18"/>
                <w:szCs w:val="18"/>
                <w:color w:val="auto"/>
              </w:rPr>
              <w:t>Macerich HHF Broadway Plaza LLC</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1,003,000</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Borders>
              <w:bottom w:val="single" w:sz="8" w:color="F5F5F5"/>
            </w:tcBorders>
            <w:gridSpan w:val="2"/>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Chandler Fashion Center(d)(e)</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50.1%</w:t>
            </w:r>
          </w:p>
        </w:tc>
        <w:tc>
          <w:tcPr>
            <w:tcW w:w="60" w:type="dxa"/>
            <w:vAlign w:val="bottom"/>
            <w:tcBorders>
              <w:bottom w:val="single" w:sz="8" w:color="F5F5F5"/>
            </w:tcBorders>
            <w:shd w:val="clear" w:color="auto" w:fill="F5F5F5"/>
          </w:tcPr>
          <w:p>
            <w:pPr>
              <w:spacing w:after="0"/>
              <w:rPr>
                <w:sz w:val="20"/>
                <w:szCs w:val="20"/>
                <w:color w:val="auto"/>
              </w:rPr>
            </w:pP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50.1%</w:t>
            </w:r>
          </w:p>
        </w:tc>
        <w:tc>
          <w:tcPr>
            <w:tcW w:w="180" w:type="dxa"/>
            <w:vAlign w:val="bottom"/>
            <w:tcBorders>
              <w:bottom w:val="single" w:sz="8" w:color="F5F5F5"/>
            </w:tcBorders>
            <w:shd w:val="clear" w:color="auto" w:fill="F5F5F5"/>
          </w:tcPr>
          <w:p>
            <w:pPr>
              <w:spacing w:after="0"/>
              <w:rPr>
                <w:sz w:val="20"/>
                <w:szCs w:val="20"/>
                <w:color w:val="auto"/>
              </w:rPr>
            </w:pPr>
          </w:p>
        </w:tc>
        <w:tc>
          <w:tcPr>
            <w:tcW w:w="3380" w:type="dxa"/>
            <w:vAlign w:val="bottom"/>
            <w:tcBorders>
              <w:bottom w:val="single" w:sz="8" w:color="F5F5F5"/>
            </w:tcBorders>
            <w:gridSpan w:val="2"/>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Freehold Chandler Holdings LP</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1,412,000</w:t>
            </w:r>
          </w:p>
        </w:tc>
        <w:tc>
          <w:tcPr>
            <w:tcW w:w="0" w:type="dxa"/>
            <w:vAlign w:val="bottom"/>
          </w:tcPr>
          <w:p>
            <w:pPr>
              <w:spacing w:after="0"/>
              <w:rPr>
                <w:sz w:val="1"/>
                <w:szCs w:val="1"/>
                <w:color w:val="auto"/>
              </w:rPr>
            </w:pPr>
          </w:p>
        </w:tc>
      </w:tr>
      <w:tr>
        <w:trPr>
          <w:trHeight w:val="233"/>
        </w:trPr>
        <w:tc>
          <w:tcPr>
            <w:tcW w:w="2880" w:type="dxa"/>
            <w:vAlign w:val="bottom"/>
            <w:gridSpan w:val="2"/>
          </w:tcPr>
          <w:p>
            <w:pPr>
              <w:ind w:left="60"/>
              <w:spacing w:after="0" w:line="215" w:lineRule="exact"/>
              <w:rPr>
                <w:sz w:val="20"/>
                <w:szCs w:val="20"/>
                <w:color w:val="auto"/>
              </w:rPr>
            </w:pPr>
            <w:r>
              <w:rPr>
                <w:rFonts w:ascii="Calibri" w:cs="Calibri" w:eastAsia="Calibri" w:hAnsi="Calibri"/>
                <w:sz w:val="18"/>
                <w:szCs w:val="18"/>
                <w:color w:val="auto"/>
              </w:rPr>
              <w:t>Corte Madera, The Village at</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50.1%</w:t>
            </w: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50.1%</w:t>
            </w:r>
          </w:p>
        </w:tc>
        <w:tc>
          <w:tcPr>
            <w:tcW w:w="180" w:type="dxa"/>
            <w:vAlign w:val="bottom"/>
          </w:tcPr>
          <w:p>
            <w:pPr>
              <w:spacing w:after="0"/>
              <w:rPr>
                <w:sz w:val="20"/>
                <w:szCs w:val="20"/>
                <w:color w:val="auto"/>
              </w:rPr>
            </w:pPr>
          </w:p>
        </w:tc>
        <w:tc>
          <w:tcPr>
            <w:tcW w:w="3380" w:type="dxa"/>
            <w:vAlign w:val="bottom"/>
            <w:gridSpan w:val="2"/>
          </w:tcPr>
          <w:p>
            <w:pPr>
              <w:ind w:left="40"/>
              <w:spacing w:after="0" w:line="215" w:lineRule="exact"/>
              <w:rPr>
                <w:sz w:val="20"/>
                <w:szCs w:val="20"/>
                <w:color w:val="auto"/>
              </w:rPr>
            </w:pPr>
            <w:r>
              <w:rPr>
                <w:rFonts w:ascii="Calibri" w:cs="Calibri" w:eastAsia="Calibri" w:hAnsi="Calibri"/>
                <w:sz w:val="18"/>
                <w:szCs w:val="18"/>
                <w:color w:val="auto"/>
              </w:rPr>
              <w:t>Corte Madera Village, LLC</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502,000</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Borders>
              <w:bottom w:val="single" w:sz="8" w:color="F5F5F5"/>
            </w:tcBorders>
            <w:gridSpan w:val="2"/>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Deptord Mall</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51%</w:t>
            </w:r>
          </w:p>
        </w:tc>
        <w:tc>
          <w:tcPr>
            <w:tcW w:w="60" w:type="dxa"/>
            <w:vAlign w:val="bottom"/>
            <w:tcBorders>
              <w:bottom w:val="single" w:sz="8" w:color="F5F5F5"/>
            </w:tcBorders>
            <w:shd w:val="clear" w:color="auto" w:fill="F5F5F5"/>
          </w:tcPr>
          <w:p>
            <w:pPr>
              <w:spacing w:after="0"/>
              <w:rPr>
                <w:sz w:val="20"/>
                <w:szCs w:val="20"/>
                <w:color w:val="auto"/>
              </w:rPr>
            </w:pP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51%</w:t>
            </w:r>
          </w:p>
        </w:tc>
        <w:tc>
          <w:tcPr>
            <w:tcW w:w="180" w:type="dxa"/>
            <w:vAlign w:val="bottom"/>
            <w:tcBorders>
              <w:bottom w:val="single" w:sz="8" w:color="F5F5F5"/>
            </w:tcBorders>
            <w:shd w:val="clear" w:color="auto" w:fill="F5F5F5"/>
          </w:tcPr>
          <w:p>
            <w:pPr>
              <w:spacing w:after="0"/>
              <w:rPr>
                <w:sz w:val="20"/>
                <w:szCs w:val="20"/>
                <w:color w:val="auto"/>
              </w:rPr>
            </w:pPr>
          </w:p>
        </w:tc>
        <w:tc>
          <w:tcPr>
            <w:tcW w:w="3380" w:type="dxa"/>
            <w:vAlign w:val="bottom"/>
            <w:tcBorders>
              <w:bottom w:val="single" w:sz="8" w:color="F5F5F5"/>
            </w:tcBorders>
            <w:gridSpan w:val="2"/>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Macerich HHF Centers LLC</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1,011,000</w:t>
            </w:r>
          </w:p>
        </w:tc>
        <w:tc>
          <w:tcPr>
            <w:tcW w:w="0" w:type="dxa"/>
            <w:vAlign w:val="bottom"/>
          </w:tcPr>
          <w:p>
            <w:pPr>
              <w:spacing w:after="0"/>
              <w:rPr>
                <w:sz w:val="1"/>
                <w:szCs w:val="1"/>
                <w:color w:val="auto"/>
              </w:rPr>
            </w:pPr>
          </w:p>
        </w:tc>
      </w:tr>
      <w:tr>
        <w:trPr>
          <w:trHeight w:val="233"/>
        </w:trPr>
        <w:tc>
          <w:tcPr>
            <w:tcW w:w="2880" w:type="dxa"/>
            <w:vAlign w:val="bottom"/>
            <w:gridSpan w:val="2"/>
          </w:tcPr>
          <w:p>
            <w:pPr>
              <w:ind w:left="60"/>
              <w:spacing w:after="0" w:line="215" w:lineRule="exact"/>
              <w:rPr>
                <w:sz w:val="20"/>
                <w:szCs w:val="20"/>
                <w:color w:val="auto"/>
              </w:rPr>
            </w:pPr>
            <w:r>
              <w:rPr>
                <w:rFonts w:ascii="Calibri" w:cs="Calibri" w:eastAsia="Calibri" w:hAnsi="Calibri"/>
                <w:sz w:val="18"/>
                <w:szCs w:val="18"/>
                <w:color w:val="auto"/>
              </w:rPr>
              <w:t>FlatIron Crossing(f)</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51%</w:t>
            </w: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51%</w:t>
            </w:r>
          </w:p>
        </w:tc>
        <w:tc>
          <w:tcPr>
            <w:tcW w:w="180" w:type="dxa"/>
            <w:vAlign w:val="bottom"/>
          </w:tcPr>
          <w:p>
            <w:pPr>
              <w:spacing w:after="0"/>
              <w:rPr>
                <w:sz w:val="20"/>
                <w:szCs w:val="20"/>
                <w:color w:val="auto"/>
              </w:rPr>
            </w:pPr>
          </w:p>
        </w:tc>
        <w:tc>
          <w:tcPr>
            <w:tcW w:w="3380" w:type="dxa"/>
            <w:vAlign w:val="bottom"/>
            <w:gridSpan w:val="2"/>
          </w:tcPr>
          <w:p>
            <w:pPr>
              <w:ind w:left="40"/>
              <w:spacing w:after="0" w:line="215" w:lineRule="exact"/>
              <w:rPr>
                <w:sz w:val="20"/>
                <w:szCs w:val="20"/>
                <w:color w:val="auto"/>
              </w:rPr>
            </w:pPr>
            <w:r>
              <w:rPr>
                <w:rFonts w:ascii="Calibri" w:cs="Calibri" w:eastAsia="Calibri" w:hAnsi="Calibri"/>
                <w:sz w:val="18"/>
                <w:szCs w:val="18"/>
                <w:color w:val="auto"/>
              </w:rPr>
              <w:t>Macerich HHF Centers LLC</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1,400,000</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880" w:type="dxa"/>
            <w:vAlign w:val="bottom"/>
            <w:tcBorders>
              <w:bottom w:val="single" w:sz="8" w:color="F5F5F5"/>
            </w:tcBorders>
            <w:gridSpan w:val="2"/>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Hyat Regency Tysons Corner Center</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50%</w:t>
            </w:r>
          </w:p>
        </w:tc>
        <w:tc>
          <w:tcPr>
            <w:tcW w:w="60" w:type="dxa"/>
            <w:vAlign w:val="bottom"/>
            <w:tcBorders>
              <w:bottom w:val="single" w:sz="8" w:color="F5F5F5"/>
            </w:tcBorders>
            <w:shd w:val="clear" w:color="auto" w:fill="F5F5F5"/>
          </w:tcPr>
          <w:p>
            <w:pPr>
              <w:spacing w:after="0"/>
              <w:rPr>
                <w:sz w:val="20"/>
                <w:szCs w:val="20"/>
                <w:color w:val="auto"/>
              </w:rPr>
            </w:pP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50%</w:t>
            </w:r>
          </w:p>
        </w:tc>
        <w:tc>
          <w:tcPr>
            <w:tcW w:w="180" w:type="dxa"/>
            <w:vAlign w:val="bottom"/>
            <w:tcBorders>
              <w:bottom w:val="single" w:sz="8" w:color="F5F5F5"/>
            </w:tcBorders>
            <w:shd w:val="clear" w:color="auto" w:fill="F5F5F5"/>
          </w:tcPr>
          <w:p>
            <w:pPr>
              <w:spacing w:after="0"/>
              <w:rPr>
                <w:sz w:val="20"/>
                <w:szCs w:val="20"/>
                <w:color w:val="auto"/>
              </w:rPr>
            </w:pPr>
          </w:p>
        </w:tc>
        <w:tc>
          <w:tcPr>
            <w:tcW w:w="3380" w:type="dxa"/>
            <w:vAlign w:val="bottom"/>
            <w:tcBorders>
              <w:bottom w:val="single" w:sz="8" w:color="F5F5F5"/>
            </w:tcBorders>
            <w:gridSpan w:val="2"/>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Tysons Corner Hotel I LLC</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290,000</w:t>
            </w:r>
          </w:p>
        </w:tc>
        <w:tc>
          <w:tcPr>
            <w:tcW w:w="0" w:type="dxa"/>
            <w:vAlign w:val="bottom"/>
          </w:tcPr>
          <w:p>
            <w:pPr>
              <w:spacing w:after="0"/>
              <w:rPr>
                <w:sz w:val="1"/>
                <w:szCs w:val="1"/>
                <w:color w:val="auto"/>
              </w:rPr>
            </w:pPr>
          </w:p>
        </w:tc>
      </w:tr>
      <w:tr>
        <w:trPr>
          <w:trHeight w:val="233"/>
        </w:trPr>
        <w:tc>
          <w:tcPr>
            <w:tcW w:w="2880" w:type="dxa"/>
            <w:vAlign w:val="bottom"/>
            <w:gridSpan w:val="2"/>
          </w:tcPr>
          <w:p>
            <w:pPr>
              <w:ind w:left="60"/>
              <w:spacing w:after="0" w:line="215" w:lineRule="exact"/>
              <w:rPr>
                <w:sz w:val="20"/>
                <w:szCs w:val="20"/>
                <w:color w:val="auto"/>
              </w:rPr>
            </w:pPr>
            <w:r>
              <w:rPr>
                <w:rFonts w:ascii="Calibri" w:cs="Calibri" w:eastAsia="Calibri" w:hAnsi="Calibri"/>
                <w:sz w:val="18"/>
                <w:szCs w:val="18"/>
                <w:color w:val="auto"/>
              </w:rPr>
              <w:t>Kierland Commons</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180" w:type="dxa"/>
            <w:vAlign w:val="bottom"/>
          </w:tcPr>
          <w:p>
            <w:pPr>
              <w:spacing w:after="0"/>
              <w:rPr>
                <w:sz w:val="20"/>
                <w:szCs w:val="20"/>
                <w:color w:val="auto"/>
              </w:rPr>
            </w:pPr>
          </w:p>
        </w:tc>
        <w:tc>
          <w:tcPr>
            <w:tcW w:w="3380" w:type="dxa"/>
            <w:vAlign w:val="bottom"/>
            <w:gridSpan w:val="2"/>
          </w:tcPr>
          <w:p>
            <w:pPr>
              <w:ind w:left="40"/>
              <w:spacing w:after="0" w:line="215" w:lineRule="exact"/>
              <w:rPr>
                <w:sz w:val="20"/>
                <w:szCs w:val="20"/>
                <w:color w:val="auto"/>
              </w:rPr>
            </w:pPr>
            <w:r>
              <w:rPr>
                <w:rFonts w:ascii="Calibri" w:cs="Calibri" w:eastAsia="Calibri" w:hAnsi="Calibri"/>
                <w:sz w:val="18"/>
                <w:szCs w:val="18"/>
                <w:color w:val="auto"/>
              </w:rPr>
              <w:t>Kierland Commons Investment LLC</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439,000</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Borders>
              <w:bottom w:val="single" w:sz="8" w:color="F5F5F5"/>
            </w:tcBorders>
            <w:gridSpan w:val="2"/>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SanTan Village Regional Center</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84.9%</w:t>
            </w:r>
          </w:p>
        </w:tc>
        <w:tc>
          <w:tcPr>
            <w:tcW w:w="60" w:type="dxa"/>
            <w:vAlign w:val="bottom"/>
            <w:tcBorders>
              <w:bottom w:val="single" w:sz="8" w:color="F5F5F5"/>
            </w:tcBorders>
            <w:shd w:val="clear" w:color="auto" w:fill="F5F5F5"/>
          </w:tcPr>
          <w:p>
            <w:pPr>
              <w:spacing w:after="0"/>
              <w:rPr>
                <w:sz w:val="20"/>
                <w:szCs w:val="20"/>
                <w:color w:val="auto"/>
              </w:rPr>
            </w:pP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84.9%</w:t>
            </w:r>
          </w:p>
        </w:tc>
        <w:tc>
          <w:tcPr>
            <w:tcW w:w="180" w:type="dxa"/>
            <w:vAlign w:val="bottom"/>
            <w:tcBorders>
              <w:bottom w:val="single" w:sz="8" w:color="F5F5F5"/>
            </w:tcBorders>
            <w:shd w:val="clear" w:color="auto" w:fill="F5F5F5"/>
          </w:tcPr>
          <w:p>
            <w:pPr>
              <w:spacing w:after="0"/>
              <w:rPr>
                <w:sz w:val="20"/>
                <w:szCs w:val="20"/>
                <w:color w:val="auto"/>
              </w:rPr>
            </w:pPr>
          </w:p>
        </w:tc>
        <w:tc>
          <w:tcPr>
            <w:tcW w:w="3380" w:type="dxa"/>
            <w:vAlign w:val="bottom"/>
            <w:tcBorders>
              <w:bottom w:val="single" w:sz="8" w:color="F5F5F5"/>
            </w:tcBorders>
            <w:gridSpan w:val="2"/>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Westcor SanTan Village LLC</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1,185,000</w:t>
            </w:r>
          </w:p>
        </w:tc>
        <w:tc>
          <w:tcPr>
            <w:tcW w:w="0" w:type="dxa"/>
            <w:vAlign w:val="bottom"/>
          </w:tcPr>
          <w:p>
            <w:pPr>
              <w:spacing w:after="0"/>
              <w:rPr>
                <w:sz w:val="1"/>
                <w:szCs w:val="1"/>
                <w:color w:val="auto"/>
              </w:rPr>
            </w:pPr>
          </w:p>
        </w:tc>
      </w:tr>
      <w:tr>
        <w:trPr>
          <w:trHeight w:val="233"/>
        </w:trPr>
        <w:tc>
          <w:tcPr>
            <w:tcW w:w="2880" w:type="dxa"/>
            <w:vAlign w:val="bottom"/>
            <w:gridSpan w:val="2"/>
          </w:tcPr>
          <w:p>
            <w:pPr>
              <w:ind w:left="60"/>
              <w:spacing w:after="0" w:line="215" w:lineRule="exact"/>
              <w:rPr>
                <w:sz w:val="20"/>
                <w:szCs w:val="20"/>
                <w:color w:val="auto"/>
              </w:rPr>
            </w:pPr>
            <w:r>
              <w:rPr>
                <w:rFonts w:ascii="Calibri" w:cs="Calibri" w:eastAsia="Calibri" w:hAnsi="Calibri"/>
                <w:sz w:val="18"/>
                <w:szCs w:val="18"/>
                <w:color w:val="auto"/>
              </w:rPr>
              <w:t>Scotsdale Fashion Square</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180" w:type="dxa"/>
            <w:vAlign w:val="bottom"/>
          </w:tcPr>
          <w:p>
            <w:pPr>
              <w:spacing w:after="0"/>
              <w:rPr>
                <w:sz w:val="20"/>
                <w:szCs w:val="20"/>
                <w:color w:val="auto"/>
              </w:rPr>
            </w:pPr>
          </w:p>
        </w:tc>
        <w:tc>
          <w:tcPr>
            <w:tcW w:w="3380" w:type="dxa"/>
            <w:vAlign w:val="bottom"/>
            <w:gridSpan w:val="2"/>
          </w:tcPr>
          <w:p>
            <w:pPr>
              <w:ind w:left="40"/>
              <w:spacing w:after="0" w:line="215" w:lineRule="exact"/>
              <w:rPr>
                <w:sz w:val="20"/>
                <w:szCs w:val="20"/>
                <w:color w:val="auto"/>
              </w:rPr>
            </w:pPr>
            <w:r>
              <w:rPr>
                <w:rFonts w:ascii="Calibri" w:cs="Calibri" w:eastAsia="Calibri" w:hAnsi="Calibri"/>
                <w:sz w:val="18"/>
                <w:szCs w:val="18"/>
                <w:color w:val="auto"/>
              </w:rPr>
              <w:t>Scotsdale Fashion Square Partnership</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1,875,000</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Borders>
              <w:bottom w:val="single" w:sz="8" w:color="F5F5F5"/>
            </w:tcBorders>
            <w:gridSpan w:val="2"/>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Scotsdale Fashion Square-Ofce</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50%</w:t>
            </w:r>
          </w:p>
        </w:tc>
        <w:tc>
          <w:tcPr>
            <w:tcW w:w="60" w:type="dxa"/>
            <w:vAlign w:val="bottom"/>
            <w:tcBorders>
              <w:bottom w:val="single" w:sz="8" w:color="F5F5F5"/>
            </w:tcBorders>
            <w:shd w:val="clear" w:color="auto" w:fill="F5F5F5"/>
          </w:tcPr>
          <w:p>
            <w:pPr>
              <w:spacing w:after="0"/>
              <w:rPr>
                <w:sz w:val="20"/>
                <w:szCs w:val="20"/>
                <w:color w:val="auto"/>
              </w:rPr>
            </w:pP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50%</w:t>
            </w:r>
          </w:p>
        </w:tc>
        <w:tc>
          <w:tcPr>
            <w:tcW w:w="180" w:type="dxa"/>
            <w:vAlign w:val="bottom"/>
            <w:tcBorders>
              <w:bottom w:val="single" w:sz="8" w:color="F5F5F5"/>
            </w:tcBorders>
            <w:shd w:val="clear" w:color="auto" w:fill="F5F5F5"/>
          </w:tcPr>
          <w:p>
            <w:pPr>
              <w:spacing w:after="0"/>
              <w:rPr>
                <w:sz w:val="20"/>
                <w:szCs w:val="20"/>
                <w:color w:val="auto"/>
              </w:rPr>
            </w:pPr>
          </w:p>
        </w:tc>
        <w:tc>
          <w:tcPr>
            <w:tcW w:w="3380" w:type="dxa"/>
            <w:vAlign w:val="bottom"/>
            <w:tcBorders>
              <w:bottom w:val="single" w:sz="8" w:color="F5F5F5"/>
            </w:tcBorders>
            <w:gridSpan w:val="2"/>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Scotsdale Fashion Square Partnership</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121,000</w:t>
            </w:r>
          </w:p>
        </w:tc>
        <w:tc>
          <w:tcPr>
            <w:tcW w:w="0" w:type="dxa"/>
            <w:vAlign w:val="bottom"/>
          </w:tcPr>
          <w:p>
            <w:pPr>
              <w:spacing w:after="0"/>
              <w:rPr>
                <w:sz w:val="1"/>
                <w:szCs w:val="1"/>
                <w:color w:val="auto"/>
              </w:rPr>
            </w:pPr>
          </w:p>
        </w:tc>
      </w:tr>
      <w:tr>
        <w:trPr>
          <w:trHeight w:val="233"/>
        </w:trPr>
        <w:tc>
          <w:tcPr>
            <w:tcW w:w="2880" w:type="dxa"/>
            <w:vAlign w:val="bottom"/>
            <w:gridSpan w:val="2"/>
          </w:tcPr>
          <w:p>
            <w:pPr>
              <w:ind w:left="60"/>
              <w:spacing w:after="0" w:line="215" w:lineRule="exact"/>
              <w:rPr>
                <w:sz w:val="20"/>
                <w:szCs w:val="20"/>
                <w:color w:val="auto"/>
              </w:rPr>
            </w:pPr>
            <w:r>
              <w:rPr>
                <w:rFonts w:ascii="Calibri" w:cs="Calibri" w:eastAsia="Calibri" w:hAnsi="Calibri"/>
                <w:sz w:val="18"/>
                <w:szCs w:val="18"/>
                <w:color w:val="auto"/>
              </w:rPr>
              <w:t>Scotsdale Fashion Square-Hotel</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180" w:type="dxa"/>
            <w:vAlign w:val="bottom"/>
          </w:tcPr>
          <w:p>
            <w:pPr>
              <w:spacing w:after="0"/>
              <w:rPr>
                <w:sz w:val="20"/>
                <w:szCs w:val="20"/>
                <w:color w:val="auto"/>
              </w:rPr>
            </w:pPr>
          </w:p>
        </w:tc>
        <w:tc>
          <w:tcPr>
            <w:tcW w:w="3380" w:type="dxa"/>
            <w:vAlign w:val="bottom"/>
            <w:gridSpan w:val="2"/>
          </w:tcPr>
          <w:p>
            <w:pPr>
              <w:ind w:left="40"/>
              <w:spacing w:after="0" w:line="215" w:lineRule="exact"/>
              <w:rPr>
                <w:sz w:val="20"/>
                <w:szCs w:val="20"/>
                <w:color w:val="auto"/>
              </w:rPr>
            </w:pPr>
            <w:r>
              <w:rPr>
                <w:rFonts w:ascii="Calibri" w:cs="Calibri" w:eastAsia="Calibri" w:hAnsi="Calibri"/>
                <w:sz w:val="18"/>
                <w:szCs w:val="18"/>
                <w:color w:val="auto"/>
              </w:rPr>
              <w:t>Scotsdale Fashion Square Partnership</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245,000</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Borders>
              <w:bottom w:val="single" w:sz="8" w:color="F5F5F5"/>
            </w:tcBorders>
            <w:gridSpan w:val="2"/>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Twenty Ninth Street</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51%</w:t>
            </w:r>
          </w:p>
        </w:tc>
        <w:tc>
          <w:tcPr>
            <w:tcW w:w="60" w:type="dxa"/>
            <w:vAlign w:val="bottom"/>
            <w:tcBorders>
              <w:bottom w:val="single" w:sz="8" w:color="F5F5F5"/>
            </w:tcBorders>
            <w:shd w:val="clear" w:color="auto" w:fill="F5F5F5"/>
          </w:tcPr>
          <w:p>
            <w:pPr>
              <w:spacing w:after="0"/>
              <w:rPr>
                <w:sz w:val="20"/>
                <w:szCs w:val="20"/>
                <w:color w:val="auto"/>
              </w:rPr>
            </w:pP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51%</w:t>
            </w:r>
          </w:p>
        </w:tc>
        <w:tc>
          <w:tcPr>
            <w:tcW w:w="180" w:type="dxa"/>
            <w:vAlign w:val="bottom"/>
            <w:tcBorders>
              <w:bottom w:val="single" w:sz="8" w:color="F5F5F5"/>
            </w:tcBorders>
            <w:shd w:val="clear" w:color="auto" w:fill="F5F5F5"/>
          </w:tcPr>
          <w:p>
            <w:pPr>
              <w:spacing w:after="0"/>
              <w:rPr>
                <w:sz w:val="20"/>
                <w:szCs w:val="20"/>
                <w:color w:val="auto"/>
              </w:rPr>
            </w:pPr>
          </w:p>
        </w:tc>
        <w:tc>
          <w:tcPr>
            <w:tcW w:w="3380" w:type="dxa"/>
            <w:vAlign w:val="bottom"/>
            <w:tcBorders>
              <w:bottom w:val="single" w:sz="8" w:color="F5F5F5"/>
            </w:tcBorders>
            <w:gridSpan w:val="2"/>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Macerich HHF Centers LLC</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685,000</w:t>
            </w:r>
          </w:p>
        </w:tc>
        <w:tc>
          <w:tcPr>
            <w:tcW w:w="0" w:type="dxa"/>
            <w:vAlign w:val="bottom"/>
          </w:tcPr>
          <w:p>
            <w:pPr>
              <w:spacing w:after="0"/>
              <w:rPr>
                <w:sz w:val="1"/>
                <w:szCs w:val="1"/>
                <w:color w:val="auto"/>
              </w:rPr>
            </w:pPr>
          </w:p>
        </w:tc>
      </w:tr>
      <w:tr>
        <w:trPr>
          <w:trHeight w:val="233"/>
        </w:trPr>
        <w:tc>
          <w:tcPr>
            <w:tcW w:w="2880" w:type="dxa"/>
            <w:vAlign w:val="bottom"/>
            <w:gridSpan w:val="2"/>
          </w:tcPr>
          <w:p>
            <w:pPr>
              <w:ind w:left="60"/>
              <w:spacing w:after="0" w:line="215" w:lineRule="exact"/>
              <w:rPr>
                <w:sz w:val="20"/>
                <w:szCs w:val="20"/>
                <w:color w:val="auto"/>
              </w:rPr>
            </w:pPr>
            <w:r>
              <w:rPr>
                <w:rFonts w:ascii="Calibri" w:cs="Calibri" w:eastAsia="Calibri" w:hAnsi="Calibri"/>
                <w:sz w:val="18"/>
                <w:szCs w:val="18"/>
                <w:color w:val="auto"/>
              </w:rPr>
              <w:t>Tysons Corner Center</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180" w:type="dxa"/>
            <w:vAlign w:val="bottom"/>
          </w:tcPr>
          <w:p>
            <w:pPr>
              <w:spacing w:after="0"/>
              <w:rPr>
                <w:sz w:val="20"/>
                <w:szCs w:val="20"/>
                <w:color w:val="auto"/>
              </w:rPr>
            </w:pPr>
          </w:p>
        </w:tc>
        <w:tc>
          <w:tcPr>
            <w:tcW w:w="3380" w:type="dxa"/>
            <w:vAlign w:val="bottom"/>
            <w:gridSpan w:val="2"/>
          </w:tcPr>
          <w:p>
            <w:pPr>
              <w:ind w:left="40"/>
              <w:spacing w:after="0" w:line="215" w:lineRule="exact"/>
              <w:rPr>
                <w:sz w:val="20"/>
                <w:szCs w:val="20"/>
                <w:color w:val="auto"/>
              </w:rPr>
            </w:pPr>
            <w:r>
              <w:rPr>
                <w:rFonts w:ascii="Calibri" w:cs="Calibri" w:eastAsia="Calibri" w:hAnsi="Calibri"/>
                <w:sz w:val="18"/>
                <w:szCs w:val="18"/>
                <w:color w:val="auto"/>
              </w:rPr>
              <w:t>Tysons Corner LLC</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1,924,000</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880" w:type="dxa"/>
            <w:vAlign w:val="bottom"/>
            <w:tcBorders>
              <w:bottom w:val="single" w:sz="8" w:color="F5F5F5"/>
            </w:tcBorders>
            <w:gridSpan w:val="2"/>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Tysons Corner Center-Ofce</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50%</w:t>
            </w:r>
          </w:p>
        </w:tc>
        <w:tc>
          <w:tcPr>
            <w:tcW w:w="60" w:type="dxa"/>
            <w:vAlign w:val="bottom"/>
            <w:tcBorders>
              <w:bottom w:val="single" w:sz="8" w:color="F5F5F5"/>
            </w:tcBorders>
            <w:shd w:val="clear" w:color="auto" w:fill="F5F5F5"/>
          </w:tcPr>
          <w:p>
            <w:pPr>
              <w:spacing w:after="0"/>
              <w:rPr>
                <w:sz w:val="20"/>
                <w:szCs w:val="20"/>
                <w:color w:val="auto"/>
              </w:rPr>
            </w:pP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50%</w:t>
            </w:r>
          </w:p>
        </w:tc>
        <w:tc>
          <w:tcPr>
            <w:tcW w:w="180" w:type="dxa"/>
            <w:vAlign w:val="bottom"/>
            <w:tcBorders>
              <w:bottom w:val="single" w:sz="8" w:color="F5F5F5"/>
            </w:tcBorders>
            <w:shd w:val="clear" w:color="auto" w:fill="F5F5F5"/>
          </w:tcPr>
          <w:p>
            <w:pPr>
              <w:spacing w:after="0"/>
              <w:rPr>
                <w:sz w:val="20"/>
                <w:szCs w:val="20"/>
                <w:color w:val="auto"/>
              </w:rPr>
            </w:pPr>
          </w:p>
        </w:tc>
        <w:tc>
          <w:tcPr>
            <w:tcW w:w="3380" w:type="dxa"/>
            <w:vAlign w:val="bottom"/>
            <w:tcBorders>
              <w:bottom w:val="single" w:sz="8" w:color="F5F5F5"/>
            </w:tcBorders>
            <w:gridSpan w:val="2"/>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Tysons Corner Property LLC</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171,000</w:t>
            </w:r>
          </w:p>
        </w:tc>
        <w:tc>
          <w:tcPr>
            <w:tcW w:w="0" w:type="dxa"/>
            <w:vAlign w:val="bottom"/>
          </w:tcPr>
          <w:p>
            <w:pPr>
              <w:spacing w:after="0"/>
              <w:rPr>
                <w:sz w:val="1"/>
                <w:szCs w:val="1"/>
                <w:color w:val="auto"/>
              </w:rPr>
            </w:pPr>
          </w:p>
        </w:tc>
      </w:tr>
      <w:tr>
        <w:trPr>
          <w:trHeight w:val="233"/>
        </w:trPr>
        <w:tc>
          <w:tcPr>
            <w:tcW w:w="2880" w:type="dxa"/>
            <w:vAlign w:val="bottom"/>
            <w:gridSpan w:val="2"/>
          </w:tcPr>
          <w:p>
            <w:pPr>
              <w:ind w:left="60"/>
              <w:spacing w:after="0" w:line="215" w:lineRule="exact"/>
              <w:rPr>
                <w:sz w:val="20"/>
                <w:szCs w:val="20"/>
                <w:color w:val="auto"/>
              </w:rPr>
            </w:pPr>
            <w:r>
              <w:rPr>
                <w:rFonts w:ascii="Calibri" w:cs="Calibri" w:eastAsia="Calibri" w:hAnsi="Calibri"/>
                <w:sz w:val="18"/>
                <w:szCs w:val="18"/>
                <w:color w:val="auto"/>
              </w:rPr>
              <w:t>Tysons Tower</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50%</w:t>
            </w:r>
          </w:p>
        </w:tc>
        <w:tc>
          <w:tcPr>
            <w:tcW w:w="180" w:type="dxa"/>
            <w:vAlign w:val="bottom"/>
          </w:tcPr>
          <w:p>
            <w:pPr>
              <w:spacing w:after="0"/>
              <w:rPr>
                <w:sz w:val="20"/>
                <w:szCs w:val="20"/>
                <w:color w:val="auto"/>
              </w:rPr>
            </w:pPr>
          </w:p>
        </w:tc>
        <w:tc>
          <w:tcPr>
            <w:tcW w:w="3380" w:type="dxa"/>
            <w:vAlign w:val="bottom"/>
            <w:gridSpan w:val="2"/>
          </w:tcPr>
          <w:p>
            <w:pPr>
              <w:ind w:left="40"/>
              <w:spacing w:after="0" w:line="215" w:lineRule="exact"/>
              <w:rPr>
                <w:sz w:val="20"/>
                <w:szCs w:val="20"/>
                <w:color w:val="auto"/>
              </w:rPr>
            </w:pPr>
            <w:r>
              <w:rPr>
                <w:rFonts w:ascii="Calibri" w:cs="Calibri" w:eastAsia="Calibri" w:hAnsi="Calibri"/>
                <w:sz w:val="18"/>
                <w:szCs w:val="18"/>
                <w:color w:val="auto"/>
              </w:rPr>
              <w:t>Tysons Corner Property LLC</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547,000</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880" w:type="dxa"/>
            <w:vAlign w:val="bottom"/>
            <w:tcBorders>
              <w:bottom w:val="single" w:sz="8" w:color="F5F5F5"/>
            </w:tcBorders>
            <w:gridSpan w:val="2"/>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VITA Tysons Corner Center</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50%</w:t>
            </w:r>
          </w:p>
        </w:tc>
        <w:tc>
          <w:tcPr>
            <w:tcW w:w="60" w:type="dxa"/>
            <w:vAlign w:val="bottom"/>
            <w:tcBorders>
              <w:bottom w:val="single" w:sz="8" w:color="F5F5F5"/>
            </w:tcBorders>
            <w:shd w:val="clear" w:color="auto" w:fill="F5F5F5"/>
          </w:tcPr>
          <w:p>
            <w:pPr>
              <w:spacing w:after="0"/>
              <w:rPr>
                <w:sz w:val="20"/>
                <w:szCs w:val="20"/>
                <w:color w:val="auto"/>
              </w:rPr>
            </w:pP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50%</w:t>
            </w:r>
          </w:p>
        </w:tc>
        <w:tc>
          <w:tcPr>
            <w:tcW w:w="180" w:type="dxa"/>
            <w:vAlign w:val="bottom"/>
            <w:tcBorders>
              <w:bottom w:val="single" w:sz="8" w:color="F5F5F5"/>
            </w:tcBorders>
            <w:shd w:val="clear" w:color="auto" w:fill="F5F5F5"/>
          </w:tcPr>
          <w:p>
            <w:pPr>
              <w:spacing w:after="0"/>
              <w:rPr>
                <w:sz w:val="20"/>
                <w:szCs w:val="20"/>
                <w:color w:val="auto"/>
              </w:rPr>
            </w:pPr>
          </w:p>
        </w:tc>
        <w:tc>
          <w:tcPr>
            <w:tcW w:w="3380" w:type="dxa"/>
            <w:vAlign w:val="bottom"/>
            <w:tcBorders>
              <w:bottom w:val="single" w:sz="8" w:color="F5F5F5"/>
            </w:tcBorders>
            <w:gridSpan w:val="2"/>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Tysons Corner Property LLC</w:t>
            </w:r>
          </w:p>
        </w:tc>
        <w:tc>
          <w:tcPr>
            <w:tcW w:w="1080" w:type="dxa"/>
            <w:vAlign w:val="bottom"/>
            <w:tcBorders>
              <w:bottom w:val="single" w:sz="8" w:color="F5F5F5"/>
            </w:tcBorders>
            <w:shd w:val="clear" w:color="auto" w:fill="F5F5F5"/>
          </w:tcPr>
          <w:p>
            <w:pPr>
              <w:jc w:val="right"/>
              <w:spacing w:after="0"/>
              <w:rPr>
                <w:sz w:val="20"/>
                <w:szCs w:val="20"/>
                <w:color w:val="auto"/>
              </w:rPr>
            </w:pPr>
            <w:r>
              <w:rPr>
                <w:rFonts w:ascii="Calibri" w:cs="Calibri" w:eastAsia="Calibri" w:hAnsi="Calibri"/>
                <w:sz w:val="18"/>
                <w:szCs w:val="18"/>
                <w:color w:val="auto"/>
              </w:rPr>
              <w:t>399,000</w:t>
            </w:r>
          </w:p>
        </w:tc>
        <w:tc>
          <w:tcPr>
            <w:tcW w:w="0" w:type="dxa"/>
            <w:vAlign w:val="bottom"/>
          </w:tcPr>
          <w:p>
            <w:pPr>
              <w:spacing w:after="0"/>
              <w:rPr>
                <w:sz w:val="1"/>
                <w:szCs w:val="1"/>
                <w:color w:val="auto"/>
              </w:rPr>
            </w:pPr>
          </w:p>
        </w:tc>
      </w:tr>
      <w:tr>
        <w:trPr>
          <w:trHeight w:val="233"/>
        </w:trPr>
        <w:tc>
          <w:tcPr>
            <w:tcW w:w="2880" w:type="dxa"/>
            <w:vAlign w:val="bottom"/>
            <w:gridSpan w:val="2"/>
          </w:tcPr>
          <w:p>
            <w:pPr>
              <w:ind w:left="60"/>
              <w:spacing w:after="0" w:line="215" w:lineRule="exact"/>
              <w:rPr>
                <w:sz w:val="20"/>
                <w:szCs w:val="20"/>
                <w:color w:val="auto"/>
              </w:rPr>
            </w:pPr>
            <w:r>
              <w:rPr>
                <w:rFonts w:ascii="Calibri" w:cs="Calibri" w:eastAsia="Calibri" w:hAnsi="Calibri"/>
                <w:sz w:val="18"/>
                <w:szCs w:val="18"/>
                <w:color w:val="auto"/>
              </w:rPr>
              <w:t>West Acres</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19%</w:t>
            </w:r>
          </w:p>
        </w:tc>
        <w:tc>
          <w:tcPr>
            <w:tcW w:w="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auto"/>
              </w:rPr>
              <w:t>19%</w:t>
            </w:r>
          </w:p>
        </w:tc>
        <w:tc>
          <w:tcPr>
            <w:tcW w:w="180" w:type="dxa"/>
            <w:vAlign w:val="bottom"/>
          </w:tcPr>
          <w:p>
            <w:pPr>
              <w:spacing w:after="0"/>
              <w:rPr>
                <w:sz w:val="20"/>
                <w:szCs w:val="20"/>
                <w:color w:val="auto"/>
              </w:rPr>
            </w:pPr>
          </w:p>
        </w:tc>
        <w:tc>
          <w:tcPr>
            <w:tcW w:w="3380" w:type="dxa"/>
            <w:vAlign w:val="bottom"/>
            <w:gridSpan w:val="2"/>
          </w:tcPr>
          <w:p>
            <w:pPr>
              <w:ind w:left="40"/>
              <w:spacing w:after="0" w:line="215" w:lineRule="exact"/>
              <w:rPr>
                <w:sz w:val="20"/>
                <w:szCs w:val="20"/>
                <w:color w:val="auto"/>
              </w:rPr>
            </w:pPr>
            <w:r>
              <w:rPr>
                <w:rFonts w:ascii="Calibri" w:cs="Calibri" w:eastAsia="Calibri" w:hAnsi="Calibri"/>
                <w:sz w:val="18"/>
                <w:szCs w:val="18"/>
                <w:color w:val="auto"/>
              </w:rPr>
              <w:t>West Acres Development, LLP</w:t>
            </w:r>
          </w:p>
        </w:tc>
        <w:tc>
          <w:tcPr>
            <w:tcW w:w="1080" w:type="dxa"/>
            <w:vAlign w:val="bottom"/>
          </w:tcPr>
          <w:p>
            <w:pPr>
              <w:jc w:val="right"/>
              <w:spacing w:after="0"/>
              <w:rPr>
                <w:sz w:val="20"/>
                <w:szCs w:val="20"/>
                <w:color w:val="auto"/>
              </w:rPr>
            </w:pPr>
            <w:r>
              <w:rPr>
                <w:rFonts w:ascii="Calibri" w:cs="Calibri" w:eastAsia="Calibri" w:hAnsi="Calibri"/>
                <w:sz w:val="18"/>
                <w:szCs w:val="18"/>
                <w:color w:val="auto"/>
              </w:rPr>
              <w:t>673,000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420" w:right="120" w:hanging="413"/>
        <w:spacing w:after="0" w:line="239" w:lineRule="auto"/>
        <w:tabs>
          <w:tab w:leader="none" w:pos="42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This column refects the Company’s legal ownership in the listed propertes. Legal ownership may, at tmes, not equal the Company’s economic interest in the listed propertes because of various provisions in certain joint venture agreements regarding distributons of cash fow based on capital account balances, allocatons of profts and losses and payments of preferred returns. As a result, the Company’s actual economic interest (as distnct from its legal ownership interest) in certain of the propertes could fuctuate from tme to tme and may not wholly align with its legal ownership interests. Substantally all of the Company’s joint venture agreements contain rights of frst refusal, buy-sell provisions, exit rights, default diluton remedies and/or other break up provisions or remedies which are customary in real estate joint venture agreements and which may, positvely or negatvely, afect the ultmate realizaton of cash fow and/or capital or liquidaton proceeds.</w:t>
      </w:r>
    </w:p>
    <w:p>
      <w:pPr>
        <w:spacing w:after="0" w:line="185" w:lineRule="exact"/>
        <w:rPr>
          <w:rFonts w:ascii="Calibri" w:cs="Calibri" w:eastAsia="Calibri" w:hAnsi="Calibri"/>
          <w:sz w:val="14"/>
          <w:szCs w:val="14"/>
          <w:color w:val="auto"/>
        </w:rPr>
      </w:pPr>
    </w:p>
    <w:p>
      <w:pPr>
        <w:ind w:left="420" w:right="40" w:hanging="413"/>
        <w:spacing w:after="0" w:line="239" w:lineRule="auto"/>
        <w:tabs>
          <w:tab w:leader="none" w:pos="42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Economic ownership represents the allocaton of cash fow to the Company, except as noted below. In cases where the Company receives a current cash distributon greater than its legal ownership percentage due to a capital account greater than its legal ownership percentage, only the legal ownership percentage is shown in this column. The Company’s economic ownership of these propertes may fuctuate based on a number of factors, including mortgage refnancings, partnership capital contributons and distributons, and proceeds and gains or losses from asset sales, and the maters set forth in the preceding paragraph.</w:t>
      </w:r>
    </w:p>
    <w:p>
      <w:pPr>
        <w:spacing w:after="0" w:line="182" w:lineRule="exact"/>
        <w:rPr>
          <w:rFonts w:ascii="Calibri" w:cs="Calibri" w:eastAsia="Calibri" w:hAnsi="Calibri"/>
          <w:sz w:val="14"/>
          <w:szCs w:val="14"/>
          <w:color w:val="auto"/>
        </w:rPr>
      </w:pPr>
    </w:p>
    <w:p>
      <w:pPr>
        <w:ind w:left="420" w:hanging="413"/>
        <w:spacing w:after="0"/>
        <w:tabs>
          <w:tab w:leader="none" w:pos="42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Includes GLA atributable to anchors (whether owned or non-owned) and mall and freestanding stores.</w:t>
      </w:r>
    </w:p>
    <w:p>
      <w:pPr>
        <w:spacing w:after="0" w:line="181" w:lineRule="exact"/>
        <w:rPr>
          <w:rFonts w:ascii="Calibri" w:cs="Calibri" w:eastAsia="Calibri" w:hAnsi="Calibri"/>
          <w:sz w:val="14"/>
          <w:szCs w:val="14"/>
          <w:color w:val="auto"/>
        </w:rPr>
      </w:pPr>
    </w:p>
    <w:p>
      <w:pPr>
        <w:ind w:left="420" w:right="140" w:hanging="413"/>
        <w:spacing w:after="0" w:line="233" w:lineRule="auto"/>
        <w:tabs>
          <w:tab w:leader="none" w:pos="42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This Center has a former Sears store, which was acquired from joint venture partner Seritage Growth Propertes and is now wholly owned and controlled by the Company. The GLA of the former Sears store, or tenant replacing the former Sears store, at this Center is included in Total GLA at the center level.</w:t>
      </w:r>
    </w:p>
    <w:p>
      <w:pPr>
        <w:spacing w:after="0" w:line="154" w:lineRule="exact"/>
        <w:rPr>
          <w:rFonts w:ascii="Calibri" w:cs="Calibri" w:eastAsia="Calibri" w:hAnsi="Calibri"/>
          <w:sz w:val="14"/>
          <w:szCs w:val="14"/>
          <w:color w:val="auto"/>
        </w:rPr>
      </w:pPr>
    </w:p>
    <w:p>
      <w:pPr>
        <w:ind w:left="420" w:hanging="413"/>
        <w:spacing w:after="0" w:line="245" w:lineRule="auto"/>
        <w:tabs>
          <w:tab w:leader="none" w:pos="42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The joint venture entty was formed in September 2009. Upon liquidaton of the partnership or a loan refnancing event, distributons are made in the following order: pro rata 49.9% to the third-party partner and 50.1% to the Company untl a 14% internal rate of return on and of certain capital expenditures is received; to the Company untl it receives approximately $38.0 million; and, thereafer, pro rata 49.9% to the third-party partner and 50.1% to the Company.</w:t>
      </w:r>
    </w:p>
    <w:p>
      <w:pPr>
        <w:spacing w:after="0" w:line="164" w:lineRule="exact"/>
        <w:rPr>
          <w:rFonts w:ascii="Calibri" w:cs="Calibri" w:eastAsia="Calibri" w:hAnsi="Calibri"/>
          <w:sz w:val="14"/>
          <w:szCs w:val="14"/>
          <w:color w:val="auto"/>
        </w:rPr>
      </w:pPr>
    </w:p>
    <w:p>
      <w:pPr>
        <w:ind w:left="420" w:hanging="413"/>
        <w:spacing w:after="0"/>
        <w:tabs>
          <w:tab w:leader="none" w:pos="42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The residental porton under development at this property has an efectve legal ownership and economic ownership interest of 43.4%.</w:t>
      </w:r>
    </w:p>
    <w:p>
      <w:pPr>
        <w:sectPr>
          <w:pgSz w:w="11900" w:h="16838" w:orient="portrait"/>
          <w:cols w:equalWidth="0" w:num="1">
            <w:col w:w="9860"/>
          </w:cols>
          <w:pgMar w:left="980" w:top="1440" w:right="1059" w:bottom="1440" w:gutter="0" w:footer="0" w:header="0"/>
        </w:sectPr>
      </w:pPr>
    </w:p>
    <w:bookmarkStart w:id="27" w:name="page28"/>
    <w:bookmarkEnd w:id="27"/>
    <w:p>
      <w:pPr>
        <w:jc w:val="center"/>
        <w:ind w:right="-119"/>
        <w:spacing w:after="0"/>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The Macerich Company</w:t>
      </w:r>
    </w:p>
    <w:p>
      <w:pPr>
        <w:jc w:val="center"/>
        <w:spacing w:after="0" w:line="206" w:lineRule="auto"/>
        <w:rPr>
          <w:sz w:val="20"/>
          <w:szCs w:val="20"/>
          <w:color w:val="auto"/>
        </w:rPr>
      </w:pPr>
      <w:r>
        <w:rPr>
          <w:rFonts w:ascii="Calibri" w:cs="Calibri" w:eastAsia="Calibri" w:hAnsi="Calibri"/>
          <w:sz w:val="18"/>
          <w:szCs w:val="18"/>
          <w:b w:val="1"/>
          <w:bCs w:val="1"/>
          <w:color w:val="auto"/>
        </w:rPr>
        <w:t>Net Debt to Adjusted EBITDA</w:t>
      </w:r>
    </w:p>
    <w:p>
      <w:pPr>
        <w:jc w:val="center"/>
        <w:spacing w:after="0" w:line="217" w:lineRule="auto"/>
        <w:rPr>
          <w:sz w:val="20"/>
          <w:szCs w:val="20"/>
          <w:color w:val="auto"/>
        </w:rPr>
      </w:pPr>
      <w:r>
        <w:rPr>
          <w:rFonts w:ascii="Calibri" w:cs="Calibri" w:eastAsia="Calibri" w:hAnsi="Calibri"/>
          <w:sz w:val="18"/>
          <w:szCs w:val="18"/>
          <w:b w:val="1"/>
          <w:bCs w:val="1"/>
          <w:color w:val="auto"/>
        </w:rPr>
        <w:t>As of March 31, 2026 (Unaudited)</w:t>
      </w:r>
    </w:p>
    <w:tbl>
      <w:tblPr>
        <w:tblLayout w:type="fixed"/>
        <w:tblInd w:w="200" w:type="dxa"/>
        <w:tblCellMar>
          <w:top w:w="0" w:type="dxa"/>
          <w:left w:w="0" w:type="dxa"/>
          <w:bottom w:w="0" w:type="dxa"/>
          <w:right w:w="0" w:type="dxa"/>
        </w:tblCellMar>
      </w:tblPr>
      <w:tr>
        <w:trPr>
          <w:trHeight w:val="216"/>
        </w:trPr>
        <w:tc>
          <w:tcPr>
            <w:tcW w:w="6720" w:type="dxa"/>
            <w:vAlign w:val="bottom"/>
          </w:tcPr>
          <w:p>
            <w:pPr>
              <w:ind w:left="2840"/>
              <w:spacing w:after="0" w:line="216" w:lineRule="exact"/>
              <w:rPr>
                <w:sz w:val="20"/>
                <w:szCs w:val="20"/>
                <w:color w:val="auto"/>
              </w:rPr>
            </w:pPr>
            <w:r>
              <w:rPr>
                <w:rFonts w:ascii="Calibri" w:cs="Calibri" w:eastAsia="Calibri" w:hAnsi="Calibri"/>
                <w:sz w:val="18"/>
                <w:szCs w:val="18"/>
                <w:b w:val="1"/>
                <w:bCs w:val="1"/>
                <w:color w:val="auto"/>
                <w:w w:val="98"/>
              </w:rPr>
              <w:t>(Dollars in Thousands, at Company's Pro Rata Share)</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801"/>
        </w:trPr>
        <w:tc>
          <w:tcPr>
            <w:tcW w:w="6720" w:type="dxa"/>
            <w:vAlign w:val="bottom"/>
          </w:tcPr>
          <w:p>
            <w:pPr>
              <w:ind w:left="40"/>
              <w:spacing w:after="0"/>
              <w:rPr>
                <w:sz w:val="20"/>
                <w:szCs w:val="20"/>
                <w:color w:val="auto"/>
              </w:rPr>
            </w:pPr>
            <w:r>
              <w:rPr>
                <w:rFonts w:ascii="Calibri" w:cs="Calibri" w:eastAsia="Calibri" w:hAnsi="Calibri"/>
                <w:sz w:val="18"/>
                <w:szCs w:val="18"/>
                <w:color w:val="auto"/>
              </w:rPr>
              <w:t>Total Company's Pro Rata Share of Debt</w:t>
            </w:r>
          </w:p>
        </w:tc>
        <w:tc>
          <w:tcPr>
            <w:tcW w:w="400" w:type="dxa"/>
            <w:vAlign w:val="bottom"/>
          </w:tcPr>
          <w:p>
            <w:pPr>
              <w:spacing w:after="0"/>
              <w:rPr>
                <w:sz w:val="24"/>
                <w:szCs w:val="24"/>
                <w:color w:val="auto"/>
              </w:rPr>
            </w:pPr>
          </w:p>
        </w:tc>
        <w:tc>
          <w:tcPr>
            <w:tcW w:w="1240" w:type="dxa"/>
            <w:vAlign w:val="bottom"/>
            <w:gridSpan w:val="2"/>
          </w:tcPr>
          <w:p>
            <w:pPr>
              <w:jc w:val="right"/>
              <w:ind w:right="50"/>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ind w:right="10"/>
              <w:spacing w:after="0"/>
              <w:rPr>
                <w:sz w:val="20"/>
                <w:szCs w:val="20"/>
                <w:color w:val="auto"/>
              </w:rPr>
            </w:pPr>
            <w:r>
              <w:rPr>
                <w:rFonts w:ascii="Calibri" w:cs="Calibri" w:eastAsia="Calibri" w:hAnsi="Calibri"/>
                <w:sz w:val="18"/>
                <w:szCs w:val="18"/>
                <w:color w:val="auto"/>
              </w:rPr>
              <w:t>6,451,780</w:t>
            </w:r>
          </w:p>
        </w:tc>
        <w:tc>
          <w:tcPr>
            <w:tcW w:w="320" w:type="dxa"/>
            <w:vAlign w:val="bottom"/>
          </w:tcPr>
          <w:p>
            <w:pPr>
              <w:ind w:left="40"/>
              <w:spacing w:after="0"/>
              <w:rPr>
                <w:sz w:val="20"/>
                <w:szCs w:val="20"/>
                <w:color w:val="auto"/>
              </w:rPr>
            </w:pPr>
            <w:r>
              <w:rPr>
                <w:rFonts w:ascii="Calibri" w:cs="Calibri" w:eastAsia="Calibri" w:hAnsi="Calibri"/>
                <w:sz w:val="14"/>
                <w:szCs w:val="14"/>
                <w:color w:val="auto"/>
              </w:rPr>
              <w:t>(a)</w:t>
            </w:r>
          </w:p>
        </w:tc>
      </w:tr>
      <w:tr>
        <w:trPr>
          <w:trHeight w:val="23"/>
        </w:trPr>
        <w:tc>
          <w:tcPr>
            <w:tcW w:w="6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0"/>
        </w:trPr>
        <w:tc>
          <w:tcPr>
            <w:tcW w:w="6720" w:type="dxa"/>
            <w:vAlign w:val="bottom"/>
            <w:shd w:val="clear" w:color="auto" w:fill="F5F5F5"/>
          </w:tcPr>
          <w:p>
            <w:pPr>
              <w:ind w:left="40"/>
              <w:spacing w:after="0"/>
              <w:rPr>
                <w:sz w:val="20"/>
                <w:szCs w:val="20"/>
                <w:color w:val="auto"/>
              </w:rPr>
            </w:pPr>
            <w:r>
              <w:rPr>
                <w:rFonts w:ascii="Calibri" w:cs="Calibri" w:eastAsia="Calibri" w:hAnsi="Calibri"/>
                <w:sz w:val="18"/>
                <w:szCs w:val="18"/>
                <w:color w:val="auto"/>
              </w:rPr>
              <w:t>Less: Cash, including joint ventures at the Company's share</w:t>
            </w:r>
          </w:p>
        </w:tc>
        <w:tc>
          <w:tcPr>
            <w:tcW w:w="400" w:type="dxa"/>
            <w:vAlign w:val="bottom"/>
            <w:shd w:val="clear" w:color="auto" w:fill="F5F5F5"/>
          </w:tcPr>
          <w:p>
            <w:pPr>
              <w:spacing w:after="0"/>
              <w:rPr>
                <w:sz w:val="22"/>
                <w:szCs w:val="22"/>
                <w:color w:val="auto"/>
              </w:rPr>
            </w:pPr>
          </w:p>
        </w:tc>
        <w:tc>
          <w:tcPr>
            <w:tcW w:w="980" w:type="dxa"/>
            <w:vAlign w:val="bottom"/>
            <w:shd w:val="clear" w:color="auto" w:fill="F5F5F5"/>
          </w:tcPr>
          <w:p>
            <w:pPr>
              <w:spacing w:after="0"/>
              <w:rPr>
                <w:sz w:val="22"/>
                <w:szCs w:val="22"/>
                <w:color w:val="auto"/>
              </w:rPr>
            </w:pPr>
          </w:p>
        </w:tc>
        <w:tc>
          <w:tcPr>
            <w:tcW w:w="260" w:type="dxa"/>
            <w:vAlign w:val="bottom"/>
            <w:shd w:val="clear" w:color="auto" w:fill="F5F5F5"/>
          </w:tcPr>
          <w:p>
            <w:pPr>
              <w:spacing w:after="0"/>
              <w:rPr>
                <w:sz w:val="22"/>
                <w:szCs w:val="22"/>
                <w:color w:val="auto"/>
              </w:rPr>
            </w:pPr>
          </w:p>
        </w:tc>
        <w:tc>
          <w:tcPr>
            <w:tcW w:w="940" w:type="dxa"/>
            <w:vAlign w:val="bottom"/>
            <w:shd w:val="clear" w:color="auto" w:fill="F5F5F5"/>
          </w:tcPr>
          <w:p>
            <w:pPr>
              <w:jc w:val="right"/>
              <w:spacing w:after="0"/>
              <w:rPr>
                <w:sz w:val="20"/>
                <w:szCs w:val="20"/>
                <w:color w:val="auto"/>
              </w:rPr>
            </w:pPr>
            <w:r>
              <w:rPr>
                <w:rFonts w:ascii="Calibri" w:cs="Calibri" w:eastAsia="Calibri" w:hAnsi="Calibri"/>
                <w:sz w:val="18"/>
                <w:szCs w:val="18"/>
                <w:color w:val="auto"/>
              </w:rPr>
              <w:t>(231,628)</w:t>
            </w:r>
          </w:p>
        </w:tc>
        <w:tc>
          <w:tcPr>
            <w:tcW w:w="320" w:type="dxa"/>
            <w:vAlign w:val="bottom"/>
            <w:shd w:val="clear" w:color="auto" w:fill="F5F5F5"/>
          </w:tcPr>
          <w:p>
            <w:pPr>
              <w:spacing w:after="0"/>
              <w:rPr>
                <w:sz w:val="22"/>
                <w:szCs w:val="22"/>
                <w:color w:val="auto"/>
              </w:rPr>
            </w:pPr>
          </w:p>
        </w:tc>
      </w:tr>
      <w:tr>
        <w:trPr>
          <w:trHeight w:val="64"/>
        </w:trPr>
        <w:tc>
          <w:tcPr>
            <w:tcW w:w="6720" w:type="dxa"/>
            <w:vAlign w:val="bottom"/>
            <w:shd w:val="clear" w:color="auto" w:fill="F5F5F5"/>
          </w:tcPr>
          <w:p>
            <w:pPr>
              <w:spacing w:after="0"/>
              <w:rPr>
                <w:sz w:val="5"/>
                <w:szCs w:val="5"/>
                <w:color w:val="auto"/>
              </w:rPr>
            </w:pPr>
          </w:p>
        </w:tc>
        <w:tc>
          <w:tcPr>
            <w:tcW w:w="400" w:type="dxa"/>
            <w:vAlign w:val="bottom"/>
            <w:shd w:val="clear" w:color="auto" w:fill="F5F5F5"/>
          </w:tcPr>
          <w:p>
            <w:pPr>
              <w:spacing w:after="0"/>
              <w:rPr>
                <w:sz w:val="5"/>
                <w:szCs w:val="5"/>
                <w:color w:val="auto"/>
              </w:rPr>
            </w:pPr>
          </w:p>
        </w:tc>
        <w:tc>
          <w:tcPr>
            <w:tcW w:w="980" w:type="dxa"/>
            <w:vAlign w:val="bottom"/>
            <w:shd w:val="clear" w:color="auto" w:fill="F5F5F5"/>
          </w:tcPr>
          <w:p>
            <w:pPr>
              <w:spacing w:after="0"/>
              <w:rPr>
                <w:sz w:val="5"/>
                <w:szCs w:val="5"/>
                <w:color w:val="auto"/>
              </w:rPr>
            </w:pPr>
          </w:p>
        </w:tc>
        <w:tc>
          <w:tcPr>
            <w:tcW w:w="260" w:type="dxa"/>
            <w:vAlign w:val="bottom"/>
            <w:shd w:val="clear" w:color="auto" w:fill="F5F5F5"/>
          </w:tcPr>
          <w:p>
            <w:pPr>
              <w:spacing w:after="0"/>
              <w:rPr>
                <w:sz w:val="5"/>
                <w:szCs w:val="5"/>
                <w:color w:val="auto"/>
              </w:rPr>
            </w:pPr>
          </w:p>
        </w:tc>
        <w:tc>
          <w:tcPr>
            <w:tcW w:w="940" w:type="dxa"/>
            <w:vAlign w:val="bottom"/>
            <w:shd w:val="clear" w:color="auto" w:fill="F5F5F5"/>
          </w:tcPr>
          <w:p>
            <w:pPr>
              <w:spacing w:after="0"/>
              <w:rPr>
                <w:sz w:val="5"/>
                <w:szCs w:val="5"/>
                <w:color w:val="auto"/>
              </w:rPr>
            </w:pPr>
          </w:p>
        </w:tc>
        <w:tc>
          <w:tcPr>
            <w:tcW w:w="320" w:type="dxa"/>
            <w:vAlign w:val="bottom"/>
            <w:shd w:val="clear" w:color="auto" w:fill="F5F5F5"/>
          </w:tcPr>
          <w:p>
            <w:pPr>
              <w:spacing w:after="0"/>
              <w:rPr>
                <w:sz w:val="5"/>
                <w:szCs w:val="5"/>
                <w:color w:val="auto"/>
              </w:rPr>
            </w:pPr>
          </w:p>
        </w:tc>
      </w:tr>
      <w:tr>
        <w:trPr>
          <w:trHeight w:val="225"/>
        </w:trPr>
        <w:tc>
          <w:tcPr>
            <w:tcW w:w="6720" w:type="dxa"/>
            <w:vAlign w:val="bottom"/>
          </w:tcPr>
          <w:p>
            <w:pPr>
              <w:ind w:left="360"/>
              <w:spacing w:after="0" w:line="215" w:lineRule="exact"/>
              <w:rPr>
                <w:sz w:val="20"/>
                <w:szCs w:val="20"/>
                <w:color w:val="auto"/>
              </w:rPr>
            </w:pPr>
            <w:r>
              <w:rPr>
                <w:rFonts w:ascii="Calibri" w:cs="Calibri" w:eastAsia="Calibri" w:hAnsi="Calibri"/>
                <w:sz w:val="18"/>
                <w:szCs w:val="18"/>
                <w:color w:val="auto"/>
              </w:rPr>
              <w:t>Restricted Cash, including joint ventures at the Company's share</w:t>
            </w:r>
          </w:p>
        </w:tc>
        <w:tc>
          <w:tcPr>
            <w:tcW w:w="400" w:type="dxa"/>
            <w:vAlign w:val="bottom"/>
          </w:tcPr>
          <w:p>
            <w:pPr>
              <w:jc w:val="right"/>
              <w:ind w:right="150"/>
              <w:spacing w:after="0"/>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(104,097)</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4"/>
        </w:trPr>
        <w:tc>
          <w:tcPr>
            <w:tcW w:w="6720" w:type="dxa"/>
            <w:vAlign w:val="bottom"/>
            <w:shd w:val="clear" w:color="auto" w:fill="F5F5F5"/>
          </w:tcPr>
          <w:p>
            <w:pPr>
              <w:ind w:left="360"/>
              <w:spacing w:after="0"/>
              <w:rPr>
                <w:sz w:val="20"/>
                <w:szCs w:val="20"/>
                <w:color w:val="auto"/>
              </w:rPr>
            </w:pPr>
            <w:r>
              <w:rPr>
                <w:rFonts w:ascii="Calibri" w:cs="Calibri" w:eastAsia="Calibri" w:hAnsi="Calibri"/>
                <w:sz w:val="18"/>
                <w:szCs w:val="18"/>
                <w:color w:val="auto"/>
              </w:rPr>
              <w:t>Exclude: Restricted Cash that is not loan cash collateral</w:t>
            </w:r>
          </w:p>
        </w:tc>
        <w:tc>
          <w:tcPr>
            <w:tcW w:w="400" w:type="dxa"/>
            <w:vAlign w:val="bottom"/>
            <w:shd w:val="clear" w:color="auto" w:fill="F5F5F5"/>
          </w:tcPr>
          <w:p>
            <w:pPr>
              <w:spacing w:after="0"/>
              <w:rPr>
                <w:sz w:val="20"/>
                <w:szCs w:val="20"/>
                <w:color w:val="auto"/>
              </w:rPr>
            </w:pPr>
          </w:p>
        </w:tc>
        <w:tc>
          <w:tcPr>
            <w:tcW w:w="980" w:type="dxa"/>
            <w:vAlign w:val="bottom"/>
            <w:shd w:val="clear" w:color="auto" w:fill="F5F5F5"/>
          </w:tcPr>
          <w:p>
            <w:pPr>
              <w:jc w:val="right"/>
              <w:ind w:right="10"/>
              <w:spacing w:after="0"/>
              <w:rPr>
                <w:sz w:val="20"/>
                <w:szCs w:val="20"/>
                <w:color w:val="auto"/>
              </w:rPr>
            </w:pPr>
            <w:r>
              <w:rPr>
                <w:rFonts w:ascii="Calibri" w:cs="Calibri" w:eastAsia="Calibri" w:hAnsi="Calibri"/>
                <w:sz w:val="18"/>
                <w:szCs w:val="18"/>
                <w:color w:val="auto"/>
              </w:rPr>
              <w:t>48,491</w:t>
            </w:r>
          </w:p>
        </w:tc>
        <w:tc>
          <w:tcPr>
            <w:tcW w:w="260" w:type="dxa"/>
            <w:vAlign w:val="bottom"/>
            <w:shd w:val="clear" w:color="auto" w:fill="F5F5F5"/>
          </w:tcPr>
          <w:p>
            <w:pPr>
              <w:spacing w:after="0"/>
              <w:rPr>
                <w:sz w:val="20"/>
                <w:szCs w:val="20"/>
                <w:color w:val="auto"/>
              </w:rPr>
            </w:pPr>
          </w:p>
        </w:tc>
        <w:tc>
          <w:tcPr>
            <w:tcW w:w="940" w:type="dxa"/>
            <w:vAlign w:val="bottom"/>
            <w:shd w:val="clear" w:color="auto" w:fill="F5F5F5"/>
          </w:tcPr>
          <w:p>
            <w:pPr>
              <w:spacing w:after="0"/>
              <w:rPr>
                <w:sz w:val="20"/>
                <w:szCs w:val="20"/>
                <w:color w:val="auto"/>
              </w:rPr>
            </w:pPr>
          </w:p>
        </w:tc>
        <w:tc>
          <w:tcPr>
            <w:tcW w:w="320" w:type="dxa"/>
            <w:vAlign w:val="bottom"/>
            <w:shd w:val="clear" w:color="auto" w:fill="F5F5F5"/>
          </w:tcPr>
          <w:p>
            <w:pPr>
              <w:spacing w:after="0"/>
              <w:rPr>
                <w:sz w:val="20"/>
                <w:szCs w:val="20"/>
                <w:color w:val="auto"/>
              </w:rPr>
            </w:pPr>
          </w:p>
        </w:tc>
      </w:tr>
      <w:tr>
        <w:trPr>
          <w:trHeight w:val="222"/>
        </w:trPr>
        <w:tc>
          <w:tcPr>
            <w:tcW w:w="6720" w:type="dxa"/>
            <w:vAlign w:val="bottom"/>
          </w:tcPr>
          <w:p>
            <w:pPr>
              <w:ind w:left="40"/>
              <w:spacing w:after="0" w:line="215" w:lineRule="exact"/>
              <w:rPr>
                <w:sz w:val="20"/>
                <w:szCs w:val="20"/>
                <w:color w:val="auto"/>
              </w:rPr>
            </w:pPr>
            <w:r>
              <w:rPr>
                <w:rFonts w:ascii="Calibri" w:cs="Calibri" w:eastAsia="Calibri" w:hAnsi="Calibri"/>
                <w:sz w:val="18"/>
                <w:szCs w:val="18"/>
                <w:color w:val="auto"/>
              </w:rPr>
              <w:t>Less: Restricted Cash - loan cash collateral</w:t>
            </w: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(55,606)</w:t>
            </w:r>
          </w:p>
        </w:tc>
        <w:tc>
          <w:tcPr>
            <w:tcW w:w="320" w:type="dxa"/>
            <w:vAlign w:val="bottom"/>
          </w:tcPr>
          <w:p>
            <w:pPr>
              <w:ind w:left="40"/>
              <w:spacing w:after="0"/>
              <w:rPr>
                <w:sz w:val="20"/>
                <w:szCs w:val="20"/>
                <w:color w:val="auto"/>
              </w:rPr>
            </w:pPr>
            <w:r>
              <w:rPr>
                <w:rFonts w:ascii="Calibri" w:cs="Calibri" w:eastAsia="Calibri" w:hAnsi="Calibri"/>
                <w:sz w:val="14"/>
                <w:szCs w:val="14"/>
                <w:color w:val="auto"/>
              </w:rPr>
              <w:t>(b)</w:t>
            </w:r>
          </w:p>
        </w:tc>
      </w:tr>
      <w:tr>
        <w:trPr>
          <w:trHeight w:val="237"/>
        </w:trPr>
        <w:tc>
          <w:tcPr>
            <w:tcW w:w="6720" w:type="dxa"/>
            <w:vAlign w:val="bottom"/>
            <w:shd w:val="clear" w:color="auto" w:fill="F5F5F5"/>
          </w:tcPr>
          <w:p>
            <w:pPr>
              <w:ind w:left="40"/>
              <w:spacing w:after="0"/>
              <w:rPr>
                <w:sz w:val="20"/>
                <w:szCs w:val="20"/>
                <w:color w:val="auto"/>
              </w:rPr>
            </w:pPr>
            <w:r>
              <w:rPr>
                <w:rFonts w:ascii="Calibri" w:cs="Calibri" w:eastAsia="Calibri" w:hAnsi="Calibri"/>
                <w:sz w:val="18"/>
                <w:szCs w:val="18"/>
                <w:color w:val="auto"/>
              </w:rPr>
              <w:t>Less: Debt for Santa Monica Place (lender-controlled)</w:t>
            </w:r>
          </w:p>
        </w:tc>
        <w:tc>
          <w:tcPr>
            <w:tcW w:w="400" w:type="dxa"/>
            <w:vAlign w:val="bottom"/>
            <w:shd w:val="clear" w:color="auto" w:fill="F5F5F5"/>
          </w:tcPr>
          <w:p>
            <w:pPr>
              <w:spacing w:after="0"/>
              <w:rPr>
                <w:sz w:val="20"/>
                <w:szCs w:val="20"/>
                <w:color w:val="auto"/>
              </w:rPr>
            </w:pPr>
          </w:p>
        </w:tc>
        <w:tc>
          <w:tcPr>
            <w:tcW w:w="980" w:type="dxa"/>
            <w:vAlign w:val="bottom"/>
            <w:shd w:val="clear" w:color="auto" w:fill="F5F5F5"/>
          </w:tcPr>
          <w:p>
            <w:pPr>
              <w:spacing w:after="0"/>
              <w:rPr>
                <w:sz w:val="20"/>
                <w:szCs w:val="20"/>
                <w:color w:val="auto"/>
              </w:rPr>
            </w:pPr>
          </w:p>
        </w:tc>
        <w:tc>
          <w:tcPr>
            <w:tcW w:w="260" w:type="dxa"/>
            <w:vAlign w:val="bottom"/>
            <w:tcBorders>
              <w:bottom w:val="single" w:sz="8" w:color="auto"/>
            </w:tcBorders>
            <w:shd w:val="clear" w:color="auto" w:fill="F5F5F5"/>
          </w:tcPr>
          <w:p>
            <w:pPr>
              <w:spacing w:after="0"/>
              <w:rPr>
                <w:sz w:val="20"/>
                <w:szCs w:val="20"/>
                <w:color w:val="auto"/>
              </w:rPr>
            </w:pPr>
          </w:p>
        </w:tc>
        <w:tc>
          <w:tcPr>
            <w:tcW w:w="940" w:type="dxa"/>
            <w:vAlign w:val="bottom"/>
            <w:tcBorders>
              <w:bottom w:val="single" w:sz="8" w:color="auto"/>
            </w:tcBorders>
            <w:shd w:val="clear" w:color="auto" w:fill="F5F5F5"/>
          </w:tcPr>
          <w:p>
            <w:pPr>
              <w:jc w:val="right"/>
              <w:spacing w:after="0"/>
              <w:rPr>
                <w:sz w:val="20"/>
                <w:szCs w:val="20"/>
                <w:color w:val="auto"/>
              </w:rPr>
            </w:pPr>
            <w:r>
              <w:rPr>
                <w:rFonts w:ascii="Calibri" w:cs="Calibri" w:eastAsia="Calibri" w:hAnsi="Calibri"/>
                <w:sz w:val="18"/>
                <w:szCs w:val="18"/>
                <w:color w:val="auto"/>
              </w:rPr>
              <w:t>(300,000)</w:t>
            </w:r>
          </w:p>
        </w:tc>
        <w:tc>
          <w:tcPr>
            <w:tcW w:w="320" w:type="dxa"/>
            <w:vAlign w:val="bottom"/>
            <w:shd w:val="clear" w:color="auto" w:fill="F5F5F5"/>
          </w:tcPr>
          <w:p>
            <w:pPr>
              <w:spacing w:after="0"/>
              <w:rPr>
                <w:sz w:val="20"/>
                <w:szCs w:val="20"/>
                <w:color w:val="auto"/>
              </w:rPr>
            </w:pPr>
          </w:p>
        </w:tc>
      </w:tr>
      <w:tr>
        <w:trPr>
          <w:trHeight w:val="334"/>
        </w:trPr>
        <w:tc>
          <w:tcPr>
            <w:tcW w:w="6720" w:type="dxa"/>
            <w:vAlign w:val="bottom"/>
          </w:tcPr>
          <w:p>
            <w:pPr>
              <w:ind w:left="40"/>
              <w:spacing w:after="0"/>
              <w:rPr>
                <w:sz w:val="20"/>
                <w:szCs w:val="20"/>
                <w:color w:val="auto"/>
              </w:rPr>
            </w:pPr>
            <w:r>
              <w:rPr>
                <w:rFonts w:ascii="Calibri" w:cs="Calibri" w:eastAsia="Calibri" w:hAnsi="Calibri"/>
                <w:sz w:val="18"/>
                <w:szCs w:val="18"/>
                <w:color w:val="auto"/>
              </w:rPr>
              <w:t>Net Debt</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Calibri" w:cs="Calibri" w:eastAsia="Calibri" w:hAnsi="Calibri"/>
                <w:sz w:val="18"/>
                <w:szCs w:val="18"/>
                <w:color w:val="auto"/>
              </w:rPr>
              <w:t>5,864,546</w:t>
            </w:r>
          </w:p>
        </w:tc>
        <w:tc>
          <w:tcPr>
            <w:tcW w:w="320" w:type="dxa"/>
            <w:vAlign w:val="bottom"/>
          </w:tcPr>
          <w:p>
            <w:pPr>
              <w:ind w:left="40"/>
              <w:spacing w:after="0"/>
              <w:rPr>
                <w:sz w:val="20"/>
                <w:szCs w:val="20"/>
                <w:color w:val="auto"/>
              </w:rPr>
            </w:pPr>
            <w:r>
              <w:rPr>
                <w:rFonts w:ascii="Calibri" w:cs="Calibri" w:eastAsia="Calibri" w:hAnsi="Calibri"/>
                <w:sz w:val="14"/>
                <w:szCs w:val="14"/>
                <w:color w:val="auto"/>
              </w:rPr>
              <w:t>(c)</w:t>
            </w:r>
          </w:p>
        </w:tc>
      </w:tr>
      <w:tr>
        <w:trPr>
          <w:trHeight w:val="37"/>
        </w:trPr>
        <w:tc>
          <w:tcPr>
            <w:tcW w:w="6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30"/>
        </w:trPr>
        <w:tc>
          <w:tcPr>
            <w:tcW w:w="6720" w:type="dxa"/>
            <w:vAlign w:val="bottom"/>
            <w:shd w:val="clear" w:color="auto" w:fill="F5F5F5"/>
          </w:tcPr>
          <w:p>
            <w:pPr>
              <w:spacing w:after="0"/>
              <w:rPr>
                <w:sz w:val="19"/>
                <w:szCs w:val="19"/>
                <w:color w:val="auto"/>
              </w:rPr>
            </w:pPr>
          </w:p>
        </w:tc>
        <w:tc>
          <w:tcPr>
            <w:tcW w:w="400" w:type="dxa"/>
            <w:vAlign w:val="bottom"/>
            <w:shd w:val="clear" w:color="auto" w:fill="F5F5F5"/>
          </w:tcPr>
          <w:p>
            <w:pPr>
              <w:spacing w:after="0"/>
              <w:rPr>
                <w:sz w:val="19"/>
                <w:szCs w:val="19"/>
                <w:color w:val="auto"/>
              </w:rPr>
            </w:pPr>
          </w:p>
        </w:tc>
        <w:tc>
          <w:tcPr>
            <w:tcW w:w="980" w:type="dxa"/>
            <w:vAlign w:val="bottom"/>
            <w:shd w:val="clear" w:color="auto" w:fill="F5F5F5"/>
          </w:tcPr>
          <w:p>
            <w:pPr>
              <w:spacing w:after="0"/>
              <w:rPr>
                <w:sz w:val="19"/>
                <w:szCs w:val="19"/>
                <w:color w:val="auto"/>
              </w:rPr>
            </w:pPr>
          </w:p>
        </w:tc>
        <w:tc>
          <w:tcPr>
            <w:tcW w:w="260" w:type="dxa"/>
            <w:vAlign w:val="bottom"/>
            <w:shd w:val="clear" w:color="auto" w:fill="F5F5F5"/>
          </w:tcPr>
          <w:p>
            <w:pPr>
              <w:spacing w:after="0"/>
              <w:rPr>
                <w:sz w:val="19"/>
                <w:szCs w:val="19"/>
                <w:color w:val="auto"/>
              </w:rPr>
            </w:pPr>
          </w:p>
        </w:tc>
        <w:tc>
          <w:tcPr>
            <w:tcW w:w="940" w:type="dxa"/>
            <w:vAlign w:val="bottom"/>
            <w:shd w:val="clear" w:color="auto" w:fill="F5F5F5"/>
          </w:tcPr>
          <w:p>
            <w:pPr>
              <w:spacing w:after="0"/>
              <w:rPr>
                <w:sz w:val="19"/>
                <w:szCs w:val="19"/>
                <w:color w:val="auto"/>
              </w:rPr>
            </w:pPr>
          </w:p>
        </w:tc>
        <w:tc>
          <w:tcPr>
            <w:tcW w:w="320" w:type="dxa"/>
            <w:vAlign w:val="bottom"/>
            <w:shd w:val="clear" w:color="auto" w:fill="F5F5F5"/>
          </w:tcPr>
          <w:p>
            <w:pPr>
              <w:spacing w:after="0"/>
              <w:rPr>
                <w:sz w:val="19"/>
                <w:szCs w:val="19"/>
                <w:color w:val="auto"/>
              </w:rPr>
            </w:pPr>
          </w:p>
        </w:tc>
      </w:tr>
      <w:tr>
        <w:trPr>
          <w:trHeight w:val="224"/>
        </w:trPr>
        <w:tc>
          <w:tcPr>
            <w:tcW w:w="6720" w:type="dxa"/>
            <w:vAlign w:val="bottom"/>
          </w:tcPr>
          <w:p>
            <w:pPr>
              <w:ind w:left="40"/>
              <w:spacing w:after="0" w:line="215" w:lineRule="exact"/>
              <w:rPr>
                <w:sz w:val="20"/>
                <w:szCs w:val="20"/>
                <w:color w:val="auto"/>
              </w:rPr>
            </w:pPr>
            <w:r>
              <w:rPr>
                <w:rFonts w:ascii="Calibri" w:cs="Calibri" w:eastAsia="Calibri" w:hAnsi="Calibri"/>
                <w:sz w:val="18"/>
                <w:szCs w:val="18"/>
                <w:color w:val="auto"/>
              </w:rPr>
              <w:t>Adjusted EBITDA (trailing twelve months)</w:t>
            </w:r>
          </w:p>
        </w:tc>
        <w:tc>
          <w:tcPr>
            <w:tcW w:w="400" w:type="dxa"/>
            <w:vAlign w:val="bottom"/>
          </w:tcPr>
          <w:p>
            <w:pPr>
              <w:jc w:val="right"/>
              <w:ind w:right="150"/>
              <w:spacing w:after="0"/>
              <w:rPr>
                <w:sz w:val="20"/>
                <w:szCs w:val="20"/>
                <w:color w:val="auto"/>
              </w:rPr>
            </w:pPr>
            <w:r>
              <w:rPr>
                <w:rFonts w:ascii="Calibri" w:cs="Calibri" w:eastAsia="Calibri" w:hAnsi="Calibri"/>
                <w:sz w:val="18"/>
                <w:szCs w:val="18"/>
                <w:color w:val="auto"/>
              </w:rPr>
              <w:t>$</w:t>
            </w:r>
          </w:p>
        </w:tc>
        <w:tc>
          <w:tcPr>
            <w:tcW w:w="980" w:type="dxa"/>
            <w:vAlign w:val="bottom"/>
          </w:tcPr>
          <w:p>
            <w:pPr>
              <w:jc w:val="right"/>
              <w:ind w:right="10"/>
              <w:spacing w:after="0"/>
              <w:rPr>
                <w:sz w:val="20"/>
                <w:szCs w:val="20"/>
                <w:color w:val="auto"/>
              </w:rPr>
            </w:pPr>
            <w:r>
              <w:rPr>
                <w:rFonts w:ascii="Calibri" w:cs="Calibri" w:eastAsia="Calibri" w:hAnsi="Calibri"/>
                <w:sz w:val="18"/>
                <w:szCs w:val="18"/>
                <w:color w:val="auto"/>
              </w:rPr>
              <w:t>720,926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Calibri" w:cs="Calibri" w:eastAsia="Calibri" w:hAnsi="Calibri"/>
                <w:sz w:val="14"/>
                <w:szCs w:val="14"/>
                <w:color w:val="auto"/>
              </w:rPr>
              <w:t>(d)</w:t>
            </w:r>
          </w:p>
        </w:tc>
      </w:tr>
      <w:tr>
        <w:trPr>
          <w:trHeight w:val="235"/>
        </w:trPr>
        <w:tc>
          <w:tcPr>
            <w:tcW w:w="6720" w:type="dxa"/>
            <w:vAlign w:val="bottom"/>
            <w:shd w:val="clear" w:color="auto" w:fill="F5F5F5"/>
          </w:tcPr>
          <w:p>
            <w:pPr>
              <w:ind w:left="40"/>
              <w:spacing w:after="0"/>
              <w:rPr>
                <w:sz w:val="20"/>
                <w:szCs w:val="20"/>
                <w:color w:val="auto"/>
              </w:rPr>
            </w:pPr>
            <w:r>
              <w:rPr>
                <w:rFonts w:ascii="Calibri" w:cs="Calibri" w:eastAsia="Calibri" w:hAnsi="Calibri"/>
                <w:sz w:val="18"/>
                <w:szCs w:val="18"/>
                <w:color w:val="auto"/>
              </w:rPr>
              <w:t>Plus: Leasing expenses (trailing twelve months)</w:t>
            </w:r>
          </w:p>
        </w:tc>
        <w:tc>
          <w:tcPr>
            <w:tcW w:w="400" w:type="dxa"/>
            <w:vAlign w:val="bottom"/>
            <w:shd w:val="clear" w:color="auto" w:fill="F5F5F5"/>
          </w:tcPr>
          <w:p>
            <w:pPr>
              <w:spacing w:after="0"/>
              <w:rPr>
                <w:sz w:val="20"/>
                <w:szCs w:val="20"/>
                <w:color w:val="auto"/>
              </w:rPr>
            </w:pPr>
          </w:p>
        </w:tc>
        <w:tc>
          <w:tcPr>
            <w:tcW w:w="980" w:type="dxa"/>
            <w:vAlign w:val="bottom"/>
            <w:shd w:val="clear" w:color="auto" w:fill="F5F5F5"/>
          </w:tcPr>
          <w:p>
            <w:pPr>
              <w:jc w:val="right"/>
              <w:ind w:right="10"/>
              <w:spacing w:after="0"/>
              <w:rPr>
                <w:sz w:val="20"/>
                <w:szCs w:val="20"/>
                <w:color w:val="auto"/>
              </w:rPr>
            </w:pPr>
            <w:r>
              <w:rPr>
                <w:rFonts w:ascii="Calibri" w:cs="Calibri" w:eastAsia="Calibri" w:hAnsi="Calibri"/>
                <w:sz w:val="18"/>
                <w:szCs w:val="18"/>
                <w:color w:val="auto"/>
              </w:rPr>
              <w:t>52,090</w:t>
            </w:r>
          </w:p>
        </w:tc>
        <w:tc>
          <w:tcPr>
            <w:tcW w:w="260" w:type="dxa"/>
            <w:vAlign w:val="bottom"/>
            <w:shd w:val="clear" w:color="auto" w:fill="F5F5F5"/>
          </w:tcPr>
          <w:p>
            <w:pPr>
              <w:spacing w:after="0"/>
              <w:rPr>
                <w:sz w:val="20"/>
                <w:szCs w:val="20"/>
                <w:color w:val="auto"/>
              </w:rPr>
            </w:pPr>
          </w:p>
        </w:tc>
        <w:tc>
          <w:tcPr>
            <w:tcW w:w="940" w:type="dxa"/>
            <w:vAlign w:val="bottom"/>
            <w:shd w:val="clear" w:color="auto" w:fill="F5F5F5"/>
          </w:tcPr>
          <w:p>
            <w:pPr>
              <w:spacing w:after="0"/>
              <w:rPr>
                <w:sz w:val="20"/>
                <w:szCs w:val="20"/>
                <w:color w:val="auto"/>
              </w:rPr>
            </w:pPr>
          </w:p>
        </w:tc>
        <w:tc>
          <w:tcPr>
            <w:tcW w:w="320" w:type="dxa"/>
            <w:vAlign w:val="bottom"/>
            <w:shd w:val="clear" w:color="auto" w:fill="F5F5F5"/>
          </w:tcPr>
          <w:p>
            <w:pPr>
              <w:ind w:left="40"/>
              <w:spacing w:after="0"/>
              <w:rPr>
                <w:sz w:val="20"/>
                <w:szCs w:val="20"/>
                <w:color w:val="auto"/>
              </w:rPr>
            </w:pPr>
            <w:r>
              <w:rPr>
                <w:rFonts w:ascii="Calibri" w:cs="Calibri" w:eastAsia="Calibri" w:hAnsi="Calibri"/>
                <w:sz w:val="14"/>
                <w:szCs w:val="14"/>
                <w:color w:val="auto"/>
              </w:rPr>
              <w:t>(e)</w:t>
            </w:r>
          </w:p>
        </w:tc>
      </w:tr>
      <w:tr>
        <w:trPr>
          <w:trHeight w:val="153"/>
        </w:trPr>
        <w:tc>
          <w:tcPr>
            <w:tcW w:w="6720" w:type="dxa"/>
            <w:vAlign w:val="bottom"/>
          </w:tcPr>
          <w:p>
            <w:pPr>
              <w:ind w:left="40"/>
              <w:spacing w:after="0" w:line="153" w:lineRule="exact"/>
              <w:rPr>
                <w:sz w:val="20"/>
                <w:szCs w:val="20"/>
                <w:color w:val="auto"/>
              </w:rPr>
            </w:pPr>
            <w:r>
              <w:rPr>
                <w:rFonts w:ascii="Calibri" w:cs="Calibri" w:eastAsia="Calibri" w:hAnsi="Calibri"/>
                <w:sz w:val="16"/>
                <w:szCs w:val="16"/>
                <w:color w:val="auto"/>
              </w:rPr>
              <w:t>Plus: EBITDA Impact from investment (gains)/losses on non-real estate investments</w:t>
            </w: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28"/>
        </w:trPr>
        <w:tc>
          <w:tcPr>
            <w:tcW w:w="6720" w:type="dxa"/>
            <w:vAlign w:val="bottom"/>
          </w:tcPr>
          <w:p>
            <w:pPr>
              <w:ind w:left="40"/>
              <w:spacing w:after="0" w:line="215" w:lineRule="exact"/>
              <w:rPr>
                <w:sz w:val="20"/>
                <w:szCs w:val="20"/>
                <w:color w:val="auto"/>
              </w:rPr>
            </w:pPr>
            <w:r>
              <w:rPr>
                <w:rFonts w:ascii="Calibri" w:cs="Calibri" w:eastAsia="Calibri" w:hAnsi="Calibri"/>
                <w:sz w:val="18"/>
                <w:szCs w:val="18"/>
                <w:color w:val="auto"/>
              </w:rPr>
              <w:t>(trailing twelve months)</w:t>
            </w:r>
          </w:p>
        </w:tc>
        <w:tc>
          <w:tcPr>
            <w:tcW w:w="4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Calibri" w:cs="Calibri" w:eastAsia="Calibri" w:hAnsi="Calibri"/>
                <w:sz w:val="18"/>
                <w:szCs w:val="18"/>
                <w:color w:val="auto"/>
              </w:rPr>
              <w:t>11,080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Calibri" w:cs="Calibri" w:eastAsia="Calibri" w:hAnsi="Calibri"/>
                <w:sz w:val="14"/>
                <w:szCs w:val="14"/>
                <w:color w:val="auto"/>
              </w:rPr>
              <w:t>(f)</w:t>
            </w:r>
          </w:p>
        </w:tc>
      </w:tr>
      <w:tr>
        <w:trPr>
          <w:trHeight w:val="37"/>
        </w:trPr>
        <w:tc>
          <w:tcPr>
            <w:tcW w:w="6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29"/>
        </w:trPr>
        <w:tc>
          <w:tcPr>
            <w:tcW w:w="6720" w:type="dxa"/>
            <w:vAlign w:val="bottom"/>
            <w:shd w:val="clear" w:color="auto" w:fill="F5F5F5"/>
          </w:tcPr>
          <w:p>
            <w:pPr>
              <w:ind w:left="40"/>
              <w:spacing w:after="0" w:line="215" w:lineRule="exact"/>
              <w:rPr>
                <w:sz w:val="20"/>
                <w:szCs w:val="20"/>
                <w:color w:val="auto"/>
              </w:rPr>
            </w:pPr>
            <w:r>
              <w:rPr>
                <w:rFonts w:ascii="Calibri" w:cs="Calibri" w:eastAsia="Calibri" w:hAnsi="Calibri"/>
                <w:sz w:val="18"/>
                <w:szCs w:val="18"/>
                <w:color w:val="auto"/>
              </w:rPr>
              <w:t>Plus: adjustment for acquisitons and dispositons (trailing twelve months)</w:t>
            </w:r>
          </w:p>
        </w:tc>
        <w:tc>
          <w:tcPr>
            <w:tcW w:w="400" w:type="dxa"/>
            <w:vAlign w:val="bottom"/>
            <w:shd w:val="clear" w:color="auto" w:fill="F5F5F5"/>
          </w:tcPr>
          <w:p>
            <w:pPr>
              <w:spacing w:after="0"/>
              <w:rPr>
                <w:sz w:val="19"/>
                <w:szCs w:val="19"/>
                <w:color w:val="auto"/>
              </w:rPr>
            </w:pPr>
          </w:p>
        </w:tc>
        <w:tc>
          <w:tcPr>
            <w:tcW w:w="980" w:type="dxa"/>
            <w:vAlign w:val="bottom"/>
            <w:shd w:val="clear" w:color="auto" w:fill="F5F5F5"/>
          </w:tcPr>
          <w:p>
            <w:pPr>
              <w:jc w:val="right"/>
              <w:spacing w:after="0" w:line="215" w:lineRule="exact"/>
              <w:rPr>
                <w:sz w:val="20"/>
                <w:szCs w:val="20"/>
                <w:color w:val="auto"/>
              </w:rPr>
            </w:pPr>
            <w:r>
              <w:rPr>
                <w:rFonts w:ascii="Calibri" w:cs="Calibri" w:eastAsia="Calibri" w:hAnsi="Calibri"/>
                <w:sz w:val="18"/>
                <w:szCs w:val="18"/>
                <w:color w:val="auto"/>
              </w:rPr>
              <w:t>(15,954)</w:t>
            </w:r>
          </w:p>
        </w:tc>
        <w:tc>
          <w:tcPr>
            <w:tcW w:w="260" w:type="dxa"/>
            <w:vAlign w:val="bottom"/>
            <w:shd w:val="clear" w:color="auto" w:fill="F5F5F5"/>
          </w:tcPr>
          <w:p>
            <w:pPr>
              <w:spacing w:after="0"/>
              <w:rPr>
                <w:sz w:val="19"/>
                <w:szCs w:val="19"/>
                <w:color w:val="auto"/>
              </w:rPr>
            </w:pPr>
          </w:p>
        </w:tc>
        <w:tc>
          <w:tcPr>
            <w:tcW w:w="940" w:type="dxa"/>
            <w:vAlign w:val="bottom"/>
            <w:shd w:val="clear" w:color="auto" w:fill="F5F5F5"/>
          </w:tcPr>
          <w:p>
            <w:pPr>
              <w:spacing w:after="0"/>
              <w:rPr>
                <w:sz w:val="19"/>
                <w:szCs w:val="19"/>
                <w:color w:val="auto"/>
              </w:rPr>
            </w:pPr>
          </w:p>
        </w:tc>
        <w:tc>
          <w:tcPr>
            <w:tcW w:w="320" w:type="dxa"/>
            <w:vAlign w:val="bottom"/>
            <w:shd w:val="clear" w:color="auto" w:fill="F5F5F5"/>
          </w:tcPr>
          <w:p>
            <w:pPr>
              <w:ind w:left="40"/>
              <w:spacing w:after="0"/>
              <w:rPr>
                <w:sz w:val="20"/>
                <w:szCs w:val="20"/>
                <w:color w:val="auto"/>
              </w:rPr>
            </w:pPr>
            <w:r>
              <w:rPr>
                <w:rFonts w:ascii="Calibri" w:cs="Calibri" w:eastAsia="Calibri" w:hAnsi="Calibri"/>
                <w:sz w:val="14"/>
                <w:szCs w:val="14"/>
                <w:color w:val="auto"/>
              </w:rPr>
              <w:t>(g)</w:t>
            </w:r>
          </w:p>
        </w:tc>
      </w:tr>
      <w:tr>
        <w:trPr>
          <w:trHeight w:val="223"/>
        </w:trPr>
        <w:tc>
          <w:tcPr>
            <w:tcW w:w="6720" w:type="dxa"/>
            <w:vAlign w:val="bottom"/>
            <w:tcBorders>
              <w:bottom w:val="single" w:sz="8" w:color="F5F5F5"/>
            </w:tcBorders>
          </w:tcPr>
          <w:p>
            <w:pPr>
              <w:ind w:left="40"/>
              <w:spacing w:after="0" w:line="215" w:lineRule="exact"/>
              <w:rPr>
                <w:sz w:val="20"/>
                <w:szCs w:val="20"/>
                <w:color w:val="auto"/>
              </w:rPr>
            </w:pPr>
            <w:r>
              <w:rPr>
                <w:rFonts w:ascii="Calibri" w:cs="Calibri" w:eastAsia="Calibri" w:hAnsi="Calibri"/>
                <w:sz w:val="18"/>
                <w:szCs w:val="18"/>
                <w:color w:val="auto"/>
              </w:rPr>
              <w:t>Plus: Other adjustments (trailing twelve months)</w:t>
            </w:r>
          </w:p>
        </w:tc>
        <w:tc>
          <w:tcPr>
            <w:tcW w:w="400" w:type="dxa"/>
            <w:vAlign w:val="bottom"/>
            <w:tcBorders>
              <w:bottom w:val="single" w:sz="8" w:color="F5F5F5"/>
            </w:tcBorders>
          </w:tcPr>
          <w:p>
            <w:pPr>
              <w:spacing w:after="0"/>
              <w:rPr>
                <w:sz w:val="19"/>
                <w:szCs w:val="19"/>
                <w:color w:val="auto"/>
              </w:rPr>
            </w:pPr>
          </w:p>
        </w:tc>
        <w:tc>
          <w:tcPr>
            <w:tcW w:w="980" w:type="dxa"/>
            <w:vAlign w:val="bottom"/>
            <w:tcBorders>
              <w:bottom w:val="single" w:sz="8" w:color="F5F5F5"/>
            </w:tcBorders>
          </w:tcPr>
          <w:p>
            <w:pPr>
              <w:jc w:val="right"/>
              <w:spacing w:after="0" w:line="215" w:lineRule="exact"/>
              <w:rPr>
                <w:sz w:val="20"/>
                <w:szCs w:val="20"/>
                <w:color w:val="auto"/>
              </w:rPr>
            </w:pPr>
            <w:r>
              <w:rPr>
                <w:rFonts w:ascii="Calibri" w:cs="Calibri" w:eastAsia="Calibri" w:hAnsi="Calibri"/>
                <w:sz w:val="18"/>
                <w:szCs w:val="18"/>
                <w:color w:val="auto"/>
              </w:rPr>
              <w:t>(12,704)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F5F5F5"/>
            </w:tcBorders>
          </w:tcPr>
          <w:p>
            <w:pPr>
              <w:ind w:left="40"/>
              <w:spacing w:after="0"/>
              <w:rPr>
                <w:sz w:val="20"/>
                <w:szCs w:val="20"/>
                <w:color w:val="auto"/>
              </w:rPr>
            </w:pPr>
            <w:r>
              <w:rPr>
                <w:rFonts w:ascii="Calibri" w:cs="Calibri" w:eastAsia="Calibri" w:hAnsi="Calibri"/>
                <w:sz w:val="14"/>
                <w:szCs w:val="14"/>
                <w:color w:val="auto"/>
              </w:rPr>
              <w:t>(h)</w:t>
            </w:r>
          </w:p>
        </w:tc>
      </w:tr>
      <w:tr>
        <w:trPr>
          <w:trHeight w:val="216"/>
        </w:trPr>
        <w:tc>
          <w:tcPr>
            <w:tcW w:w="6720" w:type="dxa"/>
            <w:vAlign w:val="bottom"/>
            <w:shd w:val="clear" w:color="auto" w:fill="F5F5F5"/>
          </w:tcPr>
          <w:p>
            <w:pPr>
              <w:ind w:left="360"/>
              <w:spacing w:after="0" w:line="202" w:lineRule="exact"/>
              <w:rPr>
                <w:sz w:val="20"/>
                <w:szCs w:val="20"/>
                <w:color w:val="auto"/>
              </w:rPr>
            </w:pPr>
            <w:r>
              <w:rPr>
                <w:rFonts w:ascii="Calibri" w:cs="Calibri" w:eastAsia="Calibri" w:hAnsi="Calibri"/>
                <w:sz w:val="18"/>
                <w:szCs w:val="18"/>
                <w:color w:val="auto"/>
              </w:rPr>
              <w:t>Adjusted EBITDA, as further modifed (trailing twelve months)</w:t>
            </w:r>
          </w:p>
        </w:tc>
        <w:tc>
          <w:tcPr>
            <w:tcW w:w="400" w:type="dxa"/>
            <w:vAlign w:val="bottom"/>
            <w:shd w:val="clear" w:color="auto" w:fill="F5F5F5"/>
          </w:tcPr>
          <w:p>
            <w:pPr>
              <w:spacing w:after="0"/>
              <w:rPr>
                <w:sz w:val="18"/>
                <w:szCs w:val="18"/>
                <w:color w:val="auto"/>
              </w:rPr>
            </w:pPr>
          </w:p>
        </w:tc>
        <w:tc>
          <w:tcPr>
            <w:tcW w:w="980" w:type="dxa"/>
            <w:vAlign w:val="bottom"/>
            <w:shd w:val="clear" w:color="auto" w:fill="F5F5F5"/>
          </w:tcPr>
          <w:p>
            <w:pPr>
              <w:spacing w:after="0"/>
              <w:rPr>
                <w:sz w:val="18"/>
                <w:szCs w:val="18"/>
                <w:color w:val="auto"/>
              </w:rPr>
            </w:pPr>
          </w:p>
        </w:tc>
        <w:tc>
          <w:tcPr>
            <w:tcW w:w="260" w:type="dxa"/>
            <w:vAlign w:val="bottom"/>
            <w:tcBorders>
              <w:bottom w:val="single" w:sz="8" w:color="auto"/>
            </w:tcBorders>
            <w:shd w:val="clear" w:color="auto" w:fill="F5F5F5"/>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Borders>
              <w:bottom w:val="single" w:sz="8" w:color="auto"/>
            </w:tcBorders>
            <w:shd w:val="clear" w:color="auto" w:fill="F5F5F5"/>
          </w:tcPr>
          <w:p>
            <w:pPr>
              <w:jc w:val="right"/>
              <w:ind w:right="10"/>
              <w:spacing w:after="0" w:line="215" w:lineRule="exact"/>
              <w:rPr>
                <w:sz w:val="20"/>
                <w:szCs w:val="20"/>
                <w:color w:val="auto"/>
              </w:rPr>
            </w:pPr>
            <w:r>
              <w:rPr>
                <w:rFonts w:ascii="Calibri" w:cs="Calibri" w:eastAsia="Calibri" w:hAnsi="Calibri"/>
                <w:sz w:val="18"/>
                <w:szCs w:val="18"/>
                <w:color w:val="auto"/>
              </w:rPr>
              <w:t>755,438</w:t>
            </w:r>
          </w:p>
        </w:tc>
        <w:tc>
          <w:tcPr>
            <w:tcW w:w="320" w:type="dxa"/>
            <w:vAlign w:val="bottom"/>
            <w:shd w:val="clear" w:color="auto" w:fill="F5F5F5"/>
          </w:tcPr>
          <w:p>
            <w:pPr>
              <w:spacing w:after="0"/>
              <w:rPr>
                <w:sz w:val="18"/>
                <w:szCs w:val="18"/>
                <w:color w:val="auto"/>
              </w:rPr>
            </w:pPr>
          </w:p>
        </w:tc>
      </w:tr>
      <w:tr>
        <w:trPr>
          <w:trHeight w:val="208"/>
        </w:trPr>
        <w:tc>
          <w:tcPr>
            <w:tcW w:w="6720" w:type="dxa"/>
            <w:vAlign w:val="bottom"/>
          </w:tcPr>
          <w:p>
            <w:pPr>
              <w:ind w:left="40"/>
              <w:spacing w:after="0" w:line="199" w:lineRule="exact"/>
              <w:rPr>
                <w:sz w:val="20"/>
                <w:szCs w:val="20"/>
                <w:color w:val="auto"/>
              </w:rPr>
            </w:pPr>
            <w:r>
              <w:rPr>
                <w:rFonts w:ascii="Calibri" w:cs="Calibri" w:eastAsia="Calibri" w:hAnsi="Calibri"/>
                <w:sz w:val="18"/>
                <w:szCs w:val="18"/>
                <w:color w:val="auto"/>
              </w:rPr>
              <w:t>Net Debt to Adjusted EBITDA, as further modifed</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Calibri" w:cs="Calibri" w:eastAsia="Calibri" w:hAnsi="Calibri"/>
                <w:sz w:val="18"/>
                <w:szCs w:val="18"/>
                <w:color w:val="auto"/>
              </w:rPr>
              <w:t>7.76x</w:t>
            </w:r>
          </w:p>
        </w:tc>
        <w:tc>
          <w:tcPr>
            <w:tcW w:w="320" w:type="dxa"/>
            <w:vAlign w:val="bottom"/>
          </w:tcPr>
          <w:p>
            <w:pPr>
              <w:ind w:left="40"/>
              <w:spacing w:after="0"/>
              <w:rPr>
                <w:sz w:val="20"/>
                <w:szCs w:val="20"/>
                <w:color w:val="auto"/>
              </w:rPr>
            </w:pPr>
            <w:r>
              <w:rPr>
                <w:rFonts w:ascii="Calibri" w:cs="Calibri" w:eastAsia="Calibri" w:hAnsi="Calibri"/>
                <w:sz w:val="14"/>
                <w:szCs w:val="14"/>
                <w:color w:val="auto"/>
              </w:rPr>
              <w:t>(i)</w:t>
            </w:r>
          </w:p>
        </w:tc>
      </w:tr>
      <w:tr>
        <w:trPr>
          <w:trHeight w:val="28"/>
        </w:trPr>
        <w:tc>
          <w:tcPr>
            <w:tcW w:w="6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8" w:lineRule="exact"/>
        <w:rPr>
          <w:sz w:val="20"/>
          <w:szCs w:val="20"/>
          <w:color w:val="auto"/>
        </w:rPr>
      </w:pPr>
    </w:p>
    <w:p>
      <w:pPr>
        <w:ind w:left="400" w:right="100" w:hanging="398"/>
        <w:spacing w:after="0" w:line="239" w:lineRule="auto"/>
        <w:tabs>
          <w:tab w:leader="none" w:pos="400"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The debt balances include the unamortzed debt discounts and loan fnance costs. Debt discounts represent the defciency of the fair value of debt below the principal value of debt assumed in various acquisitons. Debt discounts and loan fnance costs are amortzed into interest expense over the remaining term of the related debt in a manner that approximates the efectve interest method. As of March 31, 2026, the Company's pro rata share of unamortzed debt discounts and loan fnance costs were $29.3 million and $44.0 million, respectvely.</w:t>
      </w:r>
    </w:p>
    <w:p>
      <w:pPr>
        <w:spacing w:after="0" w:line="183" w:lineRule="exact"/>
        <w:rPr>
          <w:rFonts w:ascii="Calibri" w:cs="Calibri" w:eastAsia="Calibri" w:hAnsi="Calibri"/>
          <w:sz w:val="14"/>
          <w:szCs w:val="14"/>
          <w:color w:val="auto"/>
        </w:rPr>
      </w:pPr>
    </w:p>
    <w:p>
      <w:pPr>
        <w:ind w:left="400" w:right="100" w:hanging="398"/>
        <w:spacing w:after="0" w:line="233" w:lineRule="auto"/>
        <w:tabs>
          <w:tab w:leader="none" w:pos="400"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Represents Restricted Cash that is held by lenders for various purposes, which efectvely serves as cash collateral to the underlying loan untl the cash is recouped into liquid resources by the borrower.</w:t>
      </w:r>
    </w:p>
    <w:p>
      <w:pPr>
        <w:spacing w:after="0" w:line="181" w:lineRule="exact"/>
        <w:rPr>
          <w:rFonts w:ascii="Calibri" w:cs="Calibri" w:eastAsia="Calibri" w:hAnsi="Calibri"/>
          <w:sz w:val="14"/>
          <w:szCs w:val="14"/>
          <w:color w:val="auto"/>
        </w:rPr>
      </w:pPr>
    </w:p>
    <w:p>
      <w:pPr>
        <w:ind w:left="400" w:right="20" w:hanging="398"/>
        <w:spacing w:after="0" w:line="245" w:lineRule="auto"/>
        <w:tabs>
          <w:tab w:leader="none" w:pos="400"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Net Debt is a non-GAAP measure which represents Debt less Cash and Restricted Cash. Management believes that the presentaton of Net Debt provides useful informaton to investors because it reviews Net Debt as part of its management of the Company's overall liquidity, fnancial fexibility, capital structure and fnancial leverage.</w:t>
      </w:r>
    </w:p>
    <w:p>
      <w:pPr>
        <w:spacing w:after="0" w:line="164" w:lineRule="exact"/>
        <w:rPr>
          <w:rFonts w:ascii="Calibri" w:cs="Calibri" w:eastAsia="Calibri" w:hAnsi="Calibri"/>
          <w:sz w:val="14"/>
          <w:szCs w:val="14"/>
          <w:color w:val="auto"/>
        </w:rPr>
      </w:pPr>
    </w:p>
    <w:p>
      <w:pPr>
        <w:ind w:left="400" w:hanging="398"/>
        <w:spacing w:after="0"/>
        <w:tabs>
          <w:tab w:leader="none" w:pos="400"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Adjusted EBITDA for the trailing twelve months is calculated as follows:</w:t>
      </w:r>
    </w:p>
    <w:p>
      <w:pPr>
        <w:spacing w:after="0" w:line="59"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Calibri" w:cs="Calibri" w:eastAsia="Calibri" w:hAnsi="Calibri"/>
                <w:sz w:val="14"/>
                <w:szCs w:val="14"/>
                <w:i w:val="1"/>
                <w:iCs w:val="1"/>
                <w:color w:val="auto"/>
              </w:rPr>
              <w:t>Add:</w:t>
            </w:r>
          </w:p>
        </w:tc>
        <w:tc>
          <w:tcPr>
            <w:tcW w:w="1440" w:type="dxa"/>
            <w:vAlign w:val="bottom"/>
            <w:gridSpan w:val="2"/>
          </w:tcPr>
          <w:p>
            <w:pPr>
              <w:jc w:val="center"/>
              <w:ind w:right="160"/>
              <w:spacing w:after="0"/>
              <w:rPr>
                <w:sz w:val="20"/>
                <w:szCs w:val="20"/>
                <w:color w:val="auto"/>
              </w:rPr>
            </w:pPr>
            <w:r>
              <w:rPr>
                <w:rFonts w:ascii="Calibri" w:cs="Calibri" w:eastAsia="Calibri" w:hAnsi="Calibri"/>
                <w:sz w:val="14"/>
                <w:szCs w:val="14"/>
                <w:i w:val="1"/>
                <w:iCs w:val="1"/>
                <w:color w:val="auto"/>
              </w:rPr>
              <w:t>Subtract:</w:t>
            </w:r>
          </w:p>
        </w:tc>
        <w:tc>
          <w:tcPr>
            <w:tcW w:w="1520" w:type="dxa"/>
            <w:vAlign w:val="bottom"/>
            <w:gridSpan w:val="2"/>
          </w:tcPr>
          <w:p>
            <w:pPr>
              <w:jc w:val="center"/>
              <w:ind w:right="220"/>
              <w:spacing w:after="0"/>
              <w:rPr>
                <w:sz w:val="20"/>
                <w:szCs w:val="20"/>
                <w:color w:val="auto"/>
              </w:rPr>
            </w:pPr>
            <w:r>
              <w:rPr>
                <w:rFonts w:ascii="Calibri" w:cs="Calibri" w:eastAsia="Calibri" w:hAnsi="Calibri"/>
                <w:sz w:val="14"/>
                <w:szCs w:val="14"/>
                <w:i w:val="1"/>
                <w:iCs w:val="1"/>
                <w:color w:val="auto"/>
                <w:w w:val="98"/>
              </w:rPr>
              <w:t>Add:</w:t>
            </w:r>
          </w:p>
        </w:tc>
        <w:tc>
          <w:tcPr>
            <w:tcW w:w="1400" w:type="dxa"/>
            <w:vAlign w:val="bottom"/>
          </w:tcPr>
          <w:p>
            <w:pPr>
              <w:spacing w:after="0"/>
              <w:rPr>
                <w:sz w:val="14"/>
                <w:szCs w:val="14"/>
                <w:color w:val="auto"/>
              </w:rPr>
            </w:pPr>
          </w:p>
        </w:tc>
      </w:tr>
      <w:tr>
        <w:trPr>
          <w:trHeight w:val="216"/>
        </w:trPr>
        <w:tc>
          <w:tcPr>
            <w:tcW w:w="336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Calibri" w:cs="Calibri" w:eastAsia="Calibri" w:hAnsi="Calibri"/>
                <w:sz w:val="14"/>
                <w:szCs w:val="14"/>
                <w:color w:val="auto"/>
              </w:rPr>
              <w:t>For the Three</w:t>
            </w:r>
          </w:p>
        </w:tc>
        <w:tc>
          <w:tcPr>
            <w:tcW w:w="1440" w:type="dxa"/>
            <w:vAlign w:val="bottom"/>
            <w:gridSpan w:val="2"/>
          </w:tcPr>
          <w:p>
            <w:pPr>
              <w:jc w:val="center"/>
              <w:ind w:right="160"/>
              <w:spacing w:after="0"/>
              <w:rPr>
                <w:sz w:val="20"/>
                <w:szCs w:val="20"/>
                <w:color w:val="auto"/>
              </w:rPr>
            </w:pPr>
            <w:r>
              <w:rPr>
                <w:rFonts w:ascii="Calibri" w:cs="Calibri" w:eastAsia="Calibri" w:hAnsi="Calibri"/>
                <w:sz w:val="14"/>
                <w:szCs w:val="14"/>
                <w:color w:val="auto"/>
              </w:rPr>
              <w:t>For the Three</w:t>
            </w:r>
          </w:p>
        </w:tc>
        <w:tc>
          <w:tcPr>
            <w:tcW w:w="1520" w:type="dxa"/>
            <w:vAlign w:val="bottom"/>
            <w:gridSpan w:val="2"/>
          </w:tcPr>
          <w:p>
            <w:pPr>
              <w:jc w:val="center"/>
              <w:ind w:right="220"/>
              <w:spacing w:after="0"/>
              <w:rPr>
                <w:sz w:val="20"/>
                <w:szCs w:val="20"/>
                <w:color w:val="auto"/>
              </w:rPr>
            </w:pPr>
            <w:r>
              <w:rPr>
                <w:rFonts w:ascii="Calibri" w:cs="Calibri" w:eastAsia="Calibri" w:hAnsi="Calibri"/>
                <w:sz w:val="14"/>
                <w:szCs w:val="14"/>
                <w:color w:val="auto"/>
              </w:rPr>
              <w:t>For the Twelve</w:t>
            </w:r>
          </w:p>
        </w:tc>
        <w:tc>
          <w:tcPr>
            <w:tcW w:w="1400" w:type="dxa"/>
            <w:vAlign w:val="bottom"/>
          </w:tcPr>
          <w:p>
            <w:pPr>
              <w:jc w:val="center"/>
              <w:spacing w:after="0"/>
              <w:rPr>
                <w:sz w:val="20"/>
                <w:szCs w:val="20"/>
                <w:color w:val="auto"/>
              </w:rPr>
            </w:pPr>
            <w:r>
              <w:rPr>
                <w:rFonts w:ascii="Calibri" w:cs="Calibri" w:eastAsia="Calibri" w:hAnsi="Calibri"/>
                <w:sz w:val="14"/>
                <w:szCs w:val="14"/>
                <w:color w:val="auto"/>
              </w:rPr>
              <w:t>Trailing Twelve</w:t>
            </w:r>
          </w:p>
        </w:tc>
      </w:tr>
      <w:tr>
        <w:trPr>
          <w:trHeight w:val="175"/>
        </w:trPr>
        <w:tc>
          <w:tcPr>
            <w:tcW w:w="336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Calibri" w:cs="Calibri" w:eastAsia="Calibri" w:hAnsi="Calibri"/>
                <w:sz w:val="14"/>
                <w:szCs w:val="14"/>
                <w:color w:val="auto"/>
              </w:rPr>
              <w:t>Months Ended</w:t>
            </w:r>
          </w:p>
        </w:tc>
        <w:tc>
          <w:tcPr>
            <w:tcW w:w="1440" w:type="dxa"/>
            <w:vAlign w:val="bottom"/>
            <w:gridSpan w:val="2"/>
          </w:tcPr>
          <w:p>
            <w:pPr>
              <w:jc w:val="center"/>
              <w:ind w:right="160"/>
              <w:spacing w:after="0"/>
              <w:rPr>
                <w:sz w:val="20"/>
                <w:szCs w:val="20"/>
                <w:color w:val="auto"/>
              </w:rPr>
            </w:pPr>
            <w:r>
              <w:rPr>
                <w:rFonts w:ascii="Calibri" w:cs="Calibri" w:eastAsia="Calibri" w:hAnsi="Calibri"/>
                <w:sz w:val="14"/>
                <w:szCs w:val="14"/>
                <w:color w:val="auto"/>
              </w:rPr>
              <w:t>Months Ended</w:t>
            </w:r>
          </w:p>
        </w:tc>
        <w:tc>
          <w:tcPr>
            <w:tcW w:w="1520" w:type="dxa"/>
            <w:vAlign w:val="bottom"/>
            <w:gridSpan w:val="2"/>
          </w:tcPr>
          <w:p>
            <w:pPr>
              <w:jc w:val="center"/>
              <w:ind w:right="220"/>
              <w:spacing w:after="0"/>
              <w:rPr>
                <w:sz w:val="20"/>
                <w:szCs w:val="20"/>
                <w:color w:val="auto"/>
              </w:rPr>
            </w:pPr>
            <w:r>
              <w:rPr>
                <w:rFonts w:ascii="Calibri" w:cs="Calibri" w:eastAsia="Calibri" w:hAnsi="Calibri"/>
                <w:sz w:val="14"/>
                <w:szCs w:val="14"/>
                <w:color w:val="auto"/>
              </w:rPr>
              <w:t>Months Ended</w:t>
            </w:r>
          </w:p>
        </w:tc>
        <w:tc>
          <w:tcPr>
            <w:tcW w:w="1400" w:type="dxa"/>
            <w:vAlign w:val="bottom"/>
          </w:tcPr>
          <w:p>
            <w:pPr>
              <w:jc w:val="center"/>
              <w:spacing w:after="0"/>
              <w:rPr>
                <w:sz w:val="20"/>
                <w:szCs w:val="20"/>
                <w:color w:val="auto"/>
              </w:rPr>
            </w:pPr>
            <w:r>
              <w:rPr>
                <w:rFonts w:ascii="Calibri" w:cs="Calibri" w:eastAsia="Calibri" w:hAnsi="Calibri"/>
                <w:sz w:val="14"/>
                <w:szCs w:val="14"/>
                <w:color w:val="auto"/>
                <w:w w:val="99"/>
              </w:rPr>
              <w:t>Months</w:t>
            </w:r>
          </w:p>
        </w:tc>
      </w:tr>
      <w:tr>
        <w:trPr>
          <w:trHeight w:val="284"/>
        </w:trPr>
        <w:tc>
          <w:tcPr>
            <w:tcW w:w="336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Calibri" w:cs="Calibri" w:eastAsia="Calibri" w:hAnsi="Calibri"/>
                <w:sz w:val="14"/>
                <w:szCs w:val="14"/>
                <w:color w:val="auto"/>
              </w:rPr>
              <w:t>March 31, 2026</w:t>
            </w:r>
          </w:p>
        </w:tc>
        <w:tc>
          <w:tcPr>
            <w:tcW w:w="1440" w:type="dxa"/>
            <w:vAlign w:val="bottom"/>
            <w:gridSpan w:val="2"/>
          </w:tcPr>
          <w:p>
            <w:pPr>
              <w:jc w:val="center"/>
              <w:ind w:right="160"/>
              <w:spacing w:after="0"/>
              <w:rPr>
                <w:sz w:val="20"/>
                <w:szCs w:val="20"/>
                <w:color w:val="auto"/>
              </w:rPr>
            </w:pPr>
            <w:r>
              <w:rPr>
                <w:rFonts w:ascii="Calibri" w:cs="Calibri" w:eastAsia="Calibri" w:hAnsi="Calibri"/>
                <w:sz w:val="14"/>
                <w:szCs w:val="14"/>
                <w:color w:val="auto"/>
              </w:rPr>
              <w:t>March 31, 2025</w:t>
            </w:r>
          </w:p>
        </w:tc>
        <w:tc>
          <w:tcPr>
            <w:tcW w:w="1520" w:type="dxa"/>
            <w:vAlign w:val="bottom"/>
            <w:gridSpan w:val="2"/>
          </w:tcPr>
          <w:p>
            <w:pPr>
              <w:jc w:val="center"/>
              <w:ind w:right="220"/>
              <w:spacing w:after="0"/>
              <w:rPr>
                <w:sz w:val="20"/>
                <w:szCs w:val="20"/>
                <w:color w:val="auto"/>
              </w:rPr>
            </w:pPr>
            <w:r>
              <w:rPr>
                <w:rFonts w:ascii="Calibri" w:cs="Calibri" w:eastAsia="Calibri" w:hAnsi="Calibri"/>
                <w:sz w:val="14"/>
                <w:szCs w:val="14"/>
                <w:color w:val="auto"/>
              </w:rPr>
              <w:t>December 31, 2025</w:t>
            </w:r>
          </w:p>
        </w:tc>
        <w:tc>
          <w:tcPr>
            <w:tcW w:w="1400" w:type="dxa"/>
            <w:vAlign w:val="bottom"/>
          </w:tcPr>
          <w:p>
            <w:pPr>
              <w:jc w:val="center"/>
              <w:spacing w:after="0"/>
              <w:rPr>
                <w:sz w:val="20"/>
                <w:szCs w:val="20"/>
                <w:color w:val="auto"/>
              </w:rPr>
            </w:pPr>
            <w:r>
              <w:rPr>
                <w:rFonts w:ascii="Calibri" w:cs="Calibri" w:eastAsia="Calibri" w:hAnsi="Calibri"/>
                <w:sz w:val="14"/>
                <w:szCs w:val="14"/>
                <w:color w:val="auto"/>
              </w:rPr>
              <w:t>March 31, 2026</w:t>
            </w:r>
          </w:p>
        </w:tc>
      </w:tr>
      <w:tr>
        <w:trPr>
          <w:trHeight w:val="74"/>
        </w:trPr>
        <w:tc>
          <w:tcPr>
            <w:tcW w:w="336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419"/>
        </w:trPr>
        <w:tc>
          <w:tcPr>
            <w:tcW w:w="3360" w:type="dxa"/>
            <w:vAlign w:val="bottom"/>
          </w:tcPr>
          <w:p>
            <w:pPr>
              <w:spacing w:after="0"/>
              <w:rPr>
                <w:sz w:val="20"/>
                <w:szCs w:val="20"/>
                <w:color w:val="auto"/>
              </w:rPr>
            </w:pPr>
            <w:r>
              <w:rPr>
                <w:rFonts w:ascii="Calibri" w:cs="Calibri" w:eastAsia="Calibri" w:hAnsi="Calibri"/>
                <w:sz w:val="14"/>
                <w:szCs w:val="14"/>
                <w:color w:val="auto"/>
              </w:rPr>
              <w:t>Adjusted EBITDA, as reported</w:t>
            </w:r>
          </w:p>
        </w:tc>
        <w:tc>
          <w:tcPr>
            <w:tcW w:w="1360" w:type="dxa"/>
            <w:vAlign w:val="bottom"/>
          </w:tcPr>
          <w:p>
            <w:pPr>
              <w:jc w:val="right"/>
              <w:spacing w:after="0"/>
              <w:rPr>
                <w:sz w:val="20"/>
                <w:szCs w:val="20"/>
                <w:color w:val="auto"/>
              </w:rPr>
            </w:pPr>
            <w:r>
              <w:rPr>
                <w:rFonts w:ascii="Calibri" w:cs="Calibri" w:eastAsia="Calibri" w:hAnsi="Calibri"/>
                <w:sz w:val="14"/>
                <w:szCs w:val="14"/>
                <w:color w:val="auto"/>
              </w:rPr>
              <w:t>$151,718</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auto"/>
              </w:rPr>
              <w:t>$172,738</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alibri" w:cs="Calibri" w:eastAsia="Calibri" w:hAnsi="Calibri"/>
                <w:sz w:val="14"/>
                <w:szCs w:val="14"/>
                <w:color w:val="auto"/>
              </w:rPr>
              <w:t>$741,946</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$720,926</w:t>
            </w:r>
          </w:p>
        </w:tc>
      </w:tr>
    </w:tbl>
    <w:p>
      <w:pPr>
        <w:spacing w:after="0" w:line="141" w:lineRule="exact"/>
        <w:rPr>
          <w:sz w:val="20"/>
          <w:szCs w:val="20"/>
          <w:color w:val="auto"/>
        </w:rPr>
      </w:pPr>
    </w:p>
    <w:p>
      <w:pPr>
        <w:ind w:left="380" w:right="840"/>
        <w:spacing w:after="0" w:line="245" w:lineRule="auto"/>
        <w:rPr>
          <w:sz w:val="20"/>
          <w:szCs w:val="20"/>
          <w:color w:val="auto"/>
        </w:rPr>
      </w:pPr>
      <w:r>
        <w:rPr>
          <w:rFonts w:ascii="Calibri" w:cs="Calibri" w:eastAsia="Calibri" w:hAnsi="Calibri"/>
          <w:sz w:val="14"/>
          <w:szCs w:val="14"/>
          <w:color w:val="auto"/>
        </w:rPr>
        <w:t>For a reconciliaton of net loss to Adjusted EBITDA for the three months ended March 31, 2026 and 2025 see page 7 and for the twelve months ended December 31, 2025, see the Company’s Supplemental Informaton for the fourth quarter on the Company’s website.</w:t>
      </w:r>
    </w:p>
    <w:p>
      <w:pPr>
        <w:spacing w:after="0" w:line="97" w:lineRule="exact"/>
        <w:rPr>
          <w:sz w:val="20"/>
          <w:szCs w:val="20"/>
          <w:color w:val="auto"/>
        </w:rPr>
      </w:pPr>
    </w:p>
    <w:p>
      <w:pPr>
        <w:ind w:left="400" w:right="60" w:hanging="398"/>
        <w:spacing w:after="0" w:line="237" w:lineRule="auto"/>
        <w:tabs>
          <w:tab w:leader="none" w:pos="400" w:val="left"/>
        </w:tabs>
        <w:numPr>
          <w:ilvl w:val="0"/>
          <w:numId w:val="18"/>
        </w:numPr>
        <w:rPr>
          <w:rFonts w:ascii="Calibri" w:cs="Calibri" w:eastAsia="Calibri" w:hAnsi="Calibri"/>
          <w:sz w:val="14"/>
          <w:szCs w:val="14"/>
          <w:color w:val="auto"/>
        </w:rPr>
      </w:pPr>
      <w:r>
        <w:rPr>
          <w:rFonts w:ascii="Calibri" w:cs="Calibri" w:eastAsia="Calibri" w:hAnsi="Calibri"/>
          <w:sz w:val="14"/>
          <w:szCs w:val="14"/>
          <w:color w:val="auto"/>
        </w:rPr>
        <w:t>GAAP provides that leasing costs incurred through outside, external leasing brokers may be capitalized. However, leasing compensaton incurred through internally stafed leasing personnel generally may not be capitalized and must be expensed. Management believes adding back these leasing expenses provides useful informaton to investors because it allows them to more easily compare the Company's results to other REIT's.</w:t>
      </w:r>
    </w:p>
    <w:p>
      <w:pPr>
        <w:spacing w:after="0" w:line="182" w:lineRule="exact"/>
        <w:rPr>
          <w:rFonts w:ascii="Calibri" w:cs="Calibri" w:eastAsia="Calibri" w:hAnsi="Calibri"/>
          <w:sz w:val="14"/>
          <w:szCs w:val="14"/>
          <w:color w:val="auto"/>
        </w:rPr>
      </w:pPr>
    </w:p>
    <w:p>
      <w:pPr>
        <w:ind w:left="400" w:hanging="398"/>
        <w:spacing w:after="0" w:line="237" w:lineRule="auto"/>
        <w:tabs>
          <w:tab w:leader="none" w:pos="400" w:val="left"/>
        </w:tabs>
        <w:numPr>
          <w:ilvl w:val="0"/>
          <w:numId w:val="18"/>
        </w:numPr>
        <w:rPr>
          <w:rFonts w:ascii="Calibri" w:cs="Calibri" w:eastAsia="Calibri" w:hAnsi="Calibri"/>
          <w:sz w:val="14"/>
          <w:szCs w:val="14"/>
          <w:color w:val="auto"/>
        </w:rPr>
      </w:pPr>
      <w:r>
        <w:rPr>
          <w:rFonts w:ascii="Calibri" w:cs="Calibri" w:eastAsia="Calibri" w:hAnsi="Calibri"/>
          <w:sz w:val="14"/>
          <w:szCs w:val="14"/>
          <w:color w:val="auto"/>
        </w:rPr>
        <w:t>The Company holds certain non-real estate investments that are subject to mark to market changes every quarter. These investments are not core to the Company's business, and the changes to market value and the related gain or loss are entrely non-cash in nature. As a result, the Company believes that the gain or loss on non-real estate investments should be excluded from Adjusted EBITDA.</w:t>
      </w:r>
    </w:p>
    <w:p>
      <w:pPr>
        <w:spacing w:after="0" w:line="182" w:lineRule="exact"/>
        <w:rPr>
          <w:rFonts w:ascii="Calibri" w:cs="Calibri" w:eastAsia="Calibri" w:hAnsi="Calibri"/>
          <w:sz w:val="14"/>
          <w:szCs w:val="14"/>
          <w:color w:val="auto"/>
        </w:rPr>
      </w:pPr>
    </w:p>
    <w:p>
      <w:pPr>
        <w:ind w:left="400" w:right="160" w:hanging="398"/>
        <w:spacing w:after="0" w:line="239" w:lineRule="auto"/>
        <w:tabs>
          <w:tab w:leader="none" w:pos="400" w:val="left"/>
        </w:tabs>
        <w:numPr>
          <w:ilvl w:val="0"/>
          <w:numId w:val="18"/>
        </w:numPr>
        <w:rPr>
          <w:rFonts w:ascii="Calibri" w:cs="Calibri" w:eastAsia="Calibri" w:hAnsi="Calibri"/>
          <w:sz w:val="14"/>
          <w:szCs w:val="14"/>
          <w:color w:val="auto"/>
        </w:rPr>
      </w:pPr>
      <w:r>
        <w:rPr>
          <w:rFonts w:ascii="Calibri" w:cs="Calibri" w:eastAsia="Calibri" w:hAnsi="Calibri"/>
          <w:sz w:val="14"/>
          <w:szCs w:val="14"/>
          <w:color w:val="auto"/>
        </w:rPr>
        <w:t>Represents the net forward EBITDA adjustment to properly account for the trailing twelve-months Adjusted EBITDA for: A) the acquisiton of: i) Crabtree Mall; B) the dispositons of i) Wilton Mall, ii) SouthPark Mall, iii) Atlas Park, iv) Lakewood Center, v) Valley Mall, vi) the stand alone parcel at Washington Square in Petaluma, California, vii) the retail strip center at Washington Square in Portland, Oregon; and viii) other outparcel sales; and C) the loan in default for which the Company antcipates transferring ttle to the underlying property for Santa Monica Place.</w:t>
      </w:r>
    </w:p>
    <w:p>
      <w:pPr>
        <w:spacing w:after="0" w:line="182" w:lineRule="exact"/>
        <w:rPr>
          <w:rFonts w:ascii="Calibri" w:cs="Calibri" w:eastAsia="Calibri" w:hAnsi="Calibri"/>
          <w:sz w:val="14"/>
          <w:szCs w:val="14"/>
          <w:color w:val="auto"/>
        </w:rPr>
      </w:pPr>
    </w:p>
    <w:p>
      <w:pPr>
        <w:ind w:left="400" w:hanging="398"/>
        <w:spacing w:after="0"/>
        <w:tabs>
          <w:tab w:leader="none" w:pos="400" w:val="left"/>
        </w:tabs>
        <w:numPr>
          <w:ilvl w:val="0"/>
          <w:numId w:val="18"/>
        </w:numPr>
        <w:rPr>
          <w:rFonts w:ascii="Calibri" w:cs="Calibri" w:eastAsia="Calibri" w:hAnsi="Calibri"/>
          <w:sz w:val="14"/>
          <w:szCs w:val="14"/>
          <w:color w:val="auto"/>
        </w:rPr>
      </w:pPr>
      <w:r>
        <w:rPr>
          <w:rFonts w:ascii="Calibri" w:cs="Calibri" w:eastAsia="Calibri" w:hAnsi="Calibri"/>
          <w:sz w:val="14"/>
          <w:szCs w:val="14"/>
          <w:color w:val="auto"/>
        </w:rPr>
        <w:t>Represents the adjustment for employee severance costs and legal claims setlement income, net.</w:t>
      </w:r>
    </w:p>
    <w:p>
      <w:pPr>
        <w:spacing w:after="0" w:line="181" w:lineRule="exact"/>
        <w:rPr>
          <w:rFonts w:ascii="Calibri" w:cs="Calibri" w:eastAsia="Calibri" w:hAnsi="Calibri"/>
          <w:sz w:val="14"/>
          <w:szCs w:val="14"/>
          <w:color w:val="auto"/>
        </w:rPr>
      </w:pPr>
    </w:p>
    <w:p>
      <w:pPr>
        <w:ind w:left="400" w:right="280" w:hanging="398"/>
        <w:spacing w:after="0" w:line="239" w:lineRule="auto"/>
        <w:tabs>
          <w:tab w:leader="none" w:pos="400" w:val="left"/>
        </w:tabs>
        <w:numPr>
          <w:ilvl w:val="0"/>
          <w:numId w:val="18"/>
        </w:numPr>
        <w:rPr>
          <w:rFonts w:ascii="Calibri" w:cs="Calibri" w:eastAsia="Calibri" w:hAnsi="Calibri"/>
          <w:sz w:val="14"/>
          <w:szCs w:val="14"/>
          <w:color w:val="auto"/>
        </w:rPr>
      </w:pPr>
      <w:r>
        <w:rPr>
          <w:rFonts w:ascii="Calibri" w:cs="Calibri" w:eastAsia="Calibri" w:hAnsi="Calibri"/>
          <w:sz w:val="14"/>
          <w:szCs w:val="14"/>
          <w:color w:val="auto"/>
        </w:rPr>
        <w:t>Net Debt to Adjusted EBITDA, as further modifed, is calculated using net debt as of period end divided by Adjusted EBITDA, as further modifed, for the twelve months then ended. Management uses this rato to evaluate the Company's capital structure and fnancial leverage. This rato is also commonly used in the Company's industry, and management believes it provides a meaningful supplemental measure of the Company's overall liquidity, fnancial fexibility, capital structure and fnancial leverage.</w:t>
      </w:r>
    </w:p>
    <w:p>
      <w:pPr>
        <w:sectPr>
          <w:pgSz w:w="11900" w:h="16838" w:orient="portrait"/>
          <w:cols w:equalWidth="0" w:num="1">
            <w:col w:w="9940"/>
          </w:cols>
          <w:pgMar w:left="920" w:top="423" w:right="10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24</w:t>
      </w:r>
    </w:p>
    <w:p>
      <w:pPr>
        <w:sectPr>
          <w:pgSz w:w="11900" w:h="16838" w:orient="portrait"/>
          <w:cols w:equalWidth="0" w:num="1">
            <w:col w:w="9940"/>
          </w:cols>
          <w:pgMar w:left="920" w:top="423" w:right="1039" w:bottom="0" w:gutter="0" w:footer="0" w:header="0"/>
          <w:type w:val="continuous"/>
        </w:sectPr>
      </w:pPr>
    </w:p>
    <w:bookmarkStart w:id="28" w:name="page29"/>
    <w:bookmarkEnd w:id="28"/>
    <w:p>
      <w:pPr>
        <w:ind w:left="4120"/>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Macerich Company</w:t>
      </w:r>
    </w:p>
    <w:p>
      <w:pPr>
        <w:ind w:left="2640"/>
        <w:spacing w:after="0" w:line="221" w:lineRule="auto"/>
        <w:rPr>
          <w:sz w:val="20"/>
          <w:szCs w:val="20"/>
          <w:color w:val="auto"/>
        </w:rPr>
      </w:pPr>
      <w:r>
        <w:rPr>
          <w:rFonts w:ascii="Calibri" w:cs="Calibri" w:eastAsia="Calibri" w:hAnsi="Calibri"/>
          <w:sz w:val="18"/>
          <w:szCs w:val="18"/>
          <w:b w:val="1"/>
          <w:bCs w:val="1"/>
          <w:color w:val="auto"/>
        </w:rPr>
        <w:t>Supplemental Financial and Operatng Informaton (Unaudited)</w:t>
      </w:r>
    </w:p>
    <w:p>
      <w:pPr>
        <w:jc w:val="center"/>
        <w:ind w:right="100"/>
        <w:spacing w:after="0" w:line="206" w:lineRule="auto"/>
        <w:rPr>
          <w:sz w:val="20"/>
          <w:szCs w:val="20"/>
          <w:color w:val="auto"/>
        </w:rPr>
      </w:pPr>
      <w:r>
        <w:rPr>
          <w:rFonts w:ascii="Calibri" w:cs="Calibri" w:eastAsia="Calibri" w:hAnsi="Calibri"/>
          <w:sz w:val="18"/>
          <w:szCs w:val="18"/>
          <w:b w:val="1"/>
          <w:bCs w:val="1"/>
          <w:color w:val="auto"/>
        </w:rPr>
        <w:t>Debt Summary (at Company's pro rata share) (a)</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rPr>
              <w:t>As of March 31, 2026</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7"/>
        </w:trPr>
        <w:tc>
          <w:tcPr>
            <w:tcW w:w="63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63"/>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52"/>
              <w:spacing w:after="0" w:line="164" w:lineRule="exact"/>
              <w:rPr>
                <w:sz w:val="20"/>
                <w:szCs w:val="20"/>
                <w:color w:val="auto"/>
              </w:rPr>
            </w:pPr>
            <w:r>
              <w:rPr>
                <w:rFonts w:ascii="Calibri" w:cs="Calibri" w:eastAsia="Calibri" w:hAnsi="Calibri"/>
                <w:sz w:val="14"/>
                <w:szCs w:val="14"/>
                <w:b w:val="1"/>
                <w:bCs w:val="1"/>
                <w:color w:val="auto"/>
              </w:rPr>
              <w:t>Fixed Rate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20"/>
              <w:spacing w:after="0" w:line="164" w:lineRule="exact"/>
              <w:rPr>
                <w:sz w:val="20"/>
                <w:szCs w:val="20"/>
                <w:color w:val="auto"/>
              </w:rPr>
            </w:pPr>
            <w:r>
              <w:rPr>
                <w:rFonts w:ascii="Calibri" w:cs="Calibri" w:eastAsia="Calibri" w:hAnsi="Calibri"/>
                <w:sz w:val="14"/>
                <w:szCs w:val="14"/>
                <w:b w:val="1"/>
                <w:bCs w:val="1"/>
                <w:color w:val="auto"/>
              </w:rPr>
              <w:t>Floatng Rate</w:t>
            </w:r>
          </w:p>
        </w:tc>
        <w:tc>
          <w:tcPr>
            <w:tcW w:w="180" w:type="dxa"/>
            <w:vAlign w:val="bottom"/>
          </w:tcPr>
          <w:p>
            <w:pPr>
              <w:spacing w:after="0"/>
              <w:rPr>
                <w:sz w:val="14"/>
                <w:szCs w:val="14"/>
                <w:color w:val="auto"/>
              </w:rPr>
            </w:pPr>
          </w:p>
        </w:tc>
        <w:tc>
          <w:tcPr>
            <w:tcW w:w="1000" w:type="dxa"/>
            <w:vAlign w:val="bottom"/>
          </w:tcPr>
          <w:p>
            <w:pPr>
              <w:jc w:val="right"/>
              <w:ind w:right="392"/>
              <w:spacing w:after="0" w:line="164" w:lineRule="exact"/>
              <w:rPr>
                <w:sz w:val="20"/>
                <w:szCs w:val="20"/>
                <w:color w:val="auto"/>
              </w:rPr>
            </w:pPr>
            <w:r>
              <w:rPr>
                <w:rFonts w:ascii="Calibri" w:cs="Calibri" w:eastAsia="Calibri" w:hAnsi="Calibri"/>
                <w:sz w:val="14"/>
                <w:szCs w:val="14"/>
                <w:b w:val="1"/>
                <w:bCs w:val="1"/>
                <w:color w:val="auto"/>
              </w:rPr>
              <w:t>Total</w:t>
            </w:r>
          </w:p>
        </w:tc>
      </w:tr>
      <w:tr>
        <w:trPr>
          <w:trHeight w:val="46"/>
        </w:trPr>
        <w:tc>
          <w:tcPr>
            <w:tcW w:w="63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0"/>
        </w:trPr>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8"/>
          </w:tcPr>
          <w:p>
            <w:pPr>
              <w:jc w:val="center"/>
              <w:ind w:left="652"/>
              <w:spacing w:after="0"/>
              <w:rPr>
                <w:sz w:val="20"/>
                <w:szCs w:val="20"/>
                <w:color w:val="auto"/>
              </w:rPr>
            </w:pPr>
            <w:r>
              <w:rPr>
                <w:rFonts w:ascii="Calibri" w:cs="Calibri" w:eastAsia="Calibri" w:hAnsi="Calibri"/>
                <w:sz w:val="18"/>
                <w:szCs w:val="18"/>
                <w:b w:val="1"/>
                <w:bCs w:val="1"/>
                <w:color w:val="auto"/>
                <w:w w:val="98"/>
              </w:rPr>
              <w:t>Dollars in thousands</w:t>
            </w:r>
          </w:p>
        </w:tc>
        <w:tc>
          <w:tcPr>
            <w:tcW w:w="1000" w:type="dxa"/>
            <w:vAlign w:val="bottom"/>
          </w:tcPr>
          <w:p>
            <w:pPr>
              <w:spacing w:after="0"/>
              <w:rPr>
                <w:sz w:val="20"/>
                <w:szCs w:val="20"/>
                <w:color w:val="auto"/>
              </w:rPr>
            </w:pPr>
          </w:p>
        </w:tc>
      </w:tr>
      <w:tr>
        <w:trPr>
          <w:trHeight w:val="23"/>
        </w:trPr>
        <w:tc>
          <w:tcPr>
            <w:tcW w:w="6380" w:type="dxa"/>
            <w:vAlign w:val="bottom"/>
            <w:tcBorders>
              <w:bottom w:val="single" w:sz="8" w:color="F5F5F5"/>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6380" w:type="dxa"/>
            <w:vAlign w:val="bottom"/>
            <w:shd w:val="clear" w:color="auto" w:fill="F5F5F5"/>
          </w:tcPr>
          <w:p>
            <w:pPr>
              <w:ind w:left="60"/>
              <w:spacing w:after="0" w:line="195" w:lineRule="exact"/>
              <w:rPr>
                <w:sz w:val="20"/>
                <w:szCs w:val="20"/>
                <w:color w:val="auto"/>
              </w:rPr>
            </w:pPr>
            <w:r>
              <w:rPr>
                <w:rFonts w:ascii="Calibri" w:cs="Calibri" w:eastAsia="Calibri" w:hAnsi="Calibri"/>
                <w:sz w:val="18"/>
                <w:szCs w:val="18"/>
                <w:color w:val="auto"/>
              </w:rPr>
              <w:t>Mortgage notes payable</w:t>
            </w:r>
          </w:p>
        </w:tc>
        <w:tc>
          <w:tcPr>
            <w:tcW w:w="200" w:type="dxa"/>
            <w:vAlign w:val="bottom"/>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F5F5F5"/>
          </w:tcPr>
          <w:p>
            <w:pPr>
              <w:jc w:val="right"/>
              <w:ind w:right="72"/>
              <w:spacing w:after="0" w:line="209" w:lineRule="exact"/>
              <w:rPr>
                <w:sz w:val="20"/>
                <w:szCs w:val="20"/>
                <w:color w:val="auto"/>
              </w:rPr>
            </w:pPr>
            <w:r>
              <w:rPr>
                <w:rFonts w:ascii="Calibri" w:cs="Calibri" w:eastAsia="Calibri" w:hAnsi="Calibri"/>
                <w:sz w:val="18"/>
                <w:szCs w:val="18"/>
                <w:color w:val="auto"/>
              </w:rPr>
              <w:t>4,394,794</w:t>
            </w:r>
          </w:p>
        </w:tc>
        <w:tc>
          <w:tcPr>
            <w:tcW w:w="240" w:type="dxa"/>
            <w:vAlign w:val="bottom"/>
            <w:gridSpan w:val="3"/>
            <w:shd w:val="clear" w:color="auto" w:fill="F5F5F5"/>
          </w:tcPr>
          <w:p>
            <w:pPr>
              <w:jc w:val="right"/>
              <w:spacing w:after="0" w:line="209" w:lineRule="exact"/>
              <w:rPr>
                <w:sz w:val="20"/>
                <w:szCs w:val="20"/>
                <w:color w:val="auto"/>
              </w:rPr>
            </w:pPr>
            <w:r>
              <w:rPr>
                <w:rFonts w:ascii="Calibri" w:cs="Calibri" w:eastAsia="Calibri" w:hAnsi="Calibri"/>
                <w:sz w:val="18"/>
                <w:szCs w:val="18"/>
                <w:color w:val="auto"/>
              </w:rPr>
              <w:t>$</w:t>
            </w:r>
          </w:p>
        </w:tc>
        <w:tc>
          <w:tcPr>
            <w:tcW w:w="940" w:type="dxa"/>
            <w:vAlign w:val="bottom"/>
            <w:shd w:val="clear" w:color="auto" w:fill="F5F5F5"/>
          </w:tcPr>
          <w:p>
            <w:pPr>
              <w:jc w:val="right"/>
              <w:ind w:right="132"/>
              <w:spacing w:after="0" w:line="209" w:lineRule="exact"/>
              <w:rPr>
                <w:sz w:val="20"/>
                <w:szCs w:val="20"/>
                <w:color w:val="auto"/>
              </w:rPr>
            </w:pPr>
            <w:r>
              <w:rPr>
                <w:rFonts w:ascii="Calibri" w:cs="Calibri" w:eastAsia="Calibri" w:hAnsi="Calibri"/>
                <w:sz w:val="18"/>
                <w:szCs w:val="18"/>
                <w:color w:val="auto"/>
              </w:rPr>
              <w:t>455,861</w:t>
            </w:r>
          </w:p>
        </w:tc>
        <w:tc>
          <w:tcPr>
            <w:tcW w:w="80" w:type="dxa"/>
            <w:vAlign w:val="bottom"/>
            <w:shd w:val="clear" w:color="auto" w:fill="F5F5F5"/>
          </w:tcPr>
          <w:p>
            <w:pPr>
              <w:spacing w:after="0"/>
              <w:rPr>
                <w:sz w:val="18"/>
                <w:szCs w:val="18"/>
                <w:color w:val="auto"/>
              </w:rPr>
            </w:pPr>
          </w:p>
        </w:tc>
        <w:tc>
          <w:tcPr>
            <w:tcW w:w="20" w:type="dxa"/>
            <w:vAlign w:val="bottom"/>
            <w:shd w:val="clear" w:color="auto" w:fill="F5F5F5"/>
          </w:tcPr>
          <w:p>
            <w:pPr>
              <w:spacing w:after="0"/>
              <w:rPr>
                <w:sz w:val="18"/>
                <w:szCs w:val="18"/>
                <w:color w:val="auto"/>
              </w:rPr>
            </w:pPr>
          </w:p>
        </w:tc>
        <w:tc>
          <w:tcPr>
            <w:tcW w:w="180" w:type="dxa"/>
            <w:vAlign w:val="bottom"/>
            <w:shd w:val="clear" w:color="auto" w:fill="F5F5F5"/>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F5F5F5"/>
          </w:tcPr>
          <w:p>
            <w:pPr>
              <w:jc w:val="right"/>
              <w:ind w:right="132"/>
              <w:spacing w:after="0" w:line="209" w:lineRule="exact"/>
              <w:rPr>
                <w:sz w:val="20"/>
                <w:szCs w:val="20"/>
                <w:color w:val="auto"/>
              </w:rPr>
            </w:pPr>
            <w:r>
              <w:rPr>
                <w:rFonts w:ascii="Calibri" w:cs="Calibri" w:eastAsia="Calibri" w:hAnsi="Calibri"/>
                <w:sz w:val="18"/>
                <w:szCs w:val="18"/>
                <w:color w:val="auto"/>
              </w:rPr>
              <w:t>4,850,655</w:t>
            </w:r>
          </w:p>
        </w:tc>
      </w:tr>
      <w:tr>
        <w:trPr>
          <w:trHeight w:val="229"/>
        </w:trPr>
        <w:tc>
          <w:tcPr>
            <w:tcW w:w="6380" w:type="dxa"/>
            <w:vAlign w:val="bottom"/>
            <w:tcBorders>
              <w:bottom w:val="single" w:sz="8" w:color="F5F5F5"/>
            </w:tcBorders>
          </w:tcPr>
          <w:p>
            <w:pPr>
              <w:ind w:left="60"/>
              <w:spacing w:after="0" w:line="215" w:lineRule="exact"/>
              <w:rPr>
                <w:sz w:val="20"/>
                <w:szCs w:val="20"/>
                <w:color w:val="auto"/>
              </w:rPr>
            </w:pPr>
            <w:r>
              <w:rPr>
                <w:rFonts w:ascii="Calibri" w:cs="Calibri" w:eastAsia="Calibri" w:hAnsi="Calibri"/>
                <w:sz w:val="18"/>
                <w:szCs w:val="18"/>
                <w:color w:val="auto"/>
              </w:rPr>
              <w:t>Bank and other notes payable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line="215" w:lineRule="exact"/>
              <w:rPr>
                <w:sz w:val="20"/>
                <w:szCs w:val="20"/>
                <w:color w:val="auto"/>
              </w:rPr>
            </w:pPr>
            <w:r>
              <w:rPr>
                <w:rFonts w:ascii="Calibri" w:cs="Calibri" w:eastAsia="Calibri" w:hAnsi="Calibri"/>
                <w:sz w:val="18"/>
                <w:szCs w:val="18"/>
                <w:color w:val="auto"/>
              </w:rPr>
              <w:t>—</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F5F5F5"/>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2"/>
              <w:spacing w:after="0"/>
              <w:rPr>
                <w:sz w:val="20"/>
                <w:szCs w:val="20"/>
                <w:color w:val="auto"/>
              </w:rPr>
            </w:pPr>
            <w:r>
              <w:rPr>
                <w:rFonts w:ascii="Calibri" w:cs="Calibri" w:eastAsia="Calibri" w:hAnsi="Calibri"/>
                <w:sz w:val="18"/>
                <w:szCs w:val="18"/>
                <w:color w:val="auto"/>
              </w:rPr>
              <w:t>81,963</w:t>
            </w:r>
          </w:p>
        </w:tc>
        <w:tc>
          <w:tcPr>
            <w:tcW w:w="80" w:type="dxa"/>
            <w:vAlign w:val="bottom"/>
            <w:tcBorders>
              <w:bottom w:val="single" w:sz="8" w:color="F5F5F5"/>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Calibri" w:cs="Calibri" w:eastAsia="Calibri" w:hAnsi="Calibri"/>
                <w:sz w:val="18"/>
                <w:szCs w:val="18"/>
                <w:color w:val="auto"/>
              </w:rPr>
              <w:t>81,963</w:t>
            </w:r>
          </w:p>
        </w:tc>
      </w:tr>
      <w:tr>
        <w:trPr>
          <w:trHeight w:val="209"/>
        </w:trPr>
        <w:tc>
          <w:tcPr>
            <w:tcW w:w="6380" w:type="dxa"/>
            <w:vAlign w:val="bottom"/>
            <w:shd w:val="clear" w:color="auto" w:fill="F5F5F5"/>
          </w:tcPr>
          <w:p>
            <w:pPr>
              <w:ind w:left="60"/>
              <w:spacing w:after="0" w:line="195" w:lineRule="exact"/>
              <w:rPr>
                <w:sz w:val="20"/>
                <w:szCs w:val="20"/>
                <w:color w:val="auto"/>
              </w:rPr>
            </w:pPr>
            <w:r>
              <w:rPr>
                <w:rFonts w:ascii="Calibri" w:cs="Calibri" w:eastAsia="Calibri" w:hAnsi="Calibri"/>
                <w:sz w:val="18"/>
                <w:szCs w:val="18"/>
                <w:color w:val="auto"/>
              </w:rPr>
              <w:t>Total debt per Consolidated Balance Sheet</w:t>
            </w:r>
          </w:p>
        </w:tc>
        <w:tc>
          <w:tcPr>
            <w:tcW w:w="200" w:type="dxa"/>
            <w:vAlign w:val="bottom"/>
            <w:shd w:val="clear" w:color="auto" w:fill="F5F5F5"/>
          </w:tcPr>
          <w:p>
            <w:pPr>
              <w:spacing w:after="0"/>
              <w:rPr>
                <w:sz w:val="18"/>
                <w:szCs w:val="18"/>
                <w:color w:val="auto"/>
              </w:rPr>
            </w:pPr>
          </w:p>
        </w:tc>
        <w:tc>
          <w:tcPr>
            <w:tcW w:w="940" w:type="dxa"/>
            <w:vAlign w:val="bottom"/>
            <w:shd w:val="clear" w:color="auto" w:fill="F5F5F5"/>
          </w:tcPr>
          <w:p>
            <w:pPr>
              <w:jc w:val="right"/>
              <w:ind w:right="72"/>
              <w:spacing w:after="0" w:line="209" w:lineRule="exact"/>
              <w:rPr>
                <w:sz w:val="20"/>
                <w:szCs w:val="20"/>
                <w:color w:val="auto"/>
              </w:rPr>
            </w:pPr>
            <w:r>
              <w:rPr>
                <w:rFonts w:ascii="Calibri" w:cs="Calibri" w:eastAsia="Calibri" w:hAnsi="Calibri"/>
                <w:sz w:val="18"/>
                <w:szCs w:val="18"/>
                <w:color w:val="auto"/>
              </w:rPr>
              <w:t>4,394,794</w:t>
            </w:r>
          </w:p>
        </w:tc>
        <w:tc>
          <w:tcPr>
            <w:tcW w:w="60" w:type="dxa"/>
            <w:vAlign w:val="bottom"/>
            <w:shd w:val="clear" w:color="auto" w:fill="F5F5F5"/>
          </w:tcPr>
          <w:p>
            <w:pPr>
              <w:spacing w:after="0"/>
              <w:rPr>
                <w:sz w:val="18"/>
                <w:szCs w:val="18"/>
                <w:color w:val="auto"/>
              </w:rPr>
            </w:pPr>
          </w:p>
        </w:tc>
        <w:tc>
          <w:tcPr>
            <w:tcW w:w="60" w:type="dxa"/>
            <w:vAlign w:val="bottom"/>
            <w:shd w:val="clear" w:color="auto" w:fill="F5F5F5"/>
          </w:tcPr>
          <w:p>
            <w:pPr>
              <w:spacing w:after="0"/>
              <w:rPr>
                <w:sz w:val="18"/>
                <w:szCs w:val="18"/>
                <w:color w:val="auto"/>
              </w:rPr>
            </w:pPr>
          </w:p>
        </w:tc>
        <w:tc>
          <w:tcPr>
            <w:tcW w:w="120" w:type="dxa"/>
            <w:vAlign w:val="bottom"/>
            <w:shd w:val="clear" w:color="auto" w:fill="F5F5F5"/>
          </w:tcPr>
          <w:p>
            <w:pPr>
              <w:spacing w:after="0"/>
              <w:rPr>
                <w:sz w:val="18"/>
                <w:szCs w:val="18"/>
                <w:color w:val="auto"/>
              </w:rPr>
            </w:pPr>
          </w:p>
        </w:tc>
        <w:tc>
          <w:tcPr>
            <w:tcW w:w="940" w:type="dxa"/>
            <w:vAlign w:val="bottom"/>
            <w:shd w:val="clear" w:color="auto" w:fill="F5F5F5"/>
          </w:tcPr>
          <w:p>
            <w:pPr>
              <w:jc w:val="right"/>
              <w:ind w:right="132"/>
              <w:spacing w:after="0" w:line="209" w:lineRule="exact"/>
              <w:rPr>
                <w:sz w:val="20"/>
                <w:szCs w:val="20"/>
                <w:color w:val="auto"/>
              </w:rPr>
            </w:pPr>
            <w:r>
              <w:rPr>
                <w:rFonts w:ascii="Calibri" w:cs="Calibri" w:eastAsia="Calibri" w:hAnsi="Calibri"/>
                <w:sz w:val="18"/>
                <w:szCs w:val="18"/>
                <w:color w:val="auto"/>
              </w:rPr>
              <w:t>537,824</w:t>
            </w:r>
          </w:p>
        </w:tc>
        <w:tc>
          <w:tcPr>
            <w:tcW w:w="80" w:type="dxa"/>
            <w:vAlign w:val="bottom"/>
            <w:shd w:val="clear" w:color="auto" w:fill="F5F5F5"/>
          </w:tcPr>
          <w:p>
            <w:pPr>
              <w:spacing w:after="0"/>
              <w:rPr>
                <w:sz w:val="18"/>
                <w:szCs w:val="18"/>
                <w:color w:val="auto"/>
              </w:rPr>
            </w:pPr>
          </w:p>
        </w:tc>
        <w:tc>
          <w:tcPr>
            <w:tcW w:w="20" w:type="dxa"/>
            <w:vAlign w:val="bottom"/>
            <w:shd w:val="clear" w:color="auto" w:fill="F5F5F5"/>
          </w:tcPr>
          <w:p>
            <w:pPr>
              <w:spacing w:after="0"/>
              <w:rPr>
                <w:sz w:val="18"/>
                <w:szCs w:val="18"/>
                <w:color w:val="auto"/>
              </w:rPr>
            </w:pPr>
          </w:p>
        </w:tc>
        <w:tc>
          <w:tcPr>
            <w:tcW w:w="180" w:type="dxa"/>
            <w:vAlign w:val="bottom"/>
            <w:shd w:val="clear" w:color="auto" w:fill="F5F5F5"/>
          </w:tcPr>
          <w:p>
            <w:pPr>
              <w:spacing w:after="0"/>
              <w:rPr>
                <w:sz w:val="18"/>
                <w:szCs w:val="18"/>
                <w:color w:val="auto"/>
              </w:rPr>
            </w:pPr>
          </w:p>
        </w:tc>
        <w:tc>
          <w:tcPr>
            <w:tcW w:w="1000" w:type="dxa"/>
            <w:vAlign w:val="bottom"/>
            <w:shd w:val="clear" w:color="auto" w:fill="F5F5F5"/>
          </w:tcPr>
          <w:p>
            <w:pPr>
              <w:jc w:val="right"/>
              <w:ind w:right="132"/>
              <w:spacing w:after="0" w:line="209" w:lineRule="exact"/>
              <w:rPr>
                <w:sz w:val="20"/>
                <w:szCs w:val="20"/>
                <w:color w:val="auto"/>
              </w:rPr>
            </w:pPr>
            <w:r>
              <w:rPr>
                <w:rFonts w:ascii="Calibri" w:cs="Calibri" w:eastAsia="Calibri" w:hAnsi="Calibri"/>
                <w:sz w:val="18"/>
                <w:szCs w:val="18"/>
                <w:color w:val="auto"/>
              </w:rPr>
              <w:t>4,932,618</w:t>
            </w:r>
          </w:p>
        </w:tc>
      </w:tr>
      <w:tr>
        <w:trPr>
          <w:trHeight w:val="222"/>
        </w:trPr>
        <w:tc>
          <w:tcPr>
            <w:tcW w:w="6380" w:type="dxa"/>
            <w:vAlign w:val="bottom"/>
          </w:tcPr>
          <w:p>
            <w:pPr>
              <w:ind w:left="60"/>
              <w:spacing w:after="0" w:line="215" w:lineRule="exact"/>
              <w:rPr>
                <w:sz w:val="20"/>
                <w:szCs w:val="20"/>
                <w:color w:val="auto"/>
              </w:rPr>
            </w:pPr>
            <w:r>
              <w:rPr>
                <w:rFonts w:ascii="Calibri" w:cs="Calibri" w:eastAsia="Calibri" w:hAnsi="Calibri"/>
                <w:sz w:val="18"/>
                <w:szCs w:val="18"/>
                <w:color w:val="auto"/>
              </w:rPr>
              <w:t>Adjustments: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4"/>
        </w:trPr>
        <w:tc>
          <w:tcPr>
            <w:tcW w:w="6380" w:type="dxa"/>
            <w:vAlign w:val="bottom"/>
            <w:tcBorders>
              <w:bottom w:val="single" w:sz="8" w:color="F5F5F5"/>
            </w:tcBorders>
            <w:shd w:val="clear" w:color="auto" w:fill="F5F5F5"/>
          </w:tcPr>
          <w:p>
            <w:pPr>
              <w:ind w:left="60"/>
              <w:spacing w:after="0"/>
              <w:rPr>
                <w:sz w:val="20"/>
                <w:szCs w:val="20"/>
                <w:color w:val="auto"/>
              </w:rPr>
            </w:pPr>
            <w:r>
              <w:rPr>
                <w:rFonts w:ascii="Calibri" w:cs="Calibri" w:eastAsia="Calibri" w:hAnsi="Calibri"/>
                <w:sz w:val="18"/>
                <w:szCs w:val="18"/>
                <w:color w:val="auto"/>
              </w:rPr>
              <w:t>Less: Noncontrolling interests share of debt from consolidated joint ventures</w:t>
            </w:r>
          </w:p>
        </w:tc>
        <w:tc>
          <w:tcPr>
            <w:tcW w:w="200" w:type="dxa"/>
            <w:vAlign w:val="bottom"/>
            <w:tcBorders>
              <w:bottom w:val="single" w:sz="8" w:color="F5F5F5"/>
            </w:tcBorders>
            <w:shd w:val="clear" w:color="auto" w:fill="F5F5F5"/>
          </w:tcPr>
          <w:p>
            <w:pPr>
              <w:spacing w:after="0"/>
              <w:rPr>
                <w:sz w:val="22"/>
                <w:szCs w:val="22"/>
                <w:color w:val="auto"/>
              </w:rPr>
            </w:pPr>
          </w:p>
        </w:tc>
        <w:tc>
          <w:tcPr>
            <w:tcW w:w="940" w:type="dxa"/>
            <w:vAlign w:val="bottom"/>
            <w:tcBorders>
              <w:bottom w:val="single" w:sz="8" w:color="F5F5F5"/>
            </w:tcBorders>
            <w:shd w:val="clear" w:color="auto" w:fill="F5F5F5"/>
          </w:tcPr>
          <w:p>
            <w:pPr>
              <w:jc w:val="right"/>
              <w:ind w:right="12"/>
              <w:spacing w:after="0"/>
              <w:rPr>
                <w:sz w:val="20"/>
                <w:szCs w:val="20"/>
                <w:color w:val="auto"/>
              </w:rPr>
            </w:pPr>
            <w:r>
              <w:rPr>
                <w:rFonts w:ascii="Calibri" w:cs="Calibri" w:eastAsia="Calibri" w:hAnsi="Calibri"/>
                <w:sz w:val="18"/>
                <w:szCs w:val="18"/>
                <w:color w:val="auto"/>
              </w:rPr>
              <w:t>(33,084)</w:t>
            </w:r>
          </w:p>
        </w:tc>
        <w:tc>
          <w:tcPr>
            <w:tcW w:w="60" w:type="dxa"/>
            <w:vAlign w:val="bottom"/>
            <w:tcBorders>
              <w:bottom w:val="single" w:sz="8" w:color="F5F5F5"/>
            </w:tcBorders>
            <w:shd w:val="clear" w:color="auto" w:fill="F5F5F5"/>
          </w:tcPr>
          <w:p>
            <w:pPr>
              <w:spacing w:after="0"/>
              <w:rPr>
                <w:sz w:val="22"/>
                <w:szCs w:val="22"/>
                <w:color w:val="auto"/>
              </w:rPr>
            </w:pPr>
          </w:p>
        </w:tc>
        <w:tc>
          <w:tcPr>
            <w:tcW w:w="60" w:type="dxa"/>
            <w:vAlign w:val="bottom"/>
            <w:tcBorders>
              <w:bottom w:val="single" w:sz="8" w:color="F5F5F5"/>
            </w:tcBorders>
            <w:shd w:val="clear" w:color="auto" w:fill="F5F5F5"/>
          </w:tcPr>
          <w:p>
            <w:pPr>
              <w:spacing w:after="0"/>
              <w:rPr>
                <w:sz w:val="22"/>
                <w:szCs w:val="22"/>
                <w:color w:val="auto"/>
              </w:rPr>
            </w:pPr>
          </w:p>
        </w:tc>
        <w:tc>
          <w:tcPr>
            <w:tcW w:w="120" w:type="dxa"/>
            <w:vAlign w:val="bottom"/>
            <w:tcBorders>
              <w:bottom w:val="single" w:sz="8" w:color="F5F5F5"/>
            </w:tcBorders>
            <w:shd w:val="clear" w:color="auto" w:fill="F5F5F5"/>
          </w:tcPr>
          <w:p>
            <w:pPr>
              <w:spacing w:after="0"/>
              <w:rPr>
                <w:sz w:val="22"/>
                <w:szCs w:val="22"/>
                <w:color w:val="auto"/>
              </w:rPr>
            </w:pPr>
          </w:p>
        </w:tc>
        <w:tc>
          <w:tcPr>
            <w:tcW w:w="1040" w:type="dxa"/>
            <w:vAlign w:val="bottom"/>
            <w:tcBorders>
              <w:bottom w:val="single" w:sz="8" w:color="F5F5F5"/>
            </w:tcBorders>
            <w:gridSpan w:val="3"/>
            <w:shd w:val="clear" w:color="auto" w:fill="F5F5F5"/>
          </w:tcPr>
          <w:p>
            <w:pPr>
              <w:jc w:val="right"/>
              <w:ind w:right="300"/>
              <w:spacing w:after="0"/>
              <w:rPr>
                <w:sz w:val="20"/>
                <w:szCs w:val="20"/>
                <w:color w:val="auto"/>
              </w:rPr>
            </w:pPr>
            <w:r>
              <w:rPr>
                <w:rFonts w:ascii="Calibri" w:cs="Calibri" w:eastAsia="Calibri" w:hAnsi="Calibri"/>
                <w:sz w:val="18"/>
                <w:szCs w:val="18"/>
                <w:color w:val="auto"/>
              </w:rPr>
              <w:t>—</w:t>
            </w:r>
          </w:p>
        </w:tc>
        <w:tc>
          <w:tcPr>
            <w:tcW w:w="180" w:type="dxa"/>
            <w:vAlign w:val="bottom"/>
            <w:tcBorders>
              <w:bottom w:val="single" w:sz="8" w:color="F5F5F5"/>
            </w:tcBorders>
            <w:shd w:val="clear" w:color="auto" w:fill="F5F5F5"/>
          </w:tcPr>
          <w:p>
            <w:pPr>
              <w:spacing w:after="0"/>
              <w:rPr>
                <w:sz w:val="22"/>
                <w:szCs w:val="22"/>
                <w:color w:val="auto"/>
              </w:rPr>
            </w:pPr>
          </w:p>
        </w:tc>
        <w:tc>
          <w:tcPr>
            <w:tcW w:w="1000" w:type="dxa"/>
            <w:vAlign w:val="bottom"/>
            <w:tcBorders>
              <w:bottom w:val="single" w:sz="8" w:color="F5F5F5"/>
            </w:tcBorders>
            <w:shd w:val="clear" w:color="auto" w:fill="F5F5F5"/>
          </w:tcPr>
          <w:p>
            <w:pPr>
              <w:jc w:val="right"/>
              <w:ind w:right="72"/>
              <w:spacing w:after="0"/>
              <w:rPr>
                <w:sz w:val="20"/>
                <w:szCs w:val="20"/>
                <w:color w:val="auto"/>
              </w:rPr>
            </w:pPr>
            <w:r>
              <w:rPr>
                <w:rFonts w:ascii="Calibri" w:cs="Calibri" w:eastAsia="Calibri" w:hAnsi="Calibri"/>
                <w:sz w:val="18"/>
                <w:szCs w:val="18"/>
                <w:color w:val="auto"/>
              </w:rPr>
              <w:t>(33,084)</w:t>
            </w:r>
          </w:p>
        </w:tc>
      </w:tr>
      <w:tr>
        <w:trPr>
          <w:trHeight w:val="210"/>
        </w:trPr>
        <w:tc>
          <w:tcPr>
            <w:tcW w:w="6380" w:type="dxa"/>
            <w:vAlign w:val="bottom"/>
          </w:tcPr>
          <w:p>
            <w:pPr>
              <w:ind w:left="60"/>
              <w:spacing w:after="0" w:line="195" w:lineRule="exact"/>
              <w:rPr>
                <w:sz w:val="20"/>
                <w:szCs w:val="20"/>
                <w:color w:val="auto"/>
              </w:rPr>
            </w:pPr>
            <w:r>
              <w:rPr>
                <w:rFonts w:ascii="Calibri" w:cs="Calibri" w:eastAsia="Calibri" w:hAnsi="Calibri"/>
                <w:sz w:val="18"/>
                <w:szCs w:val="18"/>
                <w:color w:val="auto"/>
              </w:rPr>
              <w:t>Adjusted Consolidated Debt</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2"/>
              <w:spacing w:after="0" w:line="209" w:lineRule="exact"/>
              <w:rPr>
                <w:sz w:val="20"/>
                <w:szCs w:val="20"/>
                <w:color w:val="auto"/>
              </w:rPr>
            </w:pPr>
            <w:r>
              <w:rPr>
                <w:rFonts w:ascii="Calibri" w:cs="Calibri" w:eastAsia="Calibri" w:hAnsi="Calibri"/>
                <w:sz w:val="18"/>
                <w:szCs w:val="18"/>
                <w:color w:val="auto"/>
              </w:rPr>
              <w:t>4,361,710</w:t>
            </w: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32"/>
              <w:spacing w:after="0" w:line="209" w:lineRule="exact"/>
              <w:rPr>
                <w:sz w:val="20"/>
                <w:szCs w:val="20"/>
                <w:color w:val="auto"/>
              </w:rPr>
            </w:pPr>
            <w:r>
              <w:rPr>
                <w:rFonts w:ascii="Calibri" w:cs="Calibri" w:eastAsia="Calibri" w:hAnsi="Calibri"/>
                <w:sz w:val="18"/>
                <w:szCs w:val="18"/>
                <w:color w:val="auto"/>
              </w:rPr>
              <w:t>537,824</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32"/>
              <w:spacing w:after="0" w:line="209" w:lineRule="exact"/>
              <w:rPr>
                <w:sz w:val="20"/>
                <w:szCs w:val="20"/>
                <w:color w:val="auto"/>
              </w:rPr>
            </w:pPr>
            <w:r>
              <w:rPr>
                <w:rFonts w:ascii="Calibri" w:cs="Calibri" w:eastAsia="Calibri" w:hAnsi="Calibri"/>
                <w:sz w:val="18"/>
                <w:szCs w:val="18"/>
                <w:color w:val="auto"/>
              </w:rPr>
              <w:t>4,899,534</w:t>
            </w:r>
          </w:p>
        </w:tc>
      </w:tr>
      <w:tr>
        <w:trPr>
          <w:trHeight w:val="229"/>
        </w:trPr>
        <w:tc>
          <w:tcPr>
            <w:tcW w:w="6380" w:type="dxa"/>
            <w:vAlign w:val="bottom"/>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Add: Company’s share of debt from unconsolidated joint ventures</w:t>
            </w:r>
          </w:p>
        </w:tc>
        <w:tc>
          <w:tcPr>
            <w:tcW w:w="200" w:type="dxa"/>
            <w:vAlign w:val="bottom"/>
            <w:tcBorders>
              <w:bottom w:val="single" w:sz="8" w:color="auto"/>
            </w:tcBorders>
            <w:shd w:val="clear" w:color="auto" w:fill="F5F5F5"/>
          </w:tcPr>
          <w:p>
            <w:pPr>
              <w:spacing w:after="0"/>
              <w:rPr>
                <w:sz w:val="19"/>
                <w:szCs w:val="19"/>
                <w:color w:val="auto"/>
              </w:rPr>
            </w:pPr>
          </w:p>
        </w:tc>
        <w:tc>
          <w:tcPr>
            <w:tcW w:w="940" w:type="dxa"/>
            <w:vAlign w:val="bottom"/>
            <w:tcBorders>
              <w:bottom w:val="single" w:sz="8" w:color="auto"/>
            </w:tcBorders>
            <w:shd w:val="clear" w:color="auto" w:fill="F5F5F5"/>
          </w:tcPr>
          <w:p>
            <w:pPr>
              <w:jc w:val="right"/>
              <w:ind w:right="72"/>
              <w:spacing w:after="0"/>
              <w:rPr>
                <w:sz w:val="20"/>
                <w:szCs w:val="20"/>
                <w:color w:val="auto"/>
              </w:rPr>
            </w:pPr>
            <w:r>
              <w:rPr>
                <w:rFonts w:ascii="Calibri" w:cs="Calibri" w:eastAsia="Calibri" w:hAnsi="Calibri"/>
                <w:sz w:val="18"/>
                <w:szCs w:val="18"/>
                <w:color w:val="auto"/>
              </w:rPr>
              <w:t>1,540,374</w:t>
            </w:r>
          </w:p>
        </w:tc>
        <w:tc>
          <w:tcPr>
            <w:tcW w:w="60" w:type="dxa"/>
            <w:vAlign w:val="bottom"/>
            <w:tcBorders>
              <w:bottom w:val="single" w:sz="8" w:color="auto"/>
            </w:tcBorders>
            <w:shd w:val="clear" w:color="auto" w:fill="F5F5F5"/>
          </w:tcPr>
          <w:p>
            <w:pPr>
              <w:spacing w:after="0"/>
              <w:rPr>
                <w:sz w:val="19"/>
                <w:szCs w:val="19"/>
                <w:color w:val="auto"/>
              </w:rPr>
            </w:pPr>
          </w:p>
        </w:tc>
        <w:tc>
          <w:tcPr>
            <w:tcW w:w="60" w:type="dxa"/>
            <w:vAlign w:val="bottom"/>
            <w:shd w:val="clear" w:color="auto" w:fill="F5F5F5"/>
          </w:tcPr>
          <w:p>
            <w:pPr>
              <w:spacing w:after="0"/>
              <w:rPr>
                <w:sz w:val="19"/>
                <w:szCs w:val="19"/>
                <w:color w:val="auto"/>
              </w:rPr>
            </w:pPr>
          </w:p>
        </w:tc>
        <w:tc>
          <w:tcPr>
            <w:tcW w:w="120" w:type="dxa"/>
            <w:vAlign w:val="bottom"/>
            <w:tcBorders>
              <w:bottom w:val="single" w:sz="8" w:color="auto"/>
            </w:tcBorders>
            <w:shd w:val="clear" w:color="auto" w:fill="F5F5F5"/>
          </w:tcPr>
          <w:p>
            <w:pPr>
              <w:spacing w:after="0"/>
              <w:rPr>
                <w:sz w:val="19"/>
                <w:szCs w:val="19"/>
                <w:color w:val="auto"/>
              </w:rPr>
            </w:pPr>
          </w:p>
        </w:tc>
        <w:tc>
          <w:tcPr>
            <w:tcW w:w="940" w:type="dxa"/>
            <w:vAlign w:val="bottom"/>
            <w:tcBorders>
              <w:bottom w:val="single" w:sz="8" w:color="auto"/>
            </w:tcBorders>
            <w:shd w:val="clear" w:color="auto" w:fill="F5F5F5"/>
          </w:tcPr>
          <w:p>
            <w:pPr>
              <w:jc w:val="right"/>
              <w:ind w:right="112"/>
              <w:spacing w:after="0"/>
              <w:rPr>
                <w:sz w:val="20"/>
                <w:szCs w:val="20"/>
                <w:color w:val="auto"/>
              </w:rPr>
            </w:pPr>
            <w:r>
              <w:rPr>
                <w:rFonts w:ascii="Calibri" w:cs="Calibri" w:eastAsia="Calibri" w:hAnsi="Calibri"/>
                <w:sz w:val="18"/>
                <w:szCs w:val="18"/>
                <w:color w:val="auto"/>
              </w:rPr>
              <w:t>11,872</w:t>
            </w:r>
          </w:p>
        </w:tc>
        <w:tc>
          <w:tcPr>
            <w:tcW w:w="80" w:type="dxa"/>
            <w:vAlign w:val="bottom"/>
            <w:shd w:val="clear" w:color="auto" w:fill="F5F5F5"/>
          </w:tcPr>
          <w:p>
            <w:pPr>
              <w:spacing w:after="0"/>
              <w:rPr>
                <w:sz w:val="19"/>
                <w:szCs w:val="19"/>
                <w:color w:val="auto"/>
              </w:rPr>
            </w:pPr>
          </w:p>
        </w:tc>
        <w:tc>
          <w:tcPr>
            <w:tcW w:w="20" w:type="dxa"/>
            <w:vAlign w:val="bottom"/>
            <w:tcBorders>
              <w:bottom w:val="single" w:sz="8" w:color="auto"/>
            </w:tcBorders>
            <w:shd w:val="clear" w:color="auto" w:fill="F5F5F5"/>
          </w:tcPr>
          <w:p>
            <w:pPr>
              <w:spacing w:after="0"/>
              <w:rPr>
                <w:sz w:val="19"/>
                <w:szCs w:val="19"/>
                <w:color w:val="auto"/>
              </w:rPr>
            </w:pPr>
          </w:p>
        </w:tc>
        <w:tc>
          <w:tcPr>
            <w:tcW w:w="180" w:type="dxa"/>
            <w:vAlign w:val="bottom"/>
            <w:tcBorders>
              <w:bottom w:val="single" w:sz="8" w:color="auto"/>
            </w:tcBorders>
            <w:shd w:val="clear" w:color="auto" w:fill="F5F5F5"/>
          </w:tcPr>
          <w:p>
            <w:pPr>
              <w:spacing w:after="0"/>
              <w:rPr>
                <w:sz w:val="19"/>
                <w:szCs w:val="19"/>
                <w:color w:val="auto"/>
              </w:rPr>
            </w:pPr>
          </w:p>
        </w:tc>
        <w:tc>
          <w:tcPr>
            <w:tcW w:w="1000" w:type="dxa"/>
            <w:vAlign w:val="bottom"/>
            <w:tcBorders>
              <w:bottom w:val="single" w:sz="8" w:color="auto"/>
            </w:tcBorders>
            <w:shd w:val="clear" w:color="auto" w:fill="F5F5F5"/>
          </w:tcPr>
          <w:p>
            <w:pPr>
              <w:jc w:val="right"/>
              <w:ind w:right="132"/>
              <w:spacing w:after="0"/>
              <w:rPr>
                <w:sz w:val="20"/>
                <w:szCs w:val="20"/>
                <w:color w:val="auto"/>
              </w:rPr>
            </w:pPr>
            <w:r>
              <w:rPr>
                <w:rFonts w:ascii="Calibri" w:cs="Calibri" w:eastAsia="Calibri" w:hAnsi="Calibri"/>
                <w:sz w:val="18"/>
                <w:szCs w:val="18"/>
                <w:color w:val="auto"/>
              </w:rPr>
              <w:t>1,552,246</w:t>
            </w:r>
          </w:p>
        </w:tc>
      </w:tr>
      <w:tr>
        <w:trPr>
          <w:trHeight w:val="183"/>
        </w:trPr>
        <w:tc>
          <w:tcPr>
            <w:tcW w:w="6380" w:type="dxa"/>
            <w:vAlign w:val="bottom"/>
          </w:tcPr>
          <w:p>
            <w:pPr>
              <w:ind w:left="60"/>
              <w:spacing w:after="0" w:line="183" w:lineRule="exact"/>
              <w:rPr>
                <w:sz w:val="20"/>
                <w:szCs w:val="20"/>
                <w:color w:val="auto"/>
              </w:rPr>
            </w:pPr>
            <w:r>
              <w:rPr>
                <w:rFonts w:ascii="Calibri" w:cs="Calibri" w:eastAsia="Calibri" w:hAnsi="Calibri"/>
                <w:sz w:val="18"/>
                <w:szCs w:val="18"/>
                <w:color w:val="auto"/>
              </w:rPr>
              <w:t>Total Company’s Pro Rata Share of Debt</w:t>
            </w:r>
          </w:p>
        </w:tc>
        <w:tc>
          <w:tcPr>
            <w:tcW w:w="200" w:type="dxa"/>
            <w:vAlign w:val="bottom"/>
          </w:tcPr>
          <w:p>
            <w:pPr>
              <w:jc w:val="right"/>
              <w:spacing w:after="0" w:line="183"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ind w:right="72"/>
              <w:spacing w:after="0" w:line="183" w:lineRule="exact"/>
              <w:rPr>
                <w:sz w:val="20"/>
                <w:szCs w:val="20"/>
                <w:color w:val="auto"/>
              </w:rPr>
            </w:pPr>
            <w:r>
              <w:rPr>
                <w:rFonts w:ascii="Calibri" w:cs="Calibri" w:eastAsia="Calibri" w:hAnsi="Calibri"/>
                <w:sz w:val="18"/>
                <w:szCs w:val="18"/>
                <w:color w:val="auto"/>
              </w:rPr>
              <w:t>5,902,084</w:t>
            </w:r>
          </w:p>
        </w:tc>
        <w:tc>
          <w:tcPr>
            <w:tcW w:w="240" w:type="dxa"/>
            <w:vAlign w:val="bottom"/>
            <w:gridSpan w:val="3"/>
          </w:tcPr>
          <w:p>
            <w:pPr>
              <w:jc w:val="right"/>
              <w:spacing w:after="0" w:line="183"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ind w:right="132"/>
              <w:spacing w:after="0" w:line="183" w:lineRule="exact"/>
              <w:rPr>
                <w:sz w:val="20"/>
                <w:szCs w:val="20"/>
                <w:color w:val="auto"/>
              </w:rPr>
            </w:pPr>
            <w:r>
              <w:rPr>
                <w:rFonts w:ascii="Calibri" w:cs="Calibri" w:eastAsia="Calibri" w:hAnsi="Calibri"/>
                <w:sz w:val="18"/>
                <w:szCs w:val="18"/>
                <w:color w:val="auto"/>
              </w:rPr>
              <w:t>549,696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ind w:right="132"/>
              <w:spacing w:after="0" w:line="183" w:lineRule="exact"/>
              <w:rPr>
                <w:sz w:val="20"/>
                <w:szCs w:val="20"/>
                <w:color w:val="auto"/>
              </w:rPr>
            </w:pPr>
            <w:r>
              <w:rPr>
                <w:rFonts w:ascii="Calibri" w:cs="Calibri" w:eastAsia="Calibri" w:hAnsi="Calibri"/>
                <w:sz w:val="18"/>
                <w:szCs w:val="18"/>
                <w:color w:val="auto"/>
              </w:rPr>
              <w:t>6,451,780</w:t>
            </w:r>
          </w:p>
        </w:tc>
      </w:tr>
      <w:tr>
        <w:trPr>
          <w:trHeight w:val="20"/>
        </w:trPr>
        <w:tc>
          <w:tcPr>
            <w:tcW w:w="6380" w:type="dxa"/>
            <w:vAlign w:val="bottom"/>
            <w:tcBorders>
              <w:bottom w:val="single" w:sz="8" w:color="F5F5F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F5F5F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F5F5F5"/>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380" w:type="dxa"/>
            <w:vAlign w:val="bottom"/>
            <w:shd w:val="clear" w:color="auto" w:fill="F5F5F5"/>
          </w:tcPr>
          <w:p>
            <w:pPr>
              <w:spacing w:after="0"/>
              <w:rPr>
                <w:sz w:val="17"/>
                <w:szCs w:val="17"/>
                <w:color w:val="auto"/>
              </w:rPr>
            </w:pPr>
          </w:p>
        </w:tc>
        <w:tc>
          <w:tcPr>
            <w:tcW w:w="200" w:type="dxa"/>
            <w:vAlign w:val="bottom"/>
            <w:shd w:val="clear" w:color="auto" w:fill="F5F5F5"/>
          </w:tcPr>
          <w:p>
            <w:pPr>
              <w:spacing w:after="0"/>
              <w:rPr>
                <w:sz w:val="17"/>
                <w:szCs w:val="17"/>
                <w:color w:val="auto"/>
              </w:rPr>
            </w:pPr>
          </w:p>
        </w:tc>
        <w:tc>
          <w:tcPr>
            <w:tcW w:w="940" w:type="dxa"/>
            <w:vAlign w:val="bottom"/>
            <w:shd w:val="clear" w:color="auto" w:fill="F5F5F5"/>
          </w:tcPr>
          <w:p>
            <w:pPr>
              <w:spacing w:after="0"/>
              <w:rPr>
                <w:sz w:val="17"/>
                <w:szCs w:val="17"/>
                <w:color w:val="auto"/>
              </w:rPr>
            </w:pPr>
          </w:p>
        </w:tc>
        <w:tc>
          <w:tcPr>
            <w:tcW w:w="60" w:type="dxa"/>
            <w:vAlign w:val="bottom"/>
            <w:shd w:val="clear" w:color="auto" w:fill="F5F5F5"/>
          </w:tcPr>
          <w:p>
            <w:pPr>
              <w:spacing w:after="0"/>
              <w:rPr>
                <w:sz w:val="17"/>
                <w:szCs w:val="17"/>
                <w:color w:val="auto"/>
              </w:rPr>
            </w:pPr>
          </w:p>
        </w:tc>
        <w:tc>
          <w:tcPr>
            <w:tcW w:w="60" w:type="dxa"/>
            <w:vAlign w:val="bottom"/>
            <w:shd w:val="clear" w:color="auto" w:fill="F5F5F5"/>
          </w:tcPr>
          <w:p>
            <w:pPr>
              <w:spacing w:after="0"/>
              <w:rPr>
                <w:sz w:val="17"/>
                <w:szCs w:val="17"/>
                <w:color w:val="auto"/>
              </w:rPr>
            </w:pPr>
          </w:p>
        </w:tc>
        <w:tc>
          <w:tcPr>
            <w:tcW w:w="120" w:type="dxa"/>
            <w:vAlign w:val="bottom"/>
            <w:shd w:val="clear" w:color="auto" w:fill="F5F5F5"/>
          </w:tcPr>
          <w:p>
            <w:pPr>
              <w:spacing w:after="0"/>
              <w:rPr>
                <w:sz w:val="17"/>
                <w:szCs w:val="17"/>
                <w:color w:val="auto"/>
              </w:rPr>
            </w:pPr>
          </w:p>
        </w:tc>
        <w:tc>
          <w:tcPr>
            <w:tcW w:w="940" w:type="dxa"/>
            <w:vAlign w:val="bottom"/>
            <w:shd w:val="clear" w:color="auto" w:fill="F5F5F5"/>
          </w:tcPr>
          <w:p>
            <w:pPr>
              <w:spacing w:after="0"/>
              <w:rPr>
                <w:sz w:val="17"/>
                <w:szCs w:val="17"/>
                <w:color w:val="auto"/>
              </w:rPr>
            </w:pPr>
          </w:p>
        </w:tc>
        <w:tc>
          <w:tcPr>
            <w:tcW w:w="80" w:type="dxa"/>
            <w:vAlign w:val="bottom"/>
            <w:shd w:val="clear" w:color="auto" w:fill="F5F5F5"/>
          </w:tcPr>
          <w:p>
            <w:pPr>
              <w:spacing w:after="0"/>
              <w:rPr>
                <w:sz w:val="17"/>
                <w:szCs w:val="17"/>
                <w:color w:val="auto"/>
              </w:rPr>
            </w:pPr>
          </w:p>
        </w:tc>
        <w:tc>
          <w:tcPr>
            <w:tcW w:w="20" w:type="dxa"/>
            <w:vAlign w:val="bottom"/>
            <w:shd w:val="clear" w:color="auto" w:fill="F5F5F5"/>
          </w:tcPr>
          <w:p>
            <w:pPr>
              <w:spacing w:after="0"/>
              <w:rPr>
                <w:sz w:val="17"/>
                <w:szCs w:val="17"/>
                <w:color w:val="auto"/>
              </w:rPr>
            </w:pPr>
          </w:p>
        </w:tc>
        <w:tc>
          <w:tcPr>
            <w:tcW w:w="180" w:type="dxa"/>
            <w:vAlign w:val="bottom"/>
            <w:shd w:val="clear" w:color="auto" w:fill="F5F5F5"/>
          </w:tcPr>
          <w:p>
            <w:pPr>
              <w:spacing w:after="0"/>
              <w:rPr>
                <w:sz w:val="17"/>
                <w:szCs w:val="17"/>
                <w:color w:val="auto"/>
              </w:rPr>
            </w:pPr>
          </w:p>
        </w:tc>
        <w:tc>
          <w:tcPr>
            <w:tcW w:w="1000" w:type="dxa"/>
            <w:vAlign w:val="bottom"/>
            <w:shd w:val="clear" w:color="auto" w:fill="F5F5F5"/>
          </w:tcPr>
          <w:p>
            <w:pPr>
              <w:spacing w:after="0"/>
              <w:rPr>
                <w:sz w:val="17"/>
                <w:szCs w:val="17"/>
                <w:color w:val="auto"/>
              </w:rPr>
            </w:pPr>
          </w:p>
        </w:tc>
      </w:tr>
      <w:tr>
        <w:trPr>
          <w:trHeight w:val="229"/>
        </w:trPr>
        <w:tc>
          <w:tcPr>
            <w:tcW w:w="6380" w:type="dxa"/>
            <w:vAlign w:val="bottom"/>
          </w:tcPr>
          <w:p>
            <w:pPr>
              <w:ind w:left="60"/>
              <w:spacing w:after="0" w:line="215" w:lineRule="exact"/>
              <w:rPr>
                <w:sz w:val="20"/>
                <w:szCs w:val="20"/>
                <w:color w:val="auto"/>
              </w:rPr>
            </w:pPr>
            <w:r>
              <w:rPr>
                <w:rFonts w:ascii="Calibri" w:cs="Calibri" w:eastAsia="Calibri" w:hAnsi="Calibri"/>
                <w:sz w:val="18"/>
                <w:szCs w:val="18"/>
                <w:color w:val="auto"/>
              </w:rPr>
              <w:t>Weighted average interest 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5.23%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auto"/>
              </w:rPr>
              <w:t>5.77%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5.27%</w:t>
            </w:r>
          </w:p>
        </w:tc>
      </w:tr>
      <w:tr>
        <w:trPr>
          <w:trHeight w:val="230"/>
        </w:trPr>
        <w:tc>
          <w:tcPr>
            <w:tcW w:w="6380" w:type="dxa"/>
            <w:vAlign w:val="bottom"/>
            <w:shd w:val="clear" w:color="auto" w:fill="F5F5F5"/>
          </w:tcPr>
          <w:p>
            <w:pPr>
              <w:ind w:left="60"/>
              <w:spacing w:after="0" w:line="215" w:lineRule="exact"/>
              <w:rPr>
                <w:sz w:val="20"/>
                <w:szCs w:val="20"/>
                <w:color w:val="auto"/>
              </w:rPr>
            </w:pPr>
            <w:r>
              <w:rPr>
                <w:rFonts w:ascii="Calibri" w:cs="Calibri" w:eastAsia="Calibri" w:hAnsi="Calibri"/>
                <w:sz w:val="18"/>
                <w:szCs w:val="18"/>
                <w:color w:val="auto"/>
              </w:rPr>
              <w:t>Weighted average maturity (years)</w:t>
            </w:r>
          </w:p>
        </w:tc>
        <w:tc>
          <w:tcPr>
            <w:tcW w:w="200" w:type="dxa"/>
            <w:vAlign w:val="bottom"/>
            <w:shd w:val="clear" w:color="auto" w:fill="F5F5F5"/>
          </w:tcPr>
          <w:p>
            <w:pPr>
              <w:spacing w:after="0"/>
              <w:rPr>
                <w:sz w:val="19"/>
                <w:szCs w:val="19"/>
                <w:color w:val="auto"/>
              </w:rPr>
            </w:pPr>
          </w:p>
        </w:tc>
        <w:tc>
          <w:tcPr>
            <w:tcW w:w="940" w:type="dxa"/>
            <w:vAlign w:val="bottom"/>
            <w:shd w:val="clear" w:color="auto" w:fill="F5F5F5"/>
          </w:tcPr>
          <w:p>
            <w:pPr>
              <w:spacing w:after="0"/>
              <w:rPr>
                <w:sz w:val="19"/>
                <w:szCs w:val="19"/>
                <w:color w:val="auto"/>
              </w:rPr>
            </w:pPr>
          </w:p>
        </w:tc>
        <w:tc>
          <w:tcPr>
            <w:tcW w:w="60" w:type="dxa"/>
            <w:vAlign w:val="bottom"/>
            <w:shd w:val="clear" w:color="auto" w:fill="F5F5F5"/>
          </w:tcPr>
          <w:p>
            <w:pPr>
              <w:spacing w:after="0"/>
              <w:rPr>
                <w:sz w:val="19"/>
                <w:szCs w:val="19"/>
                <w:color w:val="auto"/>
              </w:rPr>
            </w:pPr>
          </w:p>
        </w:tc>
        <w:tc>
          <w:tcPr>
            <w:tcW w:w="60" w:type="dxa"/>
            <w:vAlign w:val="bottom"/>
            <w:shd w:val="clear" w:color="auto" w:fill="F5F5F5"/>
          </w:tcPr>
          <w:p>
            <w:pPr>
              <w:spacing w:after="0"/>
              <w:rPr>
                <w:sz w:val="19"/>
                <w:szCs w:val="19"/>
                <w:color w:val="auto"/>
              </w:rPr>
            </w:pPr>
          </w:p>
        </w:tc>
        <w:tc>
          <w:tcPr>
            <w:tcW w:w="120" w:type="dxa"/>
            <w:vAlign w:val="bottom"/>
            <w:shd w:val="clear" w:color="auto" w:fill="F5F5F5"/>
          </w:tcPr>
          <w:p>
            <w:pPr>
              <w:spacing w:after="0"/>
              <w:rPr>
                <w:sz w:val="19"/>
                <w:szCs w:val="19"/>
                <w:color w:val="auto"/>
              </w:rPr>
            </w:pPr>
          </w:p>
        </w:tc>
        <w:tc>
          <w:tcPr>
            <w:tcW w:w="940" w:type="dxa"/>
            <w:vAlign w:val="bottom"/>
            <w:shd w:val="clear" w:color="auto" w:fill="F5F5F5"/>
          </w:tcPr>
          <w:p>
            <w:pPr>
              <w:spacing w:after="0"/>
              <w:rPr>
                <w:sz w:val="19"/>
                <w:szCs w:val="19"/>
                <w:color w:val="auto"/>
              </w:rPr>
            </w:pPr>
          </w:p>
        </w:tc>
        <w:tc>
          <w:tcPr>
            <w:tcW w:w="80" w:type="dxa"/>
            <w:vAlign w:val="bottom"/>
            <w:shd w:val="clear" w:color="auto" w:fill="F5F5F5"/>
          </w:tcPr>
          <w:p>
            <w:pPr>
              <w:spacing w:after="0"/>
              <w:rPr>
                <w:sz w:val="19"/>
                <w:szCs w:val="19"/>
                <w:color w:val="auto"/>
              </w:rPr>
            </w:pPr>
          </w:p>
        </w:tc>
        <w:tc>
          <w:tcPr>
            <w:tcW w:w="20" w:type="dxa"/>
            <w:vAlign w:val="bottom"/>
            <w:shd w:val="clear" w:color="auto" w:fill="F5F5F5"/>
          </w:tcPr>
          <w:p>
            <w:pPr>
              <w:spacing w:after="0"/>
              <w:rPr>
                <w:sz w:val="19"/>
                <w:szCs w:val="19"/>
                <w:color w:val="auto"/>
              </w:rPr>
            </w:pPr>
          </w:p>
        </w:tc>
        <w:tc>
          <w:tcPr>
            <w:tcW w:w="180" w:type="dxa"/>
            <w:vAlign w:val="bottom"/>
            <w:shd w:val="clear" w:color="auto" w:fill="F5F5F5"/>
          </w:tcPr>
          <w:p>
            <w:pPr>
              <w:spacing w:after="0"/>
              <w:rPr>
                <w:sz w:val="19"/>
                <w:szCs w:val="19"/>
                <w:color w:val="auto"/>
              </w:rPr>
            </w:pPr>
          </w:p>
        </w:tc>
        <w:tc>
          <w:tcPr>
            <w:tcW w:w="1000" w:type="dxa"/>
            <w:vAlign w:val="bottom"/>
            <w:shd w:val="clear" w:color="auto" w:fill="F5F5F5"/>
          </w:tcPr>
          <w:p>
            <w:pPr>
              <w:jc w:val="right"/>
              <w:ind w:right="132"/>
              <w:spacing w:after="0"/>
              <w:rPr>
                <w:sz w:val="20"/>
                <w:szCs w:val="20"/>
                <w:color w:val="auto"/>
              </w:rPr>
            </w:pPr>
            <w:r>
              <w:rPr>
                <w:rFonts w:ascii="Calibri" w:cs="Calibri" w:eastAsia="Calibri" w:hAnsi="Calibri"/>
                <w:sz w:val="18"/>
                <w:szCs w:val="18"/>
                <w:color w:val="auto"/>
              </w:rPr>
              <w:t>3.23</w:t>
            </w:r>
          </w:p>
        </w:tc>
      </w:tr>
    </w:tbl>
    <w:p>
      <w:pPr>
        <w:spacing w:after="0" w:line="256" w:lineRule="exact"/>
        <w:rPr>
          <w:sz w:val="20"/>
          <w:szCs w:val="20"/>
          <w:color w:val="auto"/>
        </w:rPr>
      </w:pPr>
    </w:p>
    <w:p>
      <w:pPr>
        <w:ind w:left="400" w:right="220" w:hanging="398"/>
        <w:spacing w:after="0" w:line="241" w:lineRule="auto"/>
        <w:tabs>
          <w:tab w:leader="none" w:pos="400" w:val="left"/>
        </w:tabs>
        <w:numPr>
          <w:ilvl w:val="0"/>
          <w:numId w:val="19"/>
        </w:numPr>
        <w:rPr>
          <w:rFonts w:ascii="Calibri" w:cs="Calibri" w:eastAsia="Calibri" w:hAnsi="Calibri"/>
          <w:sz w:val="14"/>
          <w:szCs w:val="14"/>
          <w:color w:val="auto"/>
        </w:rPr>
      </w:pPr>
      <w:r>
        <w:rPr>
          <w:rFonts w:ascii="Calibri" w:cs="Calibri" w:eastAsia="Calibri" w:hAnsi="Calibri"/>
          <w:sz w:val="14"/>
          <w:szCs w:val="14"/>
          <w:color w:val="auto"/>
        </w:rPr>
        <w:t>The Company’s pro rata share of debt represents (i) consolidated debt, minus the Company’s partners’ share of the amount from consolidated joint ventures (calculated based upon the partners’ percentage ownership interest); plus (ii) the Company’s share of debt from unconsolidated joint ventures (calculated based upon the Company’s percentage ownership interest). Management believes that this measure provides useful informaton to investors regarding the Company’s fnancial conditon because it includes the Company’s share of debt from unconsolidated joint ventures and, for consolidated debt, excludes the Company’s partners’ share from consolidated joint ventures, in each case presented on the same basis. The Company has several signifcant joint ventures and presentng its pro rata share of debt in this manner can help investors beter understand the Company’s fnancial conditon afer taking into account the Company’s economic interest in these joint ventures. The Company’s pro rata share of debt should not be considered as a substtute to the Company’s total debt determined in accordance with GAAP or any other GAAP fnancial measures and should only be considered together with and as a supplement to the Company’s fnancial informaton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The Macerich Company</w:t>
      </w:r>
    </w:p>
    <w:p>
      <w:pPr>
        <w:jc w:val="center"/>
        <w:ind w:right="80"/>
        <w:spacing w:after="0" w:line="206" w:lineRule="auto"/>
        <w:rPr>
          <w:sz w:val="20"/>
          <w:szCs w:val="20"/>
          <w:color w:val="auto"/>
        </w:rPr>
      </w:pPr>
      <w:r>
        <w:rPr>
          <w:rFonts w:ascii="Calibri" w:cs="Calibri" w:eastAsia="Calibri" w:hAnsi="Calibri"/>
          <w:sz w:val="18"/>
          <w:szCs w:val="18"/>
          <w:b w:val="1"/>
          <w:bCs w:val="1"/>
          <w:color w:val="auto"/>
        </w:rPr>
        <w:t>Supplemental Financial and Operatng Informaton (Unaudited)</w:t>
      </w:r>
    </w:p>
    <w:p>
      <w:pPr>
        <w:jc w:val="center"/>
        <w:ind w:right="20"/>
        <w:spacing w:after="0" w:line="221" w:lineRule="auto"/>
        <w:rPr>
          <w:sz w:val="20"/>
          <w:szCs w:val="20"/>
          <w:color w:val="auto"/>
        </w:rPr>
      </w:pPr>
      <w:r>
        <w:rPr>
          <w:rFonts w:ascii="Calibri" w:cs="Calibri" w:eastAsia="Calibri" w:hAnsi="Calibri"/>
          <w:sz w:val="18"/>
          <w:szCs w:val="18"/>
          <w:b w:val="1"/>
          <w:bCs w:val="1"/>
          <w:color w:val="auto"/>
        </w:rPr>
        <w:t>Outstanding Debt by Maturity Date</w:t>
      </w:r>
    </w:p>
    <w:p>
      <w:pPr>
        <w:sectPr>
          <w:pgSz w:w="11900" w:h="16838" w:orient="portrait"/>
          <w:cols w:equalWidth="0" w:num="1">
            <w:col w:w="10000"/>
          </w:cols>
          <w:pgMar w:left="920" w:top="409" w:right="979" w:bottom="0" w:gutter="0" w:footer="0" w:header="0"/>
        </w:sectPr>
      </w:pPr>
    </w:p>
    <w:bookmarkStart w:id="29" w:name="page30"/>
    <w:bookmarkEnd w:id="29"/>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Calibri" w:cs="Calibri" w:eastAsia="Calibri" w:hAnsi="Calibri"/>
                <w:sz w:val="14"/>
                <w:szCs w:val="14"/>
                <w:b w:val="1"/>
                <w:bCs w:val="1"/>
                <w:color w:val="auto"/>
              </w:rPr>
              <w:t>Efectve</w:t>
            </w:r>
          </w:p>
        </w:tc>
        <w:tc>
          <w:tcPr>
            <w:tcW w:w="1400" w:type="dxa"/>
            <w:vAlign w:val="bottom"/>
            <w:gridSpan w:val="4"/>
          </w:tcPr>
          <w:p>
            <w:pPr>
              <w:jc w:val="right"/>
              <w:spacing w:after="0"/>
              <w:rPr>
                <w:sz w:val="20"/>
                <w:szCs w:val="20"/>
                <w:color w:val="auto"/>
              </w:rPr>
            </w:pPr>
            <w:r>
              <w:rPr>
                <w:rFonts w:ascii="Calibri" w:cs="Calibri" w:eastAsia="Calibri" w:hAnsi="Calibri"/>
                <w:sz w:val="14"/>
                <w:szCs w:val="14"/>
                <w:b w:val="1"/>
                <w:bCs w:val="1"/>
                <w:color w:val="auto"/>
              </w:rPr>
              <w:t>As of March 31, 2026</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gridSpan w:val="2"/>
          </w:tcPr>
          <w:p>
            <w:pPr>
              <w:jc w:val="center"/>
              <w:ind w:right="40"/>
              <w:spacing w:after="0"/>
              <w:rPr>
                <w:sz w:val="20"/>
                <w:szCs w:val="20"/>
                <w:color w:val="auto"/>
              </w:rPr>
            </w:pPr>
            <w:r>
              <w:rPr>
                <w:rFonts w:ascii="Calibri" w:cs="Calibri" w:eastAsia="Calibri" w:hAnsi="Calibri"/>
                <w:sz w:val="14"/>
                <w:szCs w:val="14"/>
                <w:b w:val="1"/>
                <w:bCs w:val="1"/>
                <w:color w:val="auto"/>
              </w:rPr>
              <w:t>Maturity</w:t>
            </w:r>
          </w:p>
        </w:tc>
        <w:tc>
          <w:tcPr>
            <w:tcW w:w="960" w:type="dxa"/>
            <w:vAlign w:val="bottom"/>
            <w:gridSpan w:val="2"/>
          </w:tcPr>
          <w:p>
            <w:pPr>
              <w:ind w:left="220"/>
              <w:spacing w:after="0"/>
              <w:rPr>
                <w:sz w:val="20"/>
                <w:szCs w:val="20"/>
                <w:color w:val="auto"/>
              </w:rPr>
            </w:pPr>
            <w:r>
              <w:rPr>
                <w:rFonts w:ascii="Calibri" w:cs="Calibri" w:eastAsia="Calibri" w:hAnsi="Calibri"/>
                <w:sz w:val="14"/>
                <w:szCs w:val="14"/>
                <w:b w:val="1"/>
                <w:bCs w:val="1"/>
                <w:color w:val="auto"/>
              </w:rPr>
              <w:t>Interest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68"/>
              <w:spacing w:after="0"/>
              <w:rPr>
                <w:sz w:val="20"/>
                <w:szCs w:val="20"/>
                <w:color w:val="auto"/>
              </w:rPr>
            </w:pPr>
            <w:r>
              <w:rPr>
                <w:rFonts w:ascii="Calibri" w:cs="Calibri" w:eastAsia="Calibri" w:hAnsi="Calibri"/>
                <w:sz w:val="14"/>
                <w:szCs w:val="14"/>
                <w:b w:val="1"/>
                <w:bCs w:val="1"/>
                <w:color w:val="auto"/>
              </w:rPr>
              <w:t>Total Debt</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600" w:type="dxa"/>
            <w:vAlign w:val="bottom"/>
            <w:gridSpan w:val="4"/>
          </w:tcPr>
          <w:p>
            <w:pPr>
              <w:spacing w:after="0" w:line="149" w:lineRule="exact"/>
              <w:rPr>
                <w:sz w:val="20"/>
                <w:szCs w:val="20"/>
                <w:color w:val="auto"/>
              </w:rPr>
            </w:pPr>
            <w:r>
              <w:rPr>
                <w:rFonts w:ascii="Calibri" w:cs="Calibri" w:eastAsia="Calibri" w:hAnsi="Calibri"/>
                <w:sz w:val="14"/>
                <w:szCs w:val="14"/>
                <w:b w:val="1"/>
                <w:bCs w:val="1"/>
                <w:color w:val="auto"/>
              </w:rPr>
              <w:t>Center/Entty (dollars in thousands)</w:t>
            </w:r>
          </w:p>
        </w:tc>
        <w:tc>
          <w:tcPr>
            <w:tcW w:w="960" w:type="dxa"/>
            <w:vAlign w:val="bottom"/>
            <w:gridSpan w:val="2"/>
          </w:tcPr>
          <w:p>
            <w:pPr>
              <w:jc w:val="center"/>
              <w:ind w:right="40"/>
              <w:spacing w:after="0" w:line="149" w:lineRule="exact"/>
              <w:rPr>
                <w:sz w:val="20"/>
                <w:szCs w:val="20"/>
                <w:color w:val="auto"/>
              </w:rPr>
            </w:pPr>
            <w:r>
              <w:rPr>
                <w:rFonts w:ascii="Calibri" w:cs="Calibri" w:eastAsia="Calibri" w:hAnsi="Calibri"/>
                <w:sz w:val="14"/>
                <w:szCs w:val="14"/>
                <w:b w:val="1"/>
                <w:bCs w:val="1"/>
                <w:color w:val="auto"/>
              </w:rPr>
              <w:t>Date</w:t>
            </w:r>
          </w:p>
        </w:tc>
        <w:tc>
          <w:tcPr>
            <w:tcW w:w="960" w:type="dxa"/>
            <w:vAlign w:val="bottom"/>
            <w:gridSpan w:val="2"/>
          </w:tcPr>
          <w:p>
            <w:pPr>
              <w:ind w:left="220"/>
              <w:spacing w:after="0" w:line="149" w:lineRule="exact"/>
              <w:rPr>
                <w:sz w:val="20"/>
                <w:szCs w:val="20"/>
                <w:color w:val="auto"/>
              </w:rPr>
            </w:pPr>
            <w:r>
              <w:rPr>
                <w:rFonts w:ascii="Calibri" w:cs="Calibri" w:eastAsia="Calibri" w:hAnsi="Calibri"/>
                <w:sz w:val="14"/>
                <w:szCs w:val="14"/>
                <w:b w:val="1"/>
                <w:bCs w:val="1"/>
                <w:color w:val="auto"/>
              </w:rPr>
              <w:t>Rate (a)</w:t>
            </w:r>
          </w:p>
        </w:tc>
        <w:tc>
          <w:tcPr>
            <w:tcW w:w="22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Calibri" w:cs="Calibri" w:eastAsia="Calibri" w:hAnsi="Calibri"/>
                <w:sz w:val="14"/>
                <w:szCs w:val="14"/>
                <w:b w:val="1"/>
                <w:bCs w:val="1"/>
                <w:color w:val="auto"/>
              </w:rPr>
              <w:t>Fixed</w:t>
            </w:r>
          </w:p>
        </w:tc>
        <w:tc>
          <w:tcPr>
            <w:tcW w:w="26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Calibri" w:cs="Calibri" w:eastAsia="Calibri" w:hAnsi="Calibri"/>
                <w:sz w:val="14"/>
                <w:szCs w:val="14"/>
                <w:b w:val="1"/>
                <w:bCs w:val="1"/>
                <w:color w:val="auto"/>
              </w:rPr>
              <w:t>Floatng</w:t>
            </w:r>
          </w:p>
        </w:tc>
        <w:tc>
          <w:tcPr>
            <w:tcW w:w="160" w:type="dxa"/>
            <w:vAlign w:val="bottom"/>
          </w:tcPr>
          <w:p>
            <w:pPr>
              <w:spacing w:after="0"/>
              <w:rPr>
                <w:sz w:val="12"/>
                <w:szCs w:val="12"/>
                <w:color w:val="auto"/>
              </w:rPr>
            </w:pPr>
          </w:p>
        </w:tc>
        <w:tc>
          <w:tcPr>
            <w:tcW w:w="920" w:type="dxa"/>
            <w:vAlign w:val="bottom"/>
          </w:tcPr>
          <w:p>
            <w:pPr>
              <w:jc w:val="right"/>
              <w:ind w:right="148"/>
              <w:spacing w:after="0" w:line="149" w:lineRule="exact"/>
              <w:rPr>
                <w:sz w:val="20"/>
                <w:szCs w:val="20"/>
                <w:color w:val="auto"/>
              </w:rPr>
            </w:pPr>
            <w:r>
              <w:rPr>
                <w:rFonts w:ascii="Calibri" w:cs="Calibri" w:eastAsia="Calibri" w:hAnsi="Calibri"/>
                <w:sz w:val="14"/>
                <w:szCs w:val="14"/>
                <w:b w:val="1"/>
                <w:bCs w:val="1"/>
                <w:color w:val="auto"/>
              </w:rPr>
              <w:t>Balance (a)</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140" w:type="dxa"/>
            <w:vAlign w:val="bottom"/>
            <w:tcBorders>
              <w:top w:val="single" w:sz="8" w:color="auto"/>
            </w:tcBorders>
            <w:gridSpan w:val="2"/>
          </w:tcPr>
          <w:p>
            <w:pPr>
              <w:spacing w:after="0" w:line="169" w:lineRule="exact"/>
              <w:rPr>
                <w:sz w:val="20"/>
                <w:szCs w:val="20"/>
                <w:color w:val="auto"/>
              </w:rPr>
            </w:pPr>
            <w:r>
              <w:rPr>
                <w:rFonts w:ascii="Calibri" w:cs="Calibri" w:eastAsia="Calibri" w:hAnsi="Calibri"/>
                <w:sz w:val="14"/>
                <w:szCs w:val="14"/>
                <w:b w:val="1"/>
                <w:bCs w:val="1"/>
                <w:color w:val="007681"/>
              </w:rPr>
              <w:t>I. Consolidated Assets:</w:t>
            </w:r>
          </w:p>
        </w:tc>
        <w:tc>
          <w:tcPr>
            <w:tcW w:w="2460" w:type="dxa"/>
            <w:vAlign w:val="bottom"/>
            <w:gridSpan w:val="2"/>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60" w:type="dxa"/>
            <w:vAlign w:val="bottom"/>
            <w:tcBorders>
              <w:bottom w:val="single" w:sz="8" w:color="007681"/>
            </w:tcBorders>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4600" w:type="dxa"/>
            <w:vAlign w:val="bottom"/>
            <w:gridSpan w:val="4"/>
          </w:tcPr>
          <w:p>
            <w:pPr>
              <w:spacing w:after="0"/>
              <w:rPr>
                <w:sz w:val="20"/>
                <w:szCs w:val="20"/>
                <w:color w:val="auto"/>
              </w:rPr>
            </w:pPr>
            <w:r>
              <w:rPr>
                <w:rFonts w:ascii="Calibri" w:cs="Calibri" w:eastAsia="Calibri" w:hAnsi="Calibri"/>
                <w:sz w:val="14"/>
                <w:szCs w:val="14"/>
                <w:color w:val="auto"/>
              </w:rPr>
              <w:t>Fashion Outlets of Niagara Falls USA</w:t>
            </w:r>
          </w:p>
        </w:tc>
        <w:tc>
          <w:tcPr>
            <w:tcW w:w="920" w:type="dxa"/>
            <w:vAlign w:val="bottom"/>
          </w:tcPr>
          <w:p>
            <w:pPr>
              <w:jc w:val="center"/>
              <w:spacing w:after="0"/>
              <w:rPr>
                <w:sz w:val="20"/>
                <w:szCs w:val="20"/>
                <w:color w:val="auto"/>
              </w:rPr>
            </w:pPr>
            <w:r>
              <w:rPr>
                <w:rFonts w:ascii="Calibri" w:cs="Calibri" w:eastAsia="Calibri" w:hAnsi="Calibri"/>
                <w:sz w:val="14"/>
                <w:szCs w:val="14"/>
                <w:color w:val="auto"/>
              </w:rPr>
              <w:t>10/06/26</w:t>
            </w:r>
          </w:p>
        </w:tc>
        <w:tc>
          <w:tcPr>
            <w:tcW w:w="40" w:type="dxa"/>
            <w:vAlign w:val="bottom"/>
          </w:tcPr>
          <w:p>
            <w:pPr>
              <w:spacing w:after="0"/>
              <w:rPr>
                <w:sz w:val="18"/>
                <w:szCs w:val="18"/>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6.52%</w:t>
            </w:r>
          </w:p>
        </w:tc>
        <w:tc>
          <w:tcPr>
            <w:tcW w:w="60" w:type="dxa"/>
            <w:vAlign w:val="bottom"/>
            <w:vMerge w:val="restart"/>
          </w:tcPr>
          <w:p>
            <w:pPr>
              <w:spacing w:after="0"/>
              <w:rPr>
                <w:sz w:val="18"/>
                <w:szCs w:val="18"/>
                <w:color w:val="auto"/>
              </w:rPr>
            </w:pPr>
          </w:p>
        </w:tc>
        <w:tc>
          <w:tcPr>
            <w:tcW w:w="220" w:type="dxa"/>
            <w:vAlign w:val="bottom"/>
            <w:vMerge w:val="restart"/>
          </w:tcPr>
          <w:p>
            <w:pPr>
              <w:jc w:val="right"/>
              <w:ind w:right="28"/>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76,114</w:t>
            </w:r>
          </w:p>
        </w:tc>
        <w:tc>
          <w:tcPr>
            <w:tcW w:w="60" w:type="dxa"/>
            <w:vAlign w:val="bottom"/>
            <w:vMerge w:val="restart"/>
          </w:tcPr>
          <w:p>
            <w:pPr>
              <w:spacing w:after="0"/>
              <w:rPr>
                <w:sz w:val="18"/>
                <w:szCs w:val="18"/>
                <w:color w:val="auto"/>
              </w:rPr>
            </w:pPr>
          </w:p>
        </w:tc>
        <w:tc>
          <w:tcPr>
            <w:tcW w:w="260" w:type="dxa"/>
            <w:vAlign w:val="bottom"/>
            <w:vMerge w:val="restart"/>
          </w:tcPr>
          <w:p>
            <w:pPr>
              <w:jc w:val="right"/>
              <w:ind w:right="68"/>
              <w:spacing w:after="0"/>
              <w:rPr>
                <w:sz w:val="20"/>
                <w:szCs w:val="20"/>
                <w:color w:val="auto"/>
              </w:rPr>
            </w:pPr>
            <w:r>
              <w:rPr>
                <w:rFonts w:ascii="Calibri" w:cs="Calibri" w:eastAsia="Calibri" w:hAnsi="Calibri"/>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76,114</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Fresno Fashion Fair</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11/01/26</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3.67%</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324,901</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324,901</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Los Cerritos Center</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11/01/27</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5.77%</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464,983</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464,983</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Green Acres Mall</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01/06/28</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6.62%</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365,303</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365,303</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Arrowhead Towne Center</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02/01/28</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6.75%</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352,943</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352,943</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SanTan Village Regional Center (b)</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07/01/29</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4.34%</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186,623</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186,623</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Freehold Raceway Mall</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11/01/29</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3.94%</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399,418</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399,418</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Queens Center</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11/06/29</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5.45%</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523,454</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523,454</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South Plains Mall</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11/06/29</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4.58%</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197,579</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197,579</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Kings Plaza Shopping Center</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01/01/30</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3.71%</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526,448</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526,448</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Fashion Outlets of Chicago</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02/01/31</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4.61%</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299,576</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299,576</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Pacifc View</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05/06/32</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5.45%</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69,455</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69,455</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Danbury Fair Mall</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02/06/34</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6.59%</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152,534</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152,534</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Victor Valley, Mall of</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09/06/34</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6.85%</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84,061</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84,061</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Washington Square</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04/06/35</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5.63%</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338,318</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338,318</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b w:val="1"/>
                <w:bCs w:val="1"/>
                <w:color w:val="007681"/>
              </w:rPr>
              <w:t>Total Fixed Rate Debt for Consolidated Assets</w:t>
            </w: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Pr>
          <w:p>
            <w:pPr>
              <w:spacing w:after="0"/>
              <w:rPr>
                <w:sz w:val="14"/>
                <w:szCs w:val="14"/>
                <w:color w:val="auto"/>
              </w:rPr>
            </w:pPr>
          </w:p>
        </w:tc>
        <w:tc>
          <w:tcPr>
            <w:tcW w:w="4600" w:type="dxa"/>
            <w:vAlign w:val="bottom"/>
            <w:gridSpan w:val="4"/>
            <w:vMerge w:val="continue"/>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vMerge w:val="restart"/>
          </w:tcPr>
          <w:p>
            <w:pPr>
              <w:ind w:left="480"/>
              <w:spacing w:after="0"/>
              <w:rPr>
                <w:sz w:val="20"/>
                <w:szCs w:val="20"/>
                <w:color w:val="auto"/>
              </w:rPr>
            </w:pPr>
            <w:r>
              <w:rPr>
                <w:rFonts w:ascii="Calibri" w:cs="Calibri" w:eastAsia="Calibri" w:hAnsi="Calibri"/>
                <w:sz w:val="14"/>
                <w:szCs w:val="14"/>
                <w:b w:val="1"/>
                <w:bCs w:val="1"/>
                <w:color w:val="auto"/>
              </w:rPr>
              <w:t>5.16%</w:t>
            </w:r>
          </w:p>
        </w:tc>
        <w:tc>
          <w:tcPr>
            <w:tcW w:w="60" w:type="dxa"/>
            <w:vAlign w:val="bottom"/>
          </w:tcPr>
          <w:p>
            <w:pPr>
              <w:spacing w:after="0"/>
              <w:rPr>
                <w:sz w:val="14"/>
                <w:szCs w:val="14"/>
                <w:color w:val="auto"/>
              </w:rPr>
            </w:pPr>
          </w:p>
        </w:tc>
        <w:tc>
          <w:tcPr>
            <w:tcW w:w="220" w:type="dxa"/>
            <w:vAlign w:val="bottom"/>
            <w:vMerge w:val="restart"/>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b w:val="1"/>
                <w:bCs w:val="1"/>
                <w:color w:val="auto"/>
              </w:rPr>
              <w:t>4,361,710</w:t>
            </w:r>
          </w:p>
        </w:tc>
        <w:tc>
          <w:tcPr>
            <w:tcW w:w="60" w:type="dxa"/>
            <w:vAlign w:val="bottom"/>
          </w:tcPr>
          <w:p>
            <w:pPr>
              <w:spacing w:after="0"/>
              <w:rPr>
                <w:sz w:val="14"/>
                <w:szCs w:val="14"/>
                <w:color w:val="auto"/>
              </w:rPr>
            </w:pPr>
          </w:p>
        </w:tc>
        <w:tc>
          <w:tcPr>
            <w:tcW w:w="260" w:type="dxa"/>
            <w:vAlign w:val="bottom"/>
            <w:vMerge w:val="restart"/>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820" w:type="dxa"/>
            <w:vAlign w:val="bottom"/>
            <w:vMerge w:val="restart"/>
          </w:tcPr>
          <w:p>
            <w:pPr>
              <w:jc w:val="right"/>
              <w:ind w:right="88"/>
              <w:spacing w:after="0"/>
              <w:rPr>
                <w:sz w:val="20"/>
                <w:szCs w:val="20"/>
                <w:color w:val="auto"/>
              </w:rPr>
            </w:pPr>
            <w:r>
              <w:rPr>
                <w:rFonts w:ascii="Calibri" w:cs="Calibri" w:eastAsia="Calibri" w:hAnsi="Calibri"/>
                <w:sz w:val="14"/>
                <w:szCs w:val="14"/>
                <w:b w:val="1"/>
                <w:bCs w:val="1"/>
                <w:color w:val="auto"/>
              </w:rPr>
              <w:t>—</w:t>
            </w:r>
          </w:p>
        </w:tc>
        <w:tc>
          <w:tcPr>
            <w:tcW w:w="6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w:t>
            </w: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4,361,710</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Santa Monica Place (c)</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12/09/24</w:t>
            </w: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4600" w:type="dxa"/>
            <w:vAlign w:val="bottom"/>
            <w:gridSpan w:val="4"/>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5.19%</w:t>
            </w:r>
          </w:p>
        </w:tc>
        <w:tc>
          <w:tcPr>
            <w:tcW w:w="60" w:type="dxa"/>
            <w:vAlign w:val="bottom"/>
          </w:tcPr>
          <w:p>
            <w:pPr>
              <w:spacing w:after="0"/>
              <w:rPr>
                <w:sz w:val="14"/>
                <w:szCs w:val="14"/>
                <w:color w:val="auto"/>
              </w:rPr>
            </w:pPr>
          </w:p>
        </w:tc>
        <w:tc>
          <w:tcPr>
            <w:tcW w:w="220" w:type="dxa"/>
            <w:vAlign w:val="bottom"/>
            <w:vMerge w:val="restart"/>
          </w:tcPr>
          <w:p>
            <w:pPr>
              <w:jc w:val="right"/>
              <w:ind w:right="28"/>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w:t>
            </w:r>
          </w:p>
        </w:tc>
        <w:tc>
          <w:tcPr>
            <w:tcW w:w="60" w:type="dxa"/>
            <w:vAlign w:val="bottom"/>
            <w:vMerge w:val="restart"/>
          </w:tcPr>
          <w:p>
            <w:pPr>
              <w:spacing w:after="0"/>
              <w:rPr>
                <w:sz w:val="14"/>
                <w:szCs w:val="14"/>
                <w:color w:val="auto"/>
              </w:rPr>
            </w:pPr>
          </w:p>
        </w:tc>
        <w:tc>
          <w:tcPr>
            <w:tcW w:w="260" w:type="dxa"/>
            <w:vAlign w:val="bottom"/>
            <w:vMerge w:val="restart"/>
          </w:tcPr>
          <w:p>
            <w:pPr>
              <w:jc w:val="right"/>
              <w:ind w:right="68"/>
              <w:spacing w:after="0"/>
              <w:rPr>
                <w:sz w:val="20"/>
                <w:szCs w:val="20"/>
                <w:color w:val="auto"/>
              </w:rPr>
            </w:pPr>
            <w:r>
              <w:rPr>
                <w:rFonts w:ascii="Calibri" w:cs="Calibri" w:eastAsia="Calibri" w:hAnsi="Calibri"/>
                <w:sz w:val="14"/>
                <w:szCs w:val="14"/>
                <w:color w:val="auto"/>
              </w:rPr>
              <w:t>$</w:t>
            </w:r>
          </w:p>
        </w:tc>
        <w:tc>
          <w:tcPr>
            <w:tcW w:w="82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300,000</w:t>
            </w:r>
          </w:p>
        </w:tc>
        <w:tc>
          <w:tcPr>
            <w:tcW w:w="6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300,000</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tcPr>
          <w:p>
            <w:pPr>
              <w:spacing w:after="0"/>
              <w:rPr>
                <w:sz w:val="20"/>
                <w:szCs w:val="20"/>
                <w:color w:val="auto"/>
              </w:rPr>
            </w:pPr>
            <w:r>
              <w:rPr>
                <w:rFonts w:ascii="Calibri" w:cs="Calibri" w:eastAsia="Calibri" w:hAnsi="Calibri"/>
                <w:sz w:val="14"/>
                <w:szCs w:val="14"/>
                <w:color w:val="auto"/>
              </w:rPr>
              <w:t>Crabtree Mall (d)</w:t>
            </w:r>
          </w:p>
        </w:tc>
        <w:tc>
          <w:tcPr>
            <w:tcW w:w="920" w:type="dxa"/>
            <w:vAlign w:val="bottom"/>
          </w:tcPr>
          <w:p>
            <w:pPr>
              <w:jc w:val="center"/>
              <w:spacing w:after="0"/>
              <w:rPr>
                <w:sz w:val="20"/>
                <w:szCs w:val="20"/>
                <w:color w:val="auto"/>
              </w:rPr>
            </w:pPr>
            <w:r>
              <w:rPr>
                <w:rFonts w:ascii="Calibri" w:cs="Calibri" w:eastAsia="Calibri" w:hAnsi="Calibri"/>
                <w:sz w:val="14"/>
                <w:szCs w:val="14"/>
                <w:color w:val="auto"/>
              </w:rPr>
              <w:t>08/06/29</w:t>
            </w:r>
          </w:p>
        </w:tc>
        <w:tc>
          <w:tcPr>
            <w:tcW w:w="40" w:type="dxa"/>
            <w:vAlign w:val="bottom"/>
          </w:tcPr>
          <w:p>
            <w:pPr>
              <w:spacing w:after="0"/>
              <w:rPr>
                <w:sz w:val="17"/>
                <w:szCs w:val="17"/>
                <w:color w:val="auto"/>
              </w:rPr>
            </w:pPr>
          </w:p>
        </w:tc>
        <w:tc>
          <w:tcPr>
            <w:tcW w:w="900" w:type="dxa"/>
            <w:vAlign w:val="bottom"/>
            <w:vMerge w:val="restart"/>
          </w:tcPr>
          <w:p>
            <w:pPr>
              <w:ind w:left="500"/>
              <w:spacing w:after="0" w:line="288" w:lineRule="exact"/>
              <w:rPr>
                <w:sz w:val="20"/>
                <w:szCs w:val="20"/>
                <w:color w:val="auto"/>
              </w:rPr>
            </w:pPr>
            <w:r>
              <w:rPr>
                <w:rFonts w:ascii="Calibri" w:cs="Calibri" w:eastAsia="Calibri" w:hAnsi="Calibri"/>
                <w:sz w:val="14"/>
                <w:szCs w:val="14"/>
                <w:color w:val="auto"/>
                <w:w w:val="91"/>
              </w:rPr>
              <w:t xml:space="preserve">6.63 </w:t>
            </w:r>
            <w:r>
              <w:rPr>
                <w:rFonts w:ascii="Calibri" w:cs="Calibri" w:eastAsia="Calibri" w:hAnsi="Calibri"/>
                <w:sz w:val="28"/>
                <w:szCs w:val="28"/>
                <w:color w:val="auto"/>
                <w:w w:val="91"/>
                <w:vertAlign w:val="superscript"/>
              </w:rPr>
              <w:t>%</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7"/>
                <w:szCs w:val="17"/>
                <w:color w:val="auto"/>
              </w:rPr>
            </w:pPr>
          </w:p>
        </w:tc>
        <w:tc>
          <w:tcPr>
            <w:tcW w:w="82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155,861</w:t>
            </w:r>
          </w:p>
        </w:tc>
        <w:tc>
          <w:tcPr>
            <w:tcW w:w="6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155,861</w:t>
            </w:r>
          </w:p>
        </w:tc>
        <w:tc>
          <w:tcPr>
            <w:tcW w:w="0" w:type="dxa"/>
            <w:vAlign w:val="bottom"/>
          </w:tcPr>
          <w:p>
            <w:pPr>
              <w:spacing w:after="0"/>
              <w:rPr>
                <w:sz w:val="1"/>
                <w:szCs w:val="1"/>
                <w:color w:val="auto"/>
              </w:rPr>
            </w:pPr>
          </w:p>
        </w:tc>
      </w:tr>
      <w:tr>
        <w:trPr>
          <w:trHeight w:val="94"/>
        </w:trPr>
        <w:tc>
          <w:tcPr>
            <w:tcW w:w="60" w:type="dxa"/>
            <w:vAlign w:val="bottom"/>
          </w:tcPr>
          <w:p>
            <w:pPr>
              <w:spacing w:after="0"/>
              <w:rPr>
                <w:sz w:val="8"/>
                <w:szCs w:val="8"/>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The Macerich Partnership, L.P. - Line of Credit (d)</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03/01/30</w:t>
            </w:r>
          </w:p>
        </w:tc>
        <w:tc>
          <w:tcPr>
            <w:tcW w:w="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4600" w:type="dxa"/>
            <w:vAlign w:val="bottom"/>
            <w:gridSpan w:val="4"/>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6.16%</w:t>
            </w:r>
          </w:p>
        </w:tc>
        <w:tc>
          <w:tcPr>
            <w:tcW w:w="6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1"/>
                <w:szCs w:val="11"/>
                <w:color w:val="auto"/>
              </w:rPr>
            </w:pPr>
          </w:p>
        </w:tc>
        <w:tc>
          <w:tcPr>
            <w:tcW w:w="82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81,963</w:t>
            </w:r>
          </w:p>
        </w:tc>
        <w:tc>
          <w:tcPr>
            <w:tcW w:w="6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81,963</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b w:val="1"/>
                <w:bCs w:val="1"/>
                <w:color w:val="auto"/>
              </w:rPr>
              <w:t>Total Floatng Rate Debt for Consolidated Assets</w:t>
            </w: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Pr>
          <w:p>
            <w:pPr>
              <w:spacing w:after="0"/>
              <w:rPr>
                <w:sz w:val="14"/>
                <w:szCs w:val="14"/>
                <w:color w:val="auto"/>
              </w:rPr>
            </w:pPr>
          </w:p>
        </w:tc>
        <w:tc>
          <w:tcPr>
            <w:tcW w:w="4600" w:type="dxa"/>
            <w:vAlign w:val="bottom"/>
            <w:gridSpan w:val="4"/>
            <w:vMerge w:val="continue"/>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vMerge w:val="restart"/>
          </w:tcPr>
          <w:p>
            <w:pPr>
              <w:ind w:left="480"/>
              <w:spacing w:after="0"/>
              <w:rPr>
                <w:sz w:val="20"/>
                <w:szCs w:val="20"/>
                <w:color w:val="auto"/>
              </w:rPr>
            </w:pPr>
            <w:r>
              <w:rPr>
                <w:rFonts w:ascii="Calibri" w:cs="Calibri" w:eastAsia="Calibri" w:hAnsi="Calibri"/>
                <w:sz w:val="14"/>
                <w:szCs w:val="14"/>
                <w:b w:val="1"/>
                <w:bCs w:val="1"/>
                <w:color w:val="auto"/>
              </w:rPr>
              <w:t>5.76%</w:t>
            </w:r>
          </w:p>
        </w:tc>
        <w:tc>
          <w:tcPr>
            <w:tcW w:w="60" w:type="dxa"/>
            <w:vAlign w:val="bottom"/>
          </w:tcPr>
          <w:p>
            <w:pPr>
              <w:spacing w:after="0"/>
              <w:rPr>
                <w:sz w:val="14"/>
                <w:szCs w:val="14"/>
                <w:color w:val="auto"/>
              </w:rPr>
            </w:pPr>
          </w:p>
        </w:tc>
        <w:tc>
          <w:tcPr>
            <w:tcW w:w="220" w:type="dxa"/>
            <w:vAlign w:val="bottom"/>
            <w:vMerge w:val="restart"/>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b w:val="1"/>
                <w:bCs w:val="1"/>
                <w:color w:val="auto"/>
              </w:rPr>
              <w:t>—</w:t>
            </w:r>
          </w:p>
        </w:tc>
        <w:tc>
          <w:tcPr>
            <w:tcW w:w="60" w:type="dxa"/>
            <w:vAlign w:val="bottom"/>
            <w:vMerge w:val="restart"/>
          </w:tcPr>
          <w:p>
            <w:pPr>
              <w:spacing w:after="0"/>
              <w:rPr>
                <w:sz w:val="14"/>
                <w:szCs w:val="14"/>
                <w:color w:val="auto"/>
              </w:rPr>
            </w:pPr>
          </w:p>
        </w:tc>
        <w:tc>
          <w:tcPr>
            <w:tcW w:w="260" w:type="dxa"/>
            <w:vAlign w:val="bottom"/>
            <w:vMerge w:val="restart"/>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820" w:type="dxa"/>
            <w:vAlign w:val="bottom"/>
            <w:vMerge w:val="restart"/>
          </w:tcPr>
          <w:p>
            <w:pPr>
              <w:jc w:val="right"/>
              <w:ind w:right="88"/>
              <w:spacing w:after="0"/>
              <w:rPr>
                <w:sz w:val="20"/>
                <w:szCs w:val="20"/>
                <w:color w:val="auto"/>
              </w:rPr>
            </w:pPr>
            <w:r>
              <w:rPr>
                <w:rFonts w:ascii="Calibri" w:cs="Calibri" w:eastAsia="Calibri" w:hAnsi="Calibri"/>
                <w:sz w:val="14"/>
                <w:szCs w:val="14"/>
                <w:b w:val="1"/>
                <w:bCs w:val="1"/>
                <w:color w:val="auto"/>
              </w:rPr>
              <w:t>537,824</w:t>
            </w:r>
          </w:p>
        </w:tc>
        <w:tc>
          <w:tcPr>
            <w:tcW w:w="6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w:t>
            </w: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537,824</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b w:val="1"/>
                <w:bCs w:val="1"/>
                <w:color w:val="auto"/>
              </w:rPr>
              <w:t>Total Debt for Consolidated Assets</w:t>
            </w: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4600" w:type="dxa"/>
            <w:vAlign w:val="bottom"/>
            <w:gridSpan w:val="4"/>
            <w:vMerge w:val="continue"/>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vMerge w:val="restart"/>
          </w:tcPr>
          <w:p>
            <w:pPr>
              <w:ind w:left="480"/>
              <w:spacing w:after="0"/>
              <w:rPr>
                <w:sz w:val="20"/>
                <w:szCs w:val="20"/>
                <w:color w:val="auto"/>
              </w:rPr>
            </w:pPr>
            <w:r>
              <w:rPr>
                <w:rFonts w:ascii="Calibri" w:cs="Calibri" w:eastAsia="Calibri" w:hAnsi="Calibri"/>
                <w:sz w:val="14"/>
                <w:szCs w:val="14"/>
                <w:b w:val="1"/>
                <w:bCs w:val="1"/>
                <w:color w:val="auto"/>
              </w:rPr>
              <w:t>5.23%</w:t>
            </w:r>
          </w:p>
        </w:tc>
        <w:tc>
          <w:tcPr>
            <w:tcW w:w="60" w:type="dxa"/>
            <w:vAlign w:val="bottom"/>
          </w:tcPr>
          <w:p>
            <w:pPr>
              <w:spacing w:after="0"/>
              <w:rPr>
                <w:sz w:val="14"/>
                <w:szCs w:val="14"/>
                <w:color w:val="auto"/>
              </w:rPr>
            </w:pPr>
          </w:p>
        </w:tc>
        <w:tc>
          <w:tcPr>
            <w:tcW w:w="220" w:type="dxa"/>
            <w:vAlign w:val="bottom"/>
            <w:vMerge w:val="restart"/>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b w:val="1"/>
                <w:bCs w:val="1"/>
                <w:color w:val="auto"/>
              </w:rPr>
              <w:t>4,361,710</w:t>
            </w:r>
          </w:p>
        </w:tc>
        <w:tc>
          <w:tcPr>
            <w:tcW w:w="60" w:type="dxa"/>
            <w:vAlign w:val="bottom"/>
          </w:tcPr>
          <w:p>
            <w:pPr>
              <w:spacing w:after="0"/>
              <w:rPr>
                <w:sz w:val="14"/>
                <w:szCs w:val="14"/>
                <w:color w:val="auto"/>
              </w:rPr>
            </w:pPr>
          </w:p>
        </w:tc>
        <w:tc>
          <w:tcPr>
            <w:tcW w:w="260" w:type="dxa"/>
            <w:vAlign w:val="bottom"/>
            <w:vMerge w:val="restart"/>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820" w:type="dxa"/>
            <w:vAlign w:val="bottom"/>
            <w:vMerge w:val="restart"/>
          </w:tcPr>
          <w:p>
            <w:pPr>
              <w:jc w:val="right"/>
              <w:ind w:right="88"/>
              <w:spacing w:after="0"/>
              <w:rPr>
                <w:sz w:val="20"/>
                <w:szCs w:val="20"/>
                <w:color w:val="auto"/>
              </w:rPr>
            </w:pPr>
            <w:r>
              <w:rPr>
                <w:rFonts w:ascii="Calibri" w:cs="Calibri" w:eastAsia="Calibri" w:hAnsi="Calibri"/>
                <w:sz w:val="14"/>
                <w:szCs w:val="14"/>
                <w:b w:val="1"/>
                <w:bCs w:val="1"/>
                <w:color w:val="auto"/>
              </w:rPr>
              <w:t>537,824</w:t>
            </w:r>
          </w:p>
        </w:tc>
        <w:tc>
          <w:tcPr>
            <w:tcW w:w="6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w:t>
            </w: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4,899,534</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b w:val="1"/>
                <w:bCs w:val="1"/>
                <w:color w:val="007681"/>
              </w:rPr>
              <w:t>II. Unconsolidated Assets (At Company’s pro rata share):</w:t>
            </w: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600" w:type="dxa"/>
            <w:vAlign w:val="bottom"/>
            <w:gridSpan w:val="4"/>
            <w:vMerge w:val="continue"/>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60" w:type="dxa"/>
            <w:vAlign w:val="bottom"/>
            <w:tcBorders>
              <w:bottom w:val="single" w:sz="8" w:color="007681"/>
            </w:tcBorders>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4600" w:type="dxa"/>
            <w:vAlign w:val="bottom"/>
            <w:gridSpan w:val="4"/>
          </w:tcPr>
          <w:p>
            <w:pPr>
              <w:spacing w:after="0"/>
              <w:rPr>
                <w:sz w:val="20"/>
                <w:szCs w:val="20"/>
                <w:color w:val="auto"/>
              </w:rPr>
            </w:pPr>
            <w:r>
              <w:rPr>
                <w:rFonts w:ascii="Calibri" w:cs="Calibri" w:eastAsia="Calibri" w:hAnsi="Calibri"/>
                <w:sz w:val="14"/>
                <w:szCs w:val="14"/>
                <w:color w:val="auto"/>
              </w:rPr>
              <w:t>Twenty Ninth Street (51%) (e)</w:t>
            </w:r>
          </w:p>
        </w:tc>
        <w:tc>
          <w:tcPr>
            <w:tcW w:w="920" w:type="dxa"/>
            <w:vAlign w:val="bottom"/>
          </w:tcPr>
          <w:p>
            <w:pPr>
              <w:jc w:val="center"/>
              <w:spacing w:after="0"/>
              <w:rPr>
                <w:sz w:val="20"/>
                <w:szCs w:val="20"/>
                <w:color w:val="auto"/>
              </w:rPr>
            </w:pPr>
            <w:r>
              <w:rPr>
                <w:rFonts w:ascii="Calibri" w:cs="Calibri" w:eastAsia="Calibri" w:hAnsi="Calibri"/>
                <w:sz w:val="14"/>
                <w:szCs w:val="14"/>
                <w:color w:val="auto"/>
              </w:rPr>
              <w:t>02/06/26</w:t>
            </w:r>
          </w:p>
        </w:tc>
        <w:tc>
          <w:tcPr>
            <w:tcW w:w="40" w:type="dxa"/>
            <w:vAlign w:val="bottom"/>
          </w:tcPr>
          <w:p>
            <w:pPr>
              <w:spacing w:after="0"/>
              <w:rPr>
                <w:sz w:val="18"/>
                <w:szCs w:val="18"/>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4.10%</w:t>
            </w:r>
          </w:p>
        </w:tc>
        <w:tc>
          <w:tcPr>
            <w:tcW w:w="60" w:type="dxa"/>
            <w:vAlign w:val="bottom"/>
            <w:vMerge w:val="restart"/>
          </w:tcPr>
          <w:p>
            <w:pPr>
              <w:spacing w:after="0"/>
              <w:rPr>
                <w:sz w:val="18"/>
                <w:szCs w:val="18"/>
                <w:color w:val="auto"/>
              </w:rPr>
            </w:pPr>
          </w:p>
        </w:tc>
        <w:tc>
          <w:tcPr>
            <w:tcW w:w="220" w:type="dxa"/>
            <w:vAlign w:val="bottom"/>
            <w:vMerge w:val="restart"/>
          </w:tcPr>
          <w:p>
            <w:pPr>
              <w:jc w:val="right"/>
              <w:ind w:right="28"/>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76,500</w:t>
            </w:r>
          </w:p>
        </w:tc>
        <w:tc>
          <w:tcPr>
            <w:tcW w:w="60" w:type="dxa"/>
            <w:vAlign w:val="bottom"/>
            <w:vMerge w:val="restart"/>
          </w:tcPr>
          <w:p>
            <w:pPr>
              <w:spacing w:after="0"/>
              <w:rPr>
                <w:sz w:val="18"/>
                <w:szCs w:val="18"/>
                <w:color w:val="auto"/>
              </w:rPr>
            </w:pPr>
          </w:p>
        </w:tc>
        <w:tc>
          <w:tcPr>
            <w:tcW w:w="260" w:type="dxa"/>
            <w:vAlign w:val="bottom"/>
            <w:vMerge w:val="restart"/>
          </w:tcPr>
          <w:p>
            <w:pPr>
              <w:jc w:val="right"/>
              <w:ind w:right="68"/>
              <w:spacing w:after="0"/>
              <w:rPr>
                <w:sz w:val="20"/>
                <w:szCs w:val="20"/>
                <w:color w:val="auto"/>
              </w:rPr>
            </w:pPr>
            <w:r>
              <w:rPr>
                <w:rFonts w:ascii="Calibri" w:cs="Calibri" w:eastAsia="Calibri" w:hAnsi="Calibri"/>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76,500</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Deptord Mall (51%) (f)</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04/03/26</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4.00%</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67,167</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67,167</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Kierland Commons (50%)</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04/01/27</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3.98%</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91,544</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91,544</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Scotsdale Fashion Square (50%)</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03/06/28</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6.28%</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349,532</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349,532</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Corte Madera, The Village at (50.1%)</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09/01/28</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3.53%</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104,719</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104,719</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Tysons Corner Center (50%)</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12/06/28</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6.89%</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352,283</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352,283</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Chandler Fashion Center (50.1%)</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07/01/29</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7.15%</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137,352</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137,352</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West Acres - Development (19%)</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10/10/29</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3.72%</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1,390</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1,390</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Tysons Tower (50%)</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10/11/29</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3.38%</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94,779</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94,779</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Broadway Plaza (50%)</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04/01/30</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4.19%</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208,793</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208,793</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Tysons VITA (50%)</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12/01/30</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3.43%</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44,754</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44,754</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West Acres (19%)</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03/01/32</w:t>
            </w: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Pr>
          <w:p>
            <w:pPr>
              <w:spacing w:after="0"/>
              <w:rPr>
                <w:sz w:val="17"/>
                <w:szCs w:val="17"/>
                <w:color w:val="auto"/>
              </w:rPr>
            </w:pPr>
          </w:p>
        </w:tc>
        <w:tc>
          <w:tcPr>
            <w:tcW w:w="4600" w:type="dxa"/>
            <w:vAlign w:val="bottom"/>
            <w:gridSpan w:val="4"/>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vMerge w:val="restart"/>
          </w:tcPr>
          <w:p>
            <w:pPr>
              <w:ind w:left="500"/>
              <w:spacing w:after="0"/>
              <w:rPr>
                <w:sz w:val="20"/>
                <w:szCs w:val="20"/>
                <w:color w:val="auto"/>
              </w:rPr>
            </w:pPr>
            <w:r>
              <w:rPr>
                <w:rFonts w:ascii="Calibri" w:cs="Calibri" w:eastAsia="Calibri" w:hAnsi="Calibri"/>
                <w:sz w:val="14"/>
                <w:szCs w:val="14"/>
                <w:color w:val="auto"/>
              </w:rPr>
              <w:t>4.61%</w:t>
            </w:r>
          </w:p>
        </w:tc>
        <w:tc>
          <w:tcPr>
            <w:tcW w:w="6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11,561</w:t>
            </w:r>
          </w:p>
        </w:tc>
        <w:tc>
          <w:tcPr>
            <w:tcW w:w="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7"/>
                <w:szCs w:val="17"/>
                <w:color w:val="auto"/>
              </w:rPr>
            </w:pP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11,561</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b w:val="1"/>
                <w:bCs w:val="1"/>
                <w:color w:val="auto"/>
              </w:rPr>
              <w:t>Total Fixed Rate Debt for Unconsolidated Assets</w:t>
            </w: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Pr>
          <w:p>
            <w:pPr>
              <w:spacing w:after="0"/>
              <w:rPr>
                <w:sz w:val="14"/>
                <w:szCs w:val="14"/>
                <w:color w:val="auto"/>
              </w:rPr>
            </w:pPr>
          </w:p>
        </w:tc>
        <w:tc>
          <w:tcPr>
            <w:tcW w:w="4600" w:type="dxa"/>
            <w:vAlign w:val="bottom"/>
            <w:gridSpan w:val="4"/>
            <w:vMerge w:val="continue"/>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vMerge w:val="restart"/>
          </w:tcPr>
          <w:p>
            <w:pPr>
              <w:ind w:left="480"/>
              <w:spacing w:after="0"/>
              <w:rPr>
                <w:sz w:val="20"/>
                <w:szCs w:val="20"/>
                <w:color w:val="auto"/>
              </w:rPr>
            </w:pPr>
            <w:r>
              <w:rPr>
                <w:rFonts w:ascii="Calibri" w:cs="Calibri" w:eastAsia="Calibri" w:hAnsi="Calibri"/>
                <w:sz w:val="14"/>
                <w:szCs w:val="14"/>
                <w:b w:val="1"/>
                <w:bCs w:val="1"/>
                <w:color w:val="auto"/>
              </w:rPr>
              <w:t>5.41%</w:t>
            </w:r>
          </w:p>
        </w:tc>
        <w:tc>
          <w:tcPr>
            <w:tcW w:w="60" w:type="dxa"/>
            <w:vAlign w:val="bottom"/>
          </w:tcPr>
          <w:p>
            <w:pPr>
              <w:spacing w:after="0"/>
              <w:rPr>
                <w:sz w:val="14"/>
                <w:szCs w:val="14"/>
                <w:color w:val="auto"/>
              </w:rPr>
            </w:pPr>
          </w:p>
        </w:tc>
        <w:tc>
          <w:tcPr>
            <w:tcW w:w="220" w:type="dxa"/>
            <w:vAlign w:val="bottom"/>
            <w:vMerge w:val="restart"/>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860" w:type="dxa"/>
            <w:vAlign w:val="bottom"/>
            <w:vMerge w:val="restart"/>
          </w:tcPr>
          <w:p>
            <w:pPr>
              <w:jc w:val="right"/>
              <w:ind w:right="88"/>
              <w:spacing w:after="0"/>
              <w:rPr>
                <w:sz w:val="20"/>
                <w:szCs w:val="20"/>
                <w:color w:val="auto"/>
              </w:rPr>
            </w:pPr>
            <w:r>
              <w:rPr>
                <w:rFonts w:ascii="Calibri" w:cs="Calibri" w:eastAsia="Calibri" w:hAnsi="Calibri"/>
                <w:sz w:val="14"/>
                <w:szCs w:val="14"/>
                <w:b w:val="1"/>
                <w:bCs w:val="1"/>
                <w:color w:val="auto"/>
              </w:rPr>
              <w:t>1,540,374</w:t>
            </w:r>
          </w:p>
        </w:tc>
        <w:tc>
          <w:tcPr>
            <w:tcW w:w="60" w:type="dxa"/>
            <w:vAlign w:val="bottom"/>
          </w:tcPr>
          <w:p>
            <w:pPr>
              <w:spacing w:after="0"/>
              <w:rPr>
                <w:sz w:val="14"/>
                <w:szCs w:val="14"/>
                <w:color w:val="auto"/>
              </w:rPr>
            </w:pPr>
          </w:p>
        </w:tc>
        <w:tc>
          <w:tcPr>
            <w:tcW w:w="260" w:type="dxa"/>
            <w:vAlign w:val="bottom"/>
            <w:vMerge w:val="restart"/>
          </w:tcPr>
          <w:p>
            <w:pPr>
              <w:jc w:val="right"/>
              <w:ind w:right="68"/>
              <w:spacing w:after="0"/>
              <w:rPr>
                <w:sz w:val="20"/>
                <w:szCs w:val="20"/>
                <w:color w:val="auto"/>
              </w:rPr>
            </w:pPr>
            <w:r>
              <w:rPr>
                <w:rFonts w:ascii="Calibri" w:cs="Calibri" w:eastAsia="Calibri" w:hAnsi="Calibri"/>
                <w:sz w:val="14"/>
                <w:szCs w:val="14"/>
                <w:b w:val="1"/>
                <w:bCs w:val="1"/>
                <w:color w:val="auto"/>
              </w:rPr>
              <w:t>$</w:t>
            </w:r>
          </w:p>
        </w:tc>
        <w:tc>
          <w:tcPr>
            <w:tcW w:w="820" w:type="dxa"/>
            <w:vAlign w:val="bottom"/>
            <w:vMerge w:val="restart"/>
          </w:tcPr>
          <w:p>
            <w:pPr>
              <w:jc w:val="right"/>
              <w:ind w:right="88"/>
              <w:spacing w:after="0"/>
              <w:rPr>
                <w:sz w:val="20"/>
                <w:szCs w:val="20"/>
                <w:color w:val="auto"/>
              </w:rPr>
            </w:pPr>
            <w:r>
              <w:rPr>
                <w:rFonts w:ascii="Calibri" w:cs="Calibri" w:eastAsia="Calibri" w:hAnsi="Calibri"/>
                <w:sz w:val="14"/>
                <w:szCs w:val="14"/>
                <w:b w:val="1"/>
                <w:bCs w:val="1"/>
                <w:color w:val="auto"/>
              </w:rPr>
              <w:t>—</w:t>
            </w:r>
          </w:p>
        </w:tc>
        <w:tc>
          <w:tcPr>
            <w:tcW w:w="6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w:t>
            </w:r>
          </w:p>
        </w:tc>
        <w:tc>
          <w:tcPr>
            <w:tcW w:w="92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1,540,374</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4600" w:type="dxa"/>
            <w:vAlign w:val="bottom"/>
            <w:gridSpan w:val="4"/>
            <w:vMerge w:val="restart"/>
          </w:tcPr>
          <w:p>
            <w:pPr>
              <w:spacing w:after="0"/>
              <w:rPr>
                <w:sz w:val="20"/>
                <w:szCs w:val="20"/>
                <w:color w:val="auto"/>
              </w:rPr>
            </w:pPr>
            <w:r>
              <w:rPr>
                <w:rFonts w:ascii="Calibri" w:cs="Calibri" w:eastAsia="Calibri" w:hAnsi="Calibri"/>
                <w:sz w:val="14"/>
                <w:szCs w:val="14"/>
                <w:color w:val="auto"/>
              </w:rPr>
              <w:t>Boulevard Shops (50%)</w:t>
            </w:r>
          </w:p>
        </w:tc>
        <w:tc>
          <w:tcPr>
            <w:tcW w:w="920" w:type="dxa"/>
            <w:vAlign w:val="bottom"/>
            <w:vMerge w:val="restart"/>
          </w:tcPr>
          <w:p>
            <w:pPr>
              <w:jc w:val="center"/>
              <w:spacing w:after="0"/>
              <w:rPr>
                <w:sz w:val="20"/>
                <w:szCs w:val="20"/>
                <w:color w:val="auto"/>
              </w:rPr>
            </w:pPr>
            <w:r>
              <w:rPr>
                <w:rFonts w:ascii="Calibri" w:cs="Calibri" w:eastAsia="Calibri" w:hAnsi="Calibri"/>
                <w:sz w:val="14"/>
                <w:szCs w:val="14"/>
                <w:color w:val="auto"/>
              </w:rPr>
              <w:t>12/05/28</w:t>
            </w: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600" w:type="dxa"/>
            <w:vAlign w:val="bottom"/>
            <w:gridSpan w:val="4"/>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Calibri" w:cs="Calibri" w:eastAsia="Calibri" w:hAnsi="Calibri"/>
                <w:sz w:val="14"/>
                <w:szCs w:val="14"/>
                <w:color w:val="auto"/>
              </w:rPr>
              <w:t>6.56%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88"/>
              <w:spacing w:after="0"/>
              <w:rPr>
                <w:sz w:val="20"/>
                <w:szCs w:val="20"/>
                <w:color w:val="auto"/>
              </w:rPr>
            </w:pPr>
            <w:r>
              <w:rPr>
                <w:rFonts w:ascii="Calibri" w:cs="Calibri" w:eastAsia="Calibri" w:hAnsi="Calibri"/>
                <w:sz w:val="14"/>
                <w:szCs w:val="14"/>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88"/>
              <w:spacing w:after="0"/>
              <w:rPr>
                <w:sz w:val="20"/>
                <w:szCs w:val="20"/>
                <w:color w:val="auto"/>
              </w:rPr>
            </w:pPr>
            <w:r>
              <w:rPr>
                <w:rFonts w:ascii="Calibri" w:cs="Calibri" w:eastAsia="Calibri" w:hAnsi="Calibri"/>
                <w:sz w:val="14"/>
                <w:szCs w:val="14"/>
                <w:color w:val="auto"/>
              </w:rPr>
              <w:t>11,872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08"/>
              <w:spacing w:after="0"/>
              <w:rPr>
                <w:sz w:val="20"/>
                <w:szCs w:val="20"/>
                <w:color w:val="auto"/>
              </w:rPr>
            </w:pPr>
            <w:r>
              <w:rPr>
                <w:rFonts w:ascii="Calibri" w:cs="Calibri" w:eastAsia="Calibri" w:hAnsi="Calibri"/>
                <w:sz w:val="14"/>
                <w:szCs w:val="14"/>
                <w:color w:val="auto"/>
              </w:rPr>
              <w:t>11,872</w:t>
            </w:r>
          </w:p>
        </w:tc>
        <w:tc>
          <w:tcPr>
            <w:tcW w:w="0" w:type="dxa"/>
            <w:vAlign w:val="bottom"/>
          </w:tcPr>
          <w:p>
            <w:pPr>
              <w:spacing w:after="0"/>
              <w:rPr>
                <w:sz w:val="1"/>
                <w:szCs w:val="1"/>
                <w:color w:val="auto"/>
              </w:rPr>
            </w:pPr>
          </w:p>
        </w:tc>
      </w:tr>
    </w:tbl>
    <w:p>
      <w:pPr>
        <w:spacing w:after="0" w:line="33" w:lineRule="exact"/>
        <w:rPr>
          <w:sz w:val="20"/>
          <w:szCs w:val="20"/>
          <w:color w:val="auto"/>
        </w:rPr>
      </w:pPr>
    </w:p>
    <w:p>
      <w:pPr>
        <w:sectPr>
          <w:pgSz w:w="11900" w:h="16857" w:orient="portrait"/>
          <w:cols w:equalWidth="0" w:num="1">
            <w:col w:w="9940"/>
          </w:cols>
          <w:pgMar w:left="980" w:top="151" w:right="979" w:bottom="0" w:gutter="0" w:footer="0" w:header="0"/>
        </w:sectPr>
      </w:pPr>
    </w:p>
    <w:p>
      <w:pPr>
        <w:ind w:left="60" w:right="2300"/>
        <w:spacing w:after="0" w:line="348" w:lineRule="auto"/>
        <w:rPr>
          <w:sz w:val="20"/>
          <w:szCs w:val="20"/>
          <w:color w:val="auto"/>
        </w:rPr>
      </w:pPr>
      <w:r>
        <w:rPr>
          <w:rFonts w:ascii="Calibri" w:cs="Calibri" w:eastAsia="Calibri" w:hAnsi="Calibri"/>
          <w:sz w:val="14"/>
          <w:szCs w:val="14"/>
          <w:b w:val="1"/>
          <w:bCs w:val="1"/>
          <w:color w:val="auto"/>
        </w:rPr>
        <w:t>Total Floatng Rate Debt for Unconsolidated Assets Total Debt for Unconsolidated Assets Total Debt</w:t>
      </w:r>
    </w:p>
    <w:p>
      <w:pPr>
        <w:spacing w:after="0" w:line="192" w:lineRule="exact"/>
        <w:rPr>
          <w:sz w:val="20"/>
          <w:szCs w:val="20"/>
          <w:color w:val="auto"/>
        </w:rPr>
      </w:pPr>
    </w:p>
    <w:p>
      <w:pPr>
        <w:ind w:left="60"/>
        <w:spacing w:after="0"/>
        <w:rPr>
          <w:sz w:val="20"/>
          <w:szCs w:val="20"/>
          <w:color w:val="auto"/>
        </w:rPr>
      </w:pPr>
      <w:r>
        <w:rPr>
          <w:rFonts w:ascii="Calibri" w:cs="Calibri" w:eastAsia="Calibri" w:hAnsi="Calibri"/>
          <w:sz w:val="14"/>
          <w:szCs w:val="14"/>
          <w:b w:val="1"/>
          <w:bCs w:val="1"/>
          <w:color w:val="auto"/>
        </w:rPr>
        <w:t>Percentage to Total</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6.56%</w:t>
            </w:r>
          </w:p>
        </w:tc>
        <w:tc>
          <w:tcPr>
            <w:tcW w:w="240" w:type="dxa"/>
            <w:vAlign w:val="bottom"/>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88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w:t>
            </w:r>
          </w:p>
        </w:tc>
        <w:tc>
          <w:tcPr>
            <w:tcW w:w="320" w:type="dxa"/>
            <w:vAlign w:val="bottom"/>
          </w:tcPr>
          <w:p>
            <w:pPr>
              <w:jc w:val="right"/>
              <w:ind w:right="88"/>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11,872</w:t>
            </w:r>
          </w:p>
        </w:tc>
        <w:tc>
          <w:tcPr>
            <w:tcW w:w="260" w:type="dxa"/>
            <w:vAlign w:val="bottom"/>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80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11,872</w:t>
            </w:r>
          </w:p>
        </w:tc>
      </w:tr>
      <w:tr>
        <w:trPr>
          <w:trHeight w:val="229"/>
        </w:trPr>
        <w:tc>
          <w:tcPr>
            <w:tcW w:w="46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5.42%</w:t>
            </w:r>
          </w:p>
        </w:tc>
        <w:tc>
          <w:tcPr>
            <w:tcW w:w="240" w:type="dxa"/>
            <w:vAlign w:val="bottom"/>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88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1,540,374</w:t>
            </w:r>
          </w:p>
        </w:tc>
        <w:tc>
          <w:tcPr>
            <w:tcW w:w="320" w:type="dxa"/>
            <w:vAlign w:val="bottom"/>
          </w:tcPr>
          <w:p>
            <w:pPr>
              <w:jc w:val="right"/>
              <w:ind w:right="88"/>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11,872</w:t>
            </w:r>
          </w:p>
        </w:tc>
        <w:tc>
          <w:tcPr>
            <w:tcW w:w="260" w:type="dxa"/>
            <w:vAlign w:val="bottom"/>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80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1,552,246</w:t>
            </w:r>
          </w:p>
        </w:tc>
      </w:tr>
      <w:tr>
        <w:trPr>
          <w:trHeight w:val="230"/>
        </w:trPr>
        <w:tc>
          <w:tcPr>
            <w:tcW w:w="46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5.27%</w:t>
            </w:r>
          </w:p>
        </w:tc>
        <w:tc>
          <w:tcPr>
            <w:tcW w:w="240" w:type="dxa"/>
            <w:vAlign w:val="bottom"/>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88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5,902,084</w:t>
            </w:r>
          </w:p>
        </w:tc>
        <w:tc>
          <w:tcPr>
            <w:tcW w:w="320" w:type="dxa"/>
            <w:vAlign w:val="bottom"/>
          </w:tcPr>
          <w:p>
            <w:pPr>
              <w:jc w:val="right"/>
              <w:ind w:right="88"/>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549,696</w:t>
            </w:r>
          </w:p>
        </w:tc>
        <w:tc>
          <w:tcPr>
            <w:tcW w:w="260" w:type="dxa"/>
            <w:vAlign w:val="bottom"/>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80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6,451,780</w:t>
            </w:r>
          </w:p>
        </w:tc>
      </w:tr>
      <w:tr>
        <w:trPr>
          <w:trHeight w:val="230"/>
        </w:trPr>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91.48%</w:t>
            </w:r>
          </w:p>
        </w:tc>
        <w:tc>
          <w:tcPr>
            <w:tcW w:w="320" w:type="dxa"/>
            <w:vAlign w:val="bottom"/>
          </w:tcPr>
          <w:p>
            <w:pPr>
              <w:spacing w:after="0"/>
              <w:rPr>
                <w:sz w:val="19"/>
                <w:szCs w:val="19"/>
                <w:color w:val="auto"/>
              </w:rPr>
            </w:pPr>
          </w:p>
        </w:tc>
        <w:tc>
          <w:tcPr>
            <w:tcW w:w="82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8.52%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b w:val="1"/>
                <w:bCs w:val="1"/>
                <w:color w:val="auto"/>
              </w:rPr>
              <w:t>100.00%</w:t>
            </w:r>
          </w:p>
        </w:tc>
      </w:tr>
    </w:tbl>
    <w:p>
      <w:pPr>
        <w:spacing w:after="0" w:line="200" w:lineRule="exact"/>
        <w:rPr>
          <w:sz w:val="20"/>
          <w:szCs w:val="20"/>
          <w:color w:val="auto"/>
        </w:rPr>
      </w:pPr>
    </w:p>
    <w:p>
      <w:pPr>
        <w:sectPr>
          <w:pgSz w:w="11900" w:h="16857" w:orient="portrait"/>
          <w:cols w:equalWidth="0" w:num="2">
            <w:col w:w="5380" w:space="720"/>
            <w:col w:w="3840"/>
          </w:cols>
          <w:pgMar w:left="980" w:top="151" w:right="9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The Macerich Company</w:t>
      </w:r>
    </w:p>
    <w:p>
      <w:pPr>
        <w:jc w:val="center"/>
        <w:ind w:right="140"/>
        <w:spacing w:after="0" w:line="206" w:lineRule="auto"/>
        <w:rPr>
          <w:sz w:val="20"/>
          <w:szCs w:val="20"/>
          <w:color w:val="auto"/>
        </w:rPr>
      </w:pPr>
      <w:r>
        <w:rPr>
          <w:rFonts w:ascii="Calibri" w:cs="Calibri" w:eastAsia="Calibri" w:hAnsi="Calibri"/>
          <w:sz w:val="18"/>
          <w:szCs w:val="18"/>
          <w:b w:val="1"/>
          <w:bCs w:val="1"/>
          <w:color w:val="auto"/>
        </w:rPr>
        <w:t>Supplemental Financial and Operatng Informaton (Unaudited)</w:t>
      </w:r>
    </w:p>
    <w:p>
      <w:pPr>
        <w:jc w:val="center"/>
        <w:ind w:right="60"/>
        <w:spacing w:after="0" w:line="221" w:lineRule="auto"/>
        <w:rPr>
          <w:sz w:val="20"/>
          <w:szCs w:val="20"/>
          <w:color w:val="auto"/>
        </w:rPr>
      </w:pPr>
      <w:r>
        <w:rPr>
          <w:rFonts w:ascii="Calibri" w:cs="Calibri" w:eastAsia="Calibri" w:hAnsi="Calibri"/>
          <w:sz w:val="18"/>
          <w:szCs w:val="18"/>
          <w:b w:val="1"/>
          <w:bCs w:val="1"/>
          <w:color w:val="auto"/>
        </w:rPr>
        <w:t>Outstanding Debt by Maturity Date</w:t>
      </w:r>
    </w:p>
    <w:p>
      <w:pPr>
        <w:spacing w:after="0" w:line="226" w:lineRule="exact"/>
        <w:rPr>
          <w:sz w:val="20"/>
          <w:szCs w:val="20"/>
          <w:color w:val="auto"/>
        </w:rPr>
      </w:pPr>
    </w:p>
    <w:p>
      <w:pPr>
        <w:ind w:left="420" w:right="100" w:hanging="413"/>
        <w:spacing w:after="0" w:line="239" w:lineRule="auto"/>
        <w:tabs>
          <w:tab w:leader="none" w:pos="420" w:val="left"/>
        </w:tabs>
        <w:numPr>
          <w:ilvl w:val="0"/>
          <w:numId w:val="20"/>
        </w:numPr>
        <w:rPr>
          <w:rFonts w:ascii="Calibri" w:cs="Calibri" w:eastAsia="Calibri" w:hAnsi="Calibri"/>
          <w:sz w:val="14"/>
          <w:szCs w:val="14"/>
          <w:color w:val="auto"/>
        </w:rPr>
      </w:pPr>
      <w:r>
        <w:rPr>
          <w:rFonts w:ascii="Calibri" w:cs="Calibri" w:eastAsia="Calibri" w:hAnsi="Calibri"/>
          <w:sz w:val="14"/>
          <w:szCs w:val="14"/>
          <w:color w:val="auto"/>
        </w:rPr>
        <w:t>The debt balances include the unamortzed debt discounts and loan fnance costs. Debt discounts represent the defciency of the fair value of debt below the principal value of debt assumed in various acquisitons. Debt discounts and loan fnance costs are amortzed into interest expense over the remaining term of the related debt in a manner that approximates the efectve interest method. The annual interest rate in the table represents the efectve interest rate, including the debt discounts and loan fnance costs.</w:t>
      </w:r>
    </w:p>
    <w:p>
      <w:pPr>
        <w:spacing w:after="0" w:line="182" w:lineRule="exact"/>
        <w:rPr>
          <w:rFonts w:ascii="Calibri" w:cs="Calibri" w:eastAsia="Calibri" w:hAnsi="Calibri"/>
          <w:sz w:val="14"/>
          <w:szCs w:val="14"/>
          <w:color w:val="auto"/>
        </w:rPr>
      </w:pPr>
    </w:p>
    <w:p>
      <w:pPr>
        <w:ind w:left="420" w:hanging="413"/>
        <w:spacing w:after="0"/>
        <w:tabs>
          <w:tab w:leader="none" w:pos="420" w:val="left"/>
        </w:tabs>
        <w:numPr>
          <w:ilvl w:val="0"/>
          <w:numId w:val="20"/>
        </w:numPr>
        <w:rPr>
          <w:rFonts w:ascii="Calibri" w:cs="Calibri" w:eastAsia="Calibri" w:hAnsi="Calibri"/>
          <w:sz w:val="14"/>
          <w:szCs w:val="14"/>
          <w:color w:val="auto"/>
        </w:rPr>
      </w:pPr>
      <w:r>
        <w:rPr>
          <w:rFonts w:ascii="Calibri" w:cs="Calibri" w:eastAsia="Calibri" w:hAnsi="Calibri"/>
          <w:sz w:val="14"/>
          <w:szCs w:val="14"/>
          <w:color w:val="auto"/>
        </w:rPr>
        <w:t>The property is owned by a consolidated joint venture. The loan amount represents the Company's pro rata share of 84.9%.</w:t>
      </w:r>
    </w:p>
    <w:p>
      <w:pPr>
        <w:spacing w:after="0" w:line="180" w:lineRule="exact"/>
        <w:rPr>
          <w:rFonts w:ascii="Calibri" w:cs="Calibri" w:eastAsia="Calibri" w:hAnsi="Calibri"/>
          <w:sz w:val="14"/>
          <w:szCs w:val="14"/>
          <w:color w:val="auto"/>
        </w:rPr>
      </w:pPr>
    </w:p>
    <w:p>
      <w:pPr>
        <w:ind w:left="420" w:hanging="413"/>
        <w:spacing w:after="0"/>
        <w:tabs>
          <w:tab w:leader="none" w:pos="420" w:val="left"/>
        </w:tabs>
        <w:numPr>
          <w:ilvl w:val="0"/>
          <w:numId w:val="20"/>
        </w:numPr>
        <w:rPr>
          <w:rFonts w:ascii="Calibri" w:cs="Calibri" w:eastAsia="Calibri" w:hAnsi="Calibri"/>
          <w:sz w:val="14"/>
          <w:szCs w:val="14"/>
          <w:color w:val="auto"/>
        </w:rPr>
      </w:pPr>
      <w:r>
        <w:rPr>
          <w:rFonts w:ascii="Calibri" w:cs="Calibri" w:eastAsia="Calibri" w:hAnsi="Calibri"/>
          <w:sz w:val="14"/>
          <w:szCs w:val="14"/>
          <w:color w:val="auto"/>
        </w:rPr>
        <w:t>The Company has completed transiton of the property to a receiver, but is stll the owner of record.</w:t>
      </w:r>
    </w:p>
    <w:p>
      <w:pPr>
        <w:sectPr>
          <w:pgSz w:w="11900" w:h="16857" w:orient="portrait"/>
          <w:cols w:equalWidth="0" w:num="1">
            <w:col w:w="9940"/>
          </w:cols>
          <w:pgMar w:left="980" w:top="151" w:right="979" w:bottom="0" w:gutter="0" w:footer="0" w:header="0"/>
          <w:type w:val="continuous"/>
        </w:sectPr>
      </w:pPr>
    </w:p>
    <w:bookmarkStart w:id="30" w:name="page31"/>
    <w:bookmarkEnd w:id="30"/>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420" w:hanging="413"/>
        <w:spacing w:after="0" w:line="245" w:lineRule="auto"/>
        <w:tabs>
          <w:tab w:leader="none" w:pos="420" w:val="left"/>
        </w:tabs>
        <w:numPr>
          <w:ilvl w:val="0"/>
          <w:numId w:val="21"/>
        </w:numPr>
        <w:rPr>
          <w:rFonts w:ascii="Calibri" w:cs="Calibri" w:eastAsia="Calibri" w:hAnsi="Calibri"/>
          <w:sz w:val="14"/>
          <w:szCs w:val="14"/>
          <w:color w:val="auto"/>
        </w:rPr>
      </w:pPr>
      <w:r>
        <w:rPr>
          <w:rFonts w:ascii="Calibri" w:cs="Calibri" w:eastAsia="Calibri" w:hAnsi="Calibri"/>
          <w:sz w:val="14"/>
          <w:szCs w:val="14"/>
          <w:color w:val="auto"/>
        </w:rPr>
        <w:t>The maturity date assumes that all available extension optons are fully exercised and that the Company and/or its afliates do not opt to refnance the debt prior to these dates.</w:t>
      </w:r>
    </w:p>
    <w:p>
      <w:pPr>
        <w:spacing w:after="0" w:line="176" w:lineRule="exact"/>
        <w:rPr>
          <w:rFonts w:ascii="Calibri" w:cs="Calibri" w:eastAsia="Calibri" w:hAnsi="Calibri"/>
          <w:sz w:val="14"/>
          <w:szCs w:val="14"/>
          <w:color w:val="auto"/>
        </w:rPr>
      </w:pPr>
    </w:p>
    <w:p>
      <w:pPr>
        <w:ind w:left="420" w:hanging="413"/>
        <w:spacing w:after="0"/>
        <w:tabs>
          <w:tab w:leader="none" w:pos="420" w:val="left"/>
        </w:tabs>
        <w:numPr>
          <w:ilvl w:val="0"/>
          <w:numId w:val="21"/>
        </w:numPr>
        <w:rPr>
          <w:rFonts w:ascii="Calibri" w:cs="Calibri" w:eastAsia="Calibri" w:hAnsi="Calibri"/>
          <w:sz w:val="14"/>
          <w:szCs w:val="14"/>
          <w:color w:val="auto"/>
        </w:rPr>
      </w:pPr>
      <w:r>
        <w:rPr>
          <w:rFonts w:ascii="Calibri" w:cs="Calibri" w:eastAsia="Calibri" w:hAnsi="Calibri"/>
          <w:sz w:val="14"/>
          <w:szCs w:val="14"/>
          <w:color w:val="auto"/>
        </w:rPr>
        <w:t>Efectve February 6, 2026, the loan is in default. The Company's joint venture is in negotatons with the lender on the terms of this loan.</w:t>
      </w:r>
    </w:p>
    <w:p>
      <w:pPr>
        <w:spacing w:after="0" w:line="167" w:lineRule="exact"/>
        <w:rPr>
          <w:rFonts w:ascii="Calibri" w:cs="Calibri" w:eastAsia="Calibri" w:hAnsi="Calibri"/>
          <w:sz w:val="14"/>
          <w:szCs w:val="14"/>
          <w:color w:val="auto"/>
        </w:rPr>
      </w:pPr>
    </w:p>
    <w:p>
      <w:pPr>
        <w:ind w:left="420" w:right="100" w:hanging="413"/>
        <w:spacing w:after="0" w:line="245" w:lineRule="auto"/>
        <w:tabs>
          <w:tab w:leader="none" w:pos="420" w:val="left"/>
        </w:tabs>
        <w:numPr>
          <w:ilvl w:val="0"/>
          <w:numId w:val="21"/>
        </w:numPr>
        <w:rPr>
          <w:rFonts w:ascii="Calibri" w:cs="Calibri" w:eastAsia="Calibri" w:hAnsi="Calibri"/>
          <w:sz w:val="14"/>
          <w:szCs w:val="14"/>
          <w:color w:val="auto"/>
        </w:rPr>
      </w:pPr>
      <w:r>
        <w:rPr>
          <w:rFonts w:ascii="Calibri" w:cs="Calibri" w:eastAsia="Calibri" w:hAnsi="Calibri"/>
          <w:sz w:val="14"/>
          <w:szCs w:val="14"/>
          <w:color w:val="auto"/>
        </w:rPr>
        <w:t>On April 7, 2026, the Company's joint venture in Deptord Mall obtained a new $115.0 million interest only loan at a fxed rate of 6.95% that matures on May 6, 2031.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b w:val="1"/>
          <w:bCs w:val="1"/>
          <w:color w:val="auto"/>
        </w:rPr>
        <w:t>The Macerich Company</w:t>
      </w:r>
    </w:p>
    <w:p>
      <w:pPr>
        <w:jc w:val="center"/>
        <w:ind w:right="20"/>
        <w:spacing w:after="0" w:line="206" w:lineRule="auto"/>
        <w:rPr>
          <w:sz w:val="20"/>
          <w:szCs w:val="20"/>
          <w:color w:val="auto"/>
        </w:rPr>
      </w:pPr>
      <w:r>
        <w:rPr>
          <w:rFonts w:ascii="Calibri" w:cs="Calibri" w:eastAsia="Calibri" w:hAnsi="Calibri"/>
          <w:sz w:val="18"/>
          <w:szCs w:val="18"/>
          <w:b w:val="1"/>
          <w:bCs w:val="1"/>
          <w:color w:val="auto"/>
        </w:rPr>
        <w:t>Supplemental Financial and Operatng Informaton (Unaudited)</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Development and Redevelopment Pipeline Forecast</w:t>
      </w:r>
    </w:p>
    <w:p>
      <w:pPr>
        <w:jc w:val="center"/>
        <w:ind w:right="-79"/>
        <w:spacing w:after="0" w:line="220" w:lineRule="auto"/>
        <w:rPr>
          <w:sz w:val="20"/>
          <w:szCs w:val="20"/>
          <w:color w:val="auto"/>
        </w:rPr>
      </w:pPr>
      <w:r>
        <w:rPr>
          <w:rFonts w:ascii="Calibri" w:cs="Calibri" w:eastAsia="Calibri" w:hAnsi="Calibri"/>
          <w:sz w:val="18"/>
          <w:szCs w:val="18"/>
          <w:b w:val="1"/>
          <w:bCs w:val="1"/>
          <w:color w:val="auto"/>
        </w:rPr>
        <w:t>(Dollars in millions)</w:t>
      </w:r>
    </w:p>
    <w:p>
      <w:pPr>
        <w:jc w:val="center"/>
        <w:ind w:right="-119"/>
        <w:spacing w:after="0"/>
        <w:rPr>
          <w:sz w:val="20"/>
          <w:szCs w:val="20"/>
          <w:color w:val="auto"/>
        </w:rPr>
      </w:pPr>
      <w:r>
        <w:rPr>
          <w:rFonts w:ascii="Arial" w:cs="Arial" w:eastAsia="Arial" w:hAnsi="Arial"/>
          <w:sz w:val="16"/>
          <w:szCs w:val="16"/>
          <w:b w:val="1"/>
          <w:bCs w:val="1"/>
          <w:color w:val="auto"/>
        </w:rPr>
        <w:t>As of March 31, 2026</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007681"/>
        </w:rPr>
        <w:t>In-Process Developments and Redevelopments:</w:t>
      </w:r>
    </w:p>
    <w:p>
      <w:pPr>
        <w:sectPr>
          <w:pgSz w:w="11900" w:h="16925" w:orient="portrait"/>
          <w:cols w:equalWidth="0" w:num="1">
            <w:col w:w="9820"/>
          </w:cols>
          <w:pgMar w:left="980" w:top="247"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2940" w:type="dxa"/>
            <w:vAlign w:val="bottom"/>
          </w:tcPr>
          <w:p>
            <w:pPr>
              <w:ind w:left="120"/>
              <w:spacing w:after="0"/>
              <w:rPr>
                <w:sz w:val="20"/>
                <w:szCs w:val="20"/>
                <w:color w:val="auto"/>
              </w:rPr>
            </w:pPr>
            <w:r>
              <w:rPr>
                <w:rFonts w:ascii="Calibri" w:cs="Calibri" w:eastAsia="Calibri" w:hAnsi="Calibri"/>
                <w:sz w:val="14"/>
                <w:szCs w:val="14"/>
                <w:color w:val="auto"/>
              </w:rPr>
              <w:t>Development of luxury, mult-family</w:t>
            </w:r>
          </w:p>
        </w:tc>
        <w:tc>
          <w:tcPr>
            <w:tcW w:w="2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1120" w:type="dxa"/>
            <w:vAlign w:val="bottom"/>
          </w:tcPr>
          <w:p>
            <w:pPr>
              <w:spacing w:after="0"/>
              <w:rPr>
                <w:sz w:val="14"/>
                <w:szCs w:val="14"/>
                <w:color w:val="auto"/>
              </w:rPr>
            </w:pPr>
          </w:p>
        </w:tc>
        <w:tc>
          <w:tcPr>
            <w:tcW w:w="2940" w:type="dxa"/>
            <w:vAlign w:val="bottom"/>
          </w:tcPr>
          <w:p>
            <w:pPr>
              <w:ind w:left="120"/>
              <w:spacing w:after="0"/>
              <w:rPr>
                <w:sz w:val="20"/>
                <w:szCs w:val="20"/>
                <w:color w:val="auto"/>
              </w:rPr>
            </w:pPr>
            <w:r>
              <w:rPr>
                <w:rFonts w:ascii="Calibri" w:cs="Calibri" w:eastAsia="Calibri" w:hAnsi="Calibri"/>
                <w:sz w:val="14"/>
                <w:szCs w:val="14"/>
                <w:color w:val="auto"/>
              </w:rPr>
              <w:t>residental units, new/repurposed</w:t>
            </w:r>
          </w:p>
        </w:tc>
        <w:tc>
          <w:tcPr>
            <w:tcW w:w="2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1120" w:type="dxa"/>
            <w:vAlign w:val="bottom"/>
          </w:tcPr>
          <w:p>
            <w:pPr>
              <w:spacing w:after="0"/>
              <w:rPr>
                <w:sz w:val="20"/>
                <w:szCs w:val="20"/>
                <w:color w:val="auto"/>
              </w:rPr>
            </w:pPr>
            <w:r>
              <w:rPr>
                <w:rFonts w:ascii="Calibri" w:cs="Calibri" w:eastAsia="Calibri" w:hAnsi="Calibri"/>
                <w:sz w:val="14"/>
                <w:szCs w:val="14"/>
                <w:color w:val="auto"/>
              </w:rPr>
              <w:t>FlatIron Crossing</w:t>
            </w:r>
          </w:p>
        </w:tc>
        <w:tc>
          <w:tcPr>
            <w:tcW w:w="2940" w:type="dxa"/>
            <w:vAlign w:val="bottom"/>
          </w:tcPr>
          <w:p>
            <w:pPr>
              <w:ind w:left="120"/>
              <w:spacing w:after="0"/>
              <w:rPr>
                <w:sz w:val="20"/>
                <w:szCs w:val="20"/>
                <w:color w:val="auto"/>
              </w:rPr>
            </w:pPr>
            <w:r>
              <w:rPr>
                <w:rFonts w:ascii="Calibri" w:cs="Calibri" w:eastAsia="Calibri" w:hAnsi="Calibri"/>
                <w:sz w:val="14"/>
                <w:szCs w:val="14"/>
                <w:color w:val="auto"/>
              </w:rPr>
              <w:t>retail and food &amp; beverage uses, and</w:t>
            </w:r>
          </w:p>
        </w:tc>
        <w:tc>
          <w:tcPr>
            <w:tcW w:w="2640" w:type="dxa"/>
            <w:vAlign w:val="bottom"/>
          </w:tcPr>
          <w:p>
            <w:pPr>
              <w:ind w:left="660"/>
              <w:spacing w:after="0"/>
              <w:rPr>
                <w:sz w:val="20"/>
                <w:szCs w:val="20"/>
                <w:color w:val="auto"/>
              </w:rPr>
            </w:pPr>
            <w:r>
              <w:rPr>
                <w:rFonts w:ascii="Calibri" w:cs="Calibri" w:eastAsia="Calibri" w:hAnsi="Calibri"/>
                <w:sz w:val="14"/>
                <w:szCs w:val="14"/>
                <w:color w:val="auto"/>
              </w:rPr>
              <w:t>43.4% and 51%</w:t>
            </w:r>
          </w:p>
        </w:tc>
        <w:tc>
          <w:tcPr>
            <w:tcW w:w="1840" w:type="dxa"/>
            <w:vAlign w:val="bottom"/>
          </w:tcPr>
          <w:p>
            <w:pPr>
              <w:jc w:val="right"/>
              <w:ind w:right="48"/>
              <w:spacing w:after="0"/>
              <w:rPr>
                <w:sz w:val="20"/>
                <w:szCs w:val="20"/>
                <w:color w:val="auto"/>
              </w:rPr>
            </w:pPr>
            <w:r>
              <w:rPr>
                <w:rFonts w:ascii="Calibri" w:cs="Calibri" w:eastAsia="Calibri" w:hAnsi="Calibri"/>
                <w:sz w:val="14"/>
                <w:szCs w:val="14"/>
                <w:color w:val="auto"/>
              </w:rPr>
              <w:t>2027/2029</w:t>
            </w:r>
          </w:p>
        </w:tc>
        <w:tc>
          <w:tcPr>
            <w:tcW w:w="940" w:type="dxa"/>
            <w:vAlign w:val="bottom"/>
          </w:tcPr>
          <w:p>
            <w:pPr>
              <w:jc w:val="right"/>
              <w:spacing w:after="0"/>
              <w:rPr>
                <w:sz w:val="20"/>
                <w:szCs w:val="20"/>
                <w:color w:val="auto"/>
              </w:rPr>
            </w:pPr>
            <w:r>
              <w:rPr>
                <w:rFonts w:ascii="Calibri" w:cs="Calibri" w:eastAsia="Calibri" w:hAnsi="Calibri"/>
                <w:sz w:val="14"/>
                <w:szCs w:val="14"/>
                <w:color w:val="auto"/>
              </w:rPr>
              <w:t>6.75% - 7.75%</w:t>
            </w:r>
          </w:p>
        </w:tc>
      </w:tr>
    </w:tbl>
    <w:p>
      <w:pPr>
        <w:sectPr>
          <w:pgSz w:w="11900" w:h="16925" w:orient="portrait"/>
          <w:cols w:equalWidth="0" w:num="1">
            <w:col w:w="9820"/>
          </w:cols>
          <w:pgMar w:left="980" w:top="247" w:right="1099" w:bottom="0" w:gutter="0" w:footer="0" w:header="0"/>
          <w:type w:val="continuous"/>
        </w:sectPr>
      </w:pPr>
    </w:p>
    <w:bookmarkStart w:id="31" w:name="page32"/>
    <w:bookmarkEnd w:id="31"/>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gridSpan w:val="2"/>
          </w:tcPr>
          <w:p>
            <w:pPr>
              <w:ind w:left="60"/>
              <w:spacing w:after="0"/>
              <w:rPr>
                <w:sz w:val="20"/>
                <w:szCs w:val="20"/>
                <w:color w:val="auto"/>
              </w:rPr>
            </w:pPr>
            <w:r>
              <w:rPr>
                <w:rFonts w:ascii="Calibri" w:cs="Calibri" w:eastAsia="Calibri" w:hAnsi="Calibri"/>
                <w:sz w:val="14"/>
                <w:szCs w:val="14"/>
                <w:color w:val="auto"/>
              </w:rPr>
              <w:t>Broomfeld, CO</w:t>
            </w:r>
          </w:p>
        </w:tc>
        <w:tc>
          <w:tcPr>
            <w:tcW w:w="2280" w:type="dxa"/>
            <w:vAlign w:val="bottom"/>
          </w:tcPr>
          <w:p>
            <w:pPr>
              <w:ind w:left="40"/>
              <w:spacing w:after="0"/>
              <w:rPr>
                <w:sz w:val="20"/>
                <w:szCs w:val="20"/>
                <w:color w:val="auto"/>
              </w:rPr>
            </w:pPr>
            <w:r>
              <w:rPr>
                <w:rFonts w:ascii="Calibri" w:cs="Calibri" w:eastAsia="Calibri" w:hAnsi="Calibri"/>
                <w:sz w:val="14"/>
                <w:szCs w:val="14"/>
                <w:color w:val="auto"/>
              </w:rPr>
              <w:t>a community plaza, and</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40"/>
              <w:spacing w:after="0"/>
              <w:rPr>
                <w:sz w:val="20"/>
                <w:szCs w:val="20"/>
                <w:color w:val="auto"/>
              </w:rPr>
            </w:pPr>
            <w:r>
              <w:rPr>
                <w:rFonts w:ascii="Calibri" w:cs="Calibri" w:eastAsia="Calibri" w:hAnsi="Calibri"/>
                <w:sz w:val="14"/>
                <w:szCs w:val="14"/>
                <w:color w:val="auto"/>
              </w:rPr>
              <w:t>redevelopment of the vacant former</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40"/>
              <w:spacing w:after="0"/>
              <w:rPr>
                <w:sz w:val="20"/>
                <w:szCs w:val="20"/>
                <w:color w:val="auto"/>
              </w:rPr>
            </w:pPr>
            <w:r>
              <w:rPr>
                <w:rFonts w:ascii="Calibri" w:cs="Calibri" w:eastAsia="Calibri" w:hAnsi="Calibri"/>
                <w:sz w:val="14"/>
                <w:szCs w:val="14"/>
                <w:color w:val="auto"/>
              </w:rPr>
              <w:t>Nordstrom store.</w:t>
            </w:r>
          </w:p>
        </w:tc>
        <w:tc>
          <w:tcPr>
            <w:tcW w:w="0" w:type="dxa"/>
            <w:vAlign w:val="bottom"/>
          </w:tcPr>
          <w:p>
            <w:pPr>
              <w:spacing w:after="0"/>
              <w:rPr>
                <w:sz w:val="1"/>
                <w:szCs w:val="1"/>
                <w:color w:val="auto"/>
              </w:rPr>
            </w:pPr>
          </w:p>
        </w:tc>
      </w:tr>
      <w:tr>
        <w:trPr>
          <w:trHeight w:val="223"/>
        </w:trPr>
        <w:tc>
          <w:tcPr>
            <w:tcW w:w="1260" w:type="dxa"/>
            <w:vAlign w:val="bottom"/>
            <w:gridSpan w:val="2"/>
            <w:vMerge w:val="restart"/>
          </w:tcPr>
          <w:p>
            <w:pPr>
              <w:ind w:left="360"/>
              <w:spacing w:after="0"/>
              <w:rPr>
                <w:sz w:val="20"/>
                <w:szCs w:val="20"/>
                <w:color w:val="auto"/>
              </w:rPr>
            </w:pPr>
            <w:r>
              <w:rPr>
                <w:rFonts w:ascii="Calibri" w:cs="Calibri" w:eastAsia="Calibri" w:hAnsi="Calibri"/>
                <w:sz w:val="14"/>
                <w:szCs w:val="14"/>
                <w:b w:val="1"/>
                <w:bCs w:val="1"/>
                <w:color w:val="auto"/>
              </w:rPr>
              <w:t>Property</w:t>
            </w:r>
          </w:p>
        </w:tc>
        <w:tc>
          <w:tcPr>
            <w:tcW w:w="2280" w:type="dxa"/>
            <w:vAlign w:val="bottom"/>
          </w:tcPr>
          <w:p>
            <w:pPr>
              <w:ind w:left="40"/>
              <w:spacing w:after="0"/>
              <w:rPr>
                <w:sz w:val="20"/>
                <w:szCs w:val="20"/>
                <w:color w:val="auto"/>
              </w:rPr>
            </w:pPr>
            <w:r>
              <w:rPr>
                <w:rFonts w:ascii="Calibri" w:cs="Calibri" w:eastAsia="Calibri" w:hAnsi="Calibri"/>
                <w:sz w:val="14"/>
                <w:szCs w:val="14"/>
                <w:color w:val="auto"/>
              </w:rPr>
              <w:t>Redevelopment of northeast</w:t>
            </w:r>
          </w:p>
        </w:tc>
        <w:tc>
          <w:tcPr>
            <w:tcW w:w="0" w:type="dxa"/>
            <w:vAlign w:val="bottom"/>
          </w:tcPr>
          <w:p>
            <w:pPr>
              <w:spacing w:after="0"/>
              <w:rPr>
                <w:sz w:val="1"/>
                <w:szCs w:val="1"/>
                <w:color w:val="auto"/>
              </w:rPr>
            </w:pPr>
          </w:p>
        </w:tc>
      </w:tr>
      <w:tr>
        <w:trPr>
          <w:trHeight w:val="67"/>
        </w:trPr>
        <w:tc>
          <w:tcPr>
            <w:tcW w:w="1260" w:type="dxa"/>
            <w:vAlign w:val="bottom"/>
            <w:gridSpan w:val="2"/>
            <w:vMerge w:val="continue"/>
          </w:tcPr>
          <w:p>
            <w:pPr>
              <w:spacing w:after="0"/>
              <w:rPr>
                <w:sz w:val="5"/>
                <w:szCs w:val="5"/>
                <w:color w:val="auto"/>
              </w:rPr>
            </w:pPr>
          </w:p>
        </w:tc>
        <w:tc>
          <w:tcPr>
            <w:tcW w:w="2280" w:type="dxa"/>
            <w:vAlign w:val="bottom"/>
          </w:tcPr>
          <w:p>
            <w:pPr>
              <w:ind w:left="760"/>
              <w:spacing w:after="0" w:line="68" w:lineRule="exact"/>
              <w:rPr>
                <w:sz w:val="20"/>
                <w:szCs w:val="20"/>
                <w:color w:val="auto"/>
              </w:rPr>
            </w:pPr>
            <w:r>
              <w:rPr>
                <w:rFonts w:ascii="Calibri" w:cs="Calibri" w:eastAsia="Calibri" w:hAnsi="Calibri"/>
                <w:sz w:val="7"/>
                <w:szCs w:val="7"/>
                <w:b w:val="1"/>
                <w:bCs w:val="1"/>
                <w:color w:val="auto"/>
              </w:rPr>
              <w:t>Project Type</w:t>
            </w:r>
          </w:p>
        </w:tc>
        <w:tc>
          <w:tcPr>
            <w:tcW w:w="0" w:type="dxa"/>
            <w:vAlign w:val="bottom"/>
          </w:tcPr>
          <w:p>
            <w:pPr>
              <w:spacing w:after="0"/>
              <w:rPr>
                <w:sz w:val="1"/>
                <w:szCs w:val="1"/>
                <w:color w:val="auto"/>
              </w:rPr>
            </w:pPr>
          </w:p>
        </w:tc>
      </w:tr>
      <w:tr>
        <w:trPr>
          <w:trHeight w:val="68"/>
        </w:trPr>
        <w:tc>
          <w:tcPr>
            <w:tcW w:w="1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280" w:type="dxa"/>
            <w:vAlign w:val="bottom"/>
            <w:vMerge w:val="restart"/>
          </w:tcPr>
          <w:p>
            <w:pPr>
              <w:ind w:left="40"/>
              <w:spacing w:after="0" w:line="134" w:lineRule="exact"/>
              <w:rPr>
                <w:sz w:val="20"/>
                <w:szCs w:val="20"/>
                <w:color w:val="auto"/>
              </w:rPr>
            </w:pPr>
            <w:r>
              <w:rPr>
                <w:rFonts w:ascii="Calibri" w:cs="Calibri" w:eastAsia="Calibri" w:hAnsi="Calibri"/>
                <w:sz w:val="14"/>
                <w:szCs w:val="14"/>
                <w:color w:val="auto"/>
              </w:rPr>
              <w:t>quadrant of mall property, new</w:t>
            </w:r>
          </w:p>
        </w:tc>
        <w:tc>
          <w:tcPr>
            <w:tcW w:w="0" w:type="dxa"/>
            <w:vAlign w:val="bottom"/>
          </w:tcPr>
          <w:p>
            <w:pPr>
              <w:spacing w:after="0"/>
              <w:rPr>
                <w:sz w:val="1"/>
                <w:szCs w:val="1"/>
                <w:color w:val="auto"/>
              </w:rPr>
            </w:pPr>
          </w:p>
        </w:tc>
      </w:tr>
      <w:tr>
        <w:trPr>
          <w:trHeight w:val="47"/>
        </w:trPr>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alibri" w:cs="Calibri" w:eastAsia="Calibri" w:hAnsi="Calibri"/>
                <w:sz w:val="14"/>
                <w:szCs w:val="14"/>
                <w:color w:val="auto"/>
              </w:rPr>
              <w:t>exterior shops and façade, approx.</w:t>
            </w:r>
          </w:p>
        </w:tc>
        <w:tc>
          <w:tcPr>
            <w:tcW w:w="0" w:type="dxa"/>
            <w:vAlign w:val="bottom"/>
          </w:tcPr>
          <w:p>
            <w:pPr>
              <w:spacing w:after="0"/>
              <w:rPr>
                <w:sz w:val="1"/>
                <w:szCs w:val="1"/>
                <w:color w:val="auto"/>
              </w:rPr>
            </w:pPr>
          </w:p>
        </w:tc>
      </w:tr>
      <w:tr>
        <w:trPr>
          <w:trHeight w:val="176"/>
        </w:trPr>
        <w:tc>
          <w:tcPr>
            <w:tcW w:w="1260" w:type="dxa"/>
            <w:vAlign w:val="bottom"/>
            <w:gridSpan w:val="2"/>
          </w:tcPr>
          <w:p>
            <w:pPr>
              <w:ind w:left="60"/>
              <w:spacing w:after="0"/>
              <w:rPr>
                <w:sz w:val="20"/>
                <w:szCs w:val="20"/>
                <w:color w:val="auto"/>
              </w:rPr>
            </w:pPr>
            <w:r>
              <w:rPr>
                <w:rFonts w:ascii="Calibri" w:cs="Calibri" w:eastAsia="Calibri" w:hAnsi="Calibri"/>
                <w:sz w:val="14"/>
                <w:szCs w:val="14"/>
                <w:color w:val="auto"/>
              </w:rPr>
              <w:t>Green Acres Mall</w:t>
            </w:r>
          </w:p>
        </w:tc>
        <w:tc>
          <w:tcPr>
            <w:tcW w:w="2280" w:type="dxa"/>
            <w:vAlign w:val="bottom"/>
          </w:tcPr>
          <w:p>
            <w:pPr>
              <w:ind w:left="40"/>
              <w:spacing w:after="0"/>
              <w:rPr>
                <w:sz w:val="20"/>
                <w:szCs w:val="20"/>
                <w:color w:val="auto"/>
              </w:rPr>
            </w:pPr>
            <w:r>
              <w:rPr>
                <w:rFonts w:ascii="Calibri" w:cs="Calibri" w:eastAsia="Calibri" w:hAnsi="Calibri"/>
                <w:sz w:val="14"/>
                <w:szCs w:val="14"/>
                <w:color w:val="auto"/>
              </w:rPr>
              <w:t>375,000 sf of leasing including new</w:t>
            </w:r>
          </w:p>
        </w:tc>
        <w:tc>
          <w:tcPr>
            <w:tcW w:w="0" w:type="dxa"/>
            <w:vAlign w:val="bottom"/>
          </w:tcPr>
          <w:p>
            <w:pPr>
              <w:spacing w:after="0"/>
              <w:rPr>
                <w:sz w:val="1"/>
                <w:szCs w:val="1"/>
                <w:color w:val="auto"/>
              </w:rPr>
            </w:pPr>
          </w:p>
        </w:tc>
      </w:tr>
      <w:tr>
        <w:trPr>
          <w:trHeight w:val="176"/>
        </w:trPr>
        <w:tc>
          <w:tcPr>
            <w:tcW w:w="1260" w:type="dxa"/>
            <w:vAlign w:val="bottom"/>
            <w:gridSpan w:val="2"/>
          </w:tcPr>
          <w:p>
            <w:pPr>
              <w:ind w:left="60"/>
              <w:spacing w:after="0"/>
              <w:rPr>
                <w:sz w:val="20"/>
                <w:szCs w:val="20"/>
                <w:color w:val="auto"/>
              </w:rPr>
            </w:pPr>
            <w:r>
              <w:rPr>
                <w:rFonts w:ascii="Calibri" w:cs="Calibri" w:eastAsia="Calibri" w:hAnsi="Calibri"/>
                <w:sz w:val="14"/>
                <w:szCs w:val="14"/>
                <w:color w:val="auto"/>
              </w:rPr>
              <w:t>Valley Stream, NY</w:t>
            </w:r>
          </w:p>
        </w:tc>
        <w:tc>
          <w:tcPr>
            <w:tcW w:w="2280" w:type="dxa"/>
            <w:vAlign w:val="bottom"/>
          </w:tcPr>
          <w:p>
            <w:pPr>
              <w:ind w:left="40"/>
              <w:spacing w:after="0"/>
              <w:rPr>
                <w:sz w:val="20"/>
                <w:szCs w:val="20"/>
                <w:color w:val="auto"/>
              </w:rPr>
            </w:pPr>
            <w:r>
              <w:rPr>
                <w:rFonts w:ascii="Calibri" w:cs="Calibri" w:eastAsia="Calibri" w:hAnsi="Calibri"/>
                <w:sz w:val="14"/>
                <w:szCs w:val="14"/>
                <w:color w:val="auto"/>
              </w:rPr>
              <w:t>grocery use, redevelopment of</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tcPr>
          <w:p>
            <w:pPr>
              <w:ind w:left="40"/>
              <w:spacing w:after="0"/>
              <w:rPr>
                <w:sz w:val="20"/>
                <w:szCs w:val="20"/>
                <w:color w:val="auto"/>
              </w:rPr>
            </w:pPr>
            <w:r>
              <w:rPr>
                <w:rFonts w:ascii="Calibri" w:cs="Calibri" w:eastAsia="Calibri" w:hAnsi="Calibri"/>
                <w:sz w:val="14"/>
                <w:szCs w:val="14"/>
                <w:color w:val="auto"/>
              </w:rPr>
              <w:t>vacant anchor building and</w:t>
            </w: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40"/>
              <w:spacing w:after="0" w:line="168" w:lineRule="exact"/>
              <w:rPr>
                <w:sz w:val="20"/>
                <w:szCs w:val="20"/>
                <w:color w:val="auto"/>
              </w:rPr>
            </w:pPr>
            <w:r>
              <w:rPr>
                <w:rFonts w:ascii="Calibri" w:cs="Calibri" w:eastAsia="Calibri" w:hAnsi="Calibri"/>
                <w:sz w:val="14"/>
                <w:szCs w:val="14"/>
                <w:color w:val="auto"/>
              </w:rPr>
              <w:t>demoliton of another vacant anchor</w:t>
            </w: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alibri" w:cs="Calibri" w:eastAsia="Calibri" w:hAnsi="Calibri"/>
                <w:sz w:val="14"/>
                <w:szCs w:val="14"/>
                <w:color w:val="auto"/>
              </w:rPr>
              <w:t>building.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jc w:val="right"/>
              <w:ind w:right="88"/>
              <w:spacing w:after="0"/>
              <w:rPr>
                <w:sz w:val="20"/>
                <w:szCs w:val="20"/>
                <w:color w:val="auto"/>
              </w:rPr>
            </w:pPr>
            <w:r>
              <w:rPr>
                <w:rFonts w:ascii="Calibri" w:cs="Calibri" w:eastAsia="Calibri" w:hAnsi="Calibri"/>
                <w:sz w:val="14"/>
                <w:szCs w:val="14"/>
                <w:color w:val="auto"/>
              </w:rPr>
              <w:t>$245</w:t>
            </w:r>
          </w:p>
        </w:tc>
        <w:tc>
          <w:tcPr>
            <w:tcW w:w="500" w:type="dxa"/>
            <w:vAlign w:val="bottom"/>
          </w:tcPr>
          <w:p>
            <w:pPr>
              <w:jc w:val="right"/>
              <w:spacing w:after="0"/>
              <w:rPr>
                <w:sz w:val="20"/>
                <w:szCs w:val="20"/>
                <w:color w:val="auto"/>
              </w:rPr>
            </w:pPr>
            <w:r>
              <w:rPr>
                <w:rFonts w:ascii="Calibri" w:cs="Calibri" w:eastAsia="Calibri" w:hAnsi="Calibri"/>
                <w:sz w:val="14"/>
                <w:szCs w:val="14"/>
                <w:color w:val="auto"/>
              </w:rPr>
              <w:t>$265</w:t>
            </w:r>
          </w:p>
        </w:tc>
        <w:tc>
          <w:tcPr>
            <w:tcW w:w="60" w:type="dxa"/>
            <w:vAlign w:val="bottom"/>
          </w:tcPr>
          <w:p>
            <w:pPr>
              <w:spacing w:after="0"/>
              <w:rPr>
                <w:sz w:val="14"/>
                <w:szCs w:val="14"/>
                <w:color w:val="auto"/>
              </w:rPr>
            </w:pPr>
          </w:p>
        </w:tc>
        <w:tc>
          <w:tcPr>
            <w:tcW w:w="1000" w:type="dxa"/>
            <w:vAlign w:val="bottom"/>
            <w:gridSpan w:val="2"/>
            <w:vMerge w:val="restart"/>
          </w:tcPr>
          <w:p>
            <w:pPr>
              <w:jc w:val="center"/>
              <w:ind w:right="40"/>
              <w:spacing w:after="0"/>
              <w:rPr>
                <w:sz w:val="20"/>
                <w:szCs w:val="20"/>
                <w:color w:val="auto"/>
              </w:rPr>
            </w:pPr>
            <w:r>
              <w:rPr>
                <w:rFonts w:ascii="Calibri" w:cs="Calibri" w:eastAsia="Calibri" w:hAnsi="Calibri"/>
                <w:sz w:val="14"/>
                <w:szCs w:val="14"/>
                <w:color w:val="auto"/>
              </w:rPr>
              <w:t>(d)</w:t>
            </w:r>
          </w:p>
        </w:tc>
        <w:tc>
          <w:tcPr>
            <w:tcW w:w="600" w:type="dxa"/>
            <w:vAlign w:val="bottom"/>
          </w:tcPr>
          <w:p>
            <w:pPr>
              <w:ind w:left="140"/>
              <w:spacing w:after="0"/>
              <w:rPr>
                <w:sz w:val="20"/>
                <w:szCs w:val="20"/>
                <w:color w:val="auto"/>
              </w:rPr>
            </w:pPr>
            <w:r>
              <w:rPr>
                <w:rFonts w:ascii="Calibri" w:cs="Calibri" w:eastAsia="Calibri" w:hAnsi="Calibri"/>
                <w:sz w:val="14"/>
                <w:szCs w:val="14"/>
                <w:color w:val="auto"/>
              </w:rPr>
              <w:t>$125</w:t>
            </w:r>
          </w:p>
        </w:tc>
        <w:tc>
          <w:tcPr>
            <w:tcW w:w="520" w:type="dxa"/>
            <w:vAlign w:val="bottom"/>
          </w:tcPr>
          <w:p>
            <w:pPr>
              <w:jc w:val="right"/>
              <w:ind w:right="8"/>
              <w:spacing w:after="0"/>
              <w:rPr>
                <w:sz w:val="20"/>
                <w:szCs w:val="20"/>
                <w:color w:val="auto"/>
              </w:rPr>
            </w:pPr>
            <w:r>
              <w:rPr>
                <w:rFonts w:ascii="Calibri" w:cs="Calibri" w:eastAsia="Calibri" w:hAnsi="Calibri"/>
                <w:sz w:val="14"/>
                <w:szCs w:val="14"/>
                <w:color w:val="auto"/>
              </w:rPr>
              <w:t>$135</w:t>
            </w: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Calibri" w:cs="Calibri" w:eastAsia="Calibri" w:hAnsi="Calibri"/>
                <w:sz w:val="14"/>
                <w:szCs w:val="14"/>
                <w:color w:val="auto"/>
                <w:w w:val="93"/>
              </w:rPr>
              <w:t>$38</w:t>
            </w:r>
          </w:p>
        </w:tc>
        <w:tc>
          <w:tcPr>
            <w:tcW w:w="60" w:type="dxa"/>
            <w:vAlign w:val="bottom"/>
          </w:tcPr>
          <w:p>
            <w:pPr>
              <w:spacing w:after="0"/>
              <w:rPr>
                <w:sz w:val="14"/>
                <w:szCs w:val="14"/>
                <w:color w:val="auto"/>
              </w:rPr>
            </w:pPr>
          </w:p>
        </w:tc>
        <w:tc>
          <w:tcPr>
            <w:tcW w:w="880" w:type="dxa"/>
            <w:vAlign w:val="bottom"/>
            <w:gridSpan w:val="2"/>
            <w:vMerge w:val="restart"/>
          </w:tcPr>
          <w:p>
            <w:pPr>
              <w:jc w:val="center"/>
              <w:ind w:right="80"/>
              <w:spacing w:after="0"/>
              <w:rPr>
                <w:sz w:val="20"/>
                <w:szCs w:val="20"/>
                <w:color w:val="auto"/>
              </w:rPr>
            </w:pPr>
            <w:r>
              <w:rPr>
                <w:rFonts w:ascii="Calibri" w:cs="Calibri" w:eastAsia="Calibri" w:hAnsi="Calibri"/>
                <w:sz w:val="14"/>
                <w:szCs w:val="14"/>
                <w:color w:val="auto"/>
              </w:rPr>
              <w:t>(e)</w:t>
            </w:r>
          </w:p>
        </w:tc>
        <w:tc>
          <w:tcPr>
            <w:tcW w:w="1000" w:type="dxa"/>
            <w:vAlign w:val="bottom"/>
            <w:vMerge w:val="restart"/>
          </w:tcPr>
          <w:p>
            <w:pPr>
              <w:jc w:val="center"/>
              <w:spacing w:after="0"/>
              <w:rPr>
                <w:sz w:val="20"/>
                <w:szCs w:val="20"/>
                <w:color w:val="auto"/>
              </w:rPr>
            </w:pPr>
            <w:r>
              <w:rPr>
                <w:rFonts w:ascii="Calibri" w:cs="Calibri" w:eastAsia="Calibri" w:hAnsi="Calibri"/>
                <w:sz w:val="14"/>
                <w:szCs w:val="14"/>
                <w:color w:val="auto"/>
              </w:rPr>
              <w:t>(f)</w:t>
            </w:r>
          </w:p>
        </w:tc>
        <w:tc>
          <w:tcPr>
            <w:tcW w:w="0" w:type="dxa"/>
            <w:vAlign w:val="bottom"/>
          </w:tcPr>
          <w:p>
            <w:pPr>
              <w:spacing w:after="0"/>
              <w:rPr>
                <w:sz w:val="1"/>
                <w:szCs w:val="1"/>
                <w:color w:val="auto"/>
              </w:rPr>
            </w:pPr>
          </w:p>
        </w:tc>
      </w:tr>
      <w:tr>
        <w:trPr>
          <w:trHeight w:val="107"/>
        </w:trPr>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tcPr>
          <w:p>
            <w:pPr>
              <w:jc w:val="center"/>
              <w:ind w:right="20"/>
              <w:spacing w:after="0" w:line="107" w:lineRule="exact"/>
              <w:rPr>
                <w:sz w:val="20"/>
                <w:szCs w:val="20"/>
                <w:color w:val="auto"/>
              </w:rPr>
            </w:pPr>
            <w:r>
              <w:rPr>
                <w:rFonts w:ascii="Calibri" w:cs="Calibri" w:eastAsia="Calibri" w:hAnsi="Calibri"/>
                <w:sz w:val="11"/>
                <w:szCs w:val="11"/>
                <w:b w:val="1"/>
                <w:bCs w:val="1"/>
                <w:color w:val="auto"/>
              </w:rPr>
              <w:t>Pro Rata</w:t>
            </w:r>
          </w:p>
        </w:tc>
        <w:tc>
          <w:tcPr>
            <w:tcW w:w="88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center"/>
              <w:ind w:right="20"/>
              <w:spacing w:after="0" w:line="162" w:lineRule="exact"/>
              <w:rPr>
                <w:sz w:val="20"/>
                <w:szCs w:val="20"/>
                <w:color w:val="auto"/>
              </w:rPr>
            </w:pPr>
            <w:r>
              <w:rPr>
                <w:rFonts w:ascii="Calibri" w:cs="Calibri" w:eastAsia="Calibri" w:hAnsi="Calibri"/>
                <w:sz w:val="14"/>
                <w:szCs w:val="14"/>
                <w:b w:val="1"/>
                <w:bCs w:val="1"/>
                <w:color w:val="auto"/>
                <w:w w:val="99"/>
              </w:rPr>
              <w:t>Capitalized</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60" w:type="dxa"/>
            <w:vAlign w:val="bottom"/>
            <w:gridSpan w:val="3"/>
            <w:vMerge w:val="restart"/>
          </w:tcPr>
          <w:p>
            <w:pPr>
              <w:jc w:val="center"/>
              <w:ind w:right="60"/>
              <w:spacing w:after="0"/>
              <w:rPr>
                <w:sz w:val="20"/>
                <w:szCs w:val="20"/>
                <w:color w:val="auto"/>
              </w:rPr>
            </w:pPr>
            <w:r>
              <w:rPr>
                <w:rFonts w:ascii="Calibri" w:cs="Calibri" w:eastAsia="Calibri" w:hAnsi="Calibri"/>
                <w:sz w:val="14"/>
                <w:szCs w:val="14"/>
                <w:b w:val="1"/>
                <w:bCs w:val="1"/>
                <w:color w:val="auto"/>
              </w:rPr>
              <w:t>Total Cost (a)(b)</w:t>
            </w:r>
          </w:p>
        </w:tc>
        <w:tc>
          <w:tcPr>
            <w:tcW w:w="1000" w:type="dxa"/>
            <w:vAlign w:val="bottom"/>
            <w:gridSpan w:val="2"/>
            <w:vMerge w:val="restart"/>
          </w:tcPr>
          <w:p>
            <w:pPr>
              <w:jc w:val="center"/>
              <w:ind w:right="60"/>
              <w:spacing w:after="0"/>
              <w:rPr>
                <w:sz w:val="20"/>
                <w:szCs w:val="20"/>
                <w:color w:val="auto"/>
              </w:rPr>
            </w:pPr>
            <w:r>
              <w:rPr>
                <w:rFonts w:ascii="Calibri" w:cs="Calibri" w:eastAsia="Calibri" w:hAnsi="Calibri"/>
                <w:sz w:val="14"/>
                <w:szCs w:val="14"/>
                <w:b w:val="1"/>
                <w:bCs w:val="1"/>
                <w:color w:val="auto"/>
              </w:rPr>
              <w:t>Ownership</w:t>
            </w:r>
          </w:p>
        </w:tc>
        <w:tc>
          <w:tcPr>
            <w:tcW w:w="1160" w:type="dxa"/>
            <w:vAlign w:val="bottom"/>
            <w:gridSpan w:val="3"/>
            <w:vMerge w:val="restart"/>
          </w:tcPr>
          <w:p>
            <w:pPr>
              <w:ind w:left="140"/>
              <w:spacing w:after="0"/>
              <w:rPr>
                <w:sz w:val="20"/>
                <w:szCs w:val="20"/>
                <w:color w:val="auto"/>
              </w:rPr>
            </w:pPr>
            <w:r>
              <w:rPr>
                <w:rFonts w:ascii="Calibri" w:cs="Calibri" w:eastAsia="Calibri" w:hAnsi="Calibri"/>
                <w:sz w:val="14"/>
                <w:szCs w:val="14"/>
                <w:b w:val="1"/>
                <w:bCs w:val="1"/>
                <w:color w:val="auto"/>
              </w:rPr>
              <w:t>Pro Rata Total</w:t>
            </w:r>
          </w:p>
        </w:tc>
        <w:tc>
          <w:tcPr>
            <w:tcW w:w="860" w:type="dxa"/>
            <w:vAlign w:val="bottom"/>
            <w:gridSpan w:val="2"/>
          </w:tcPr>
          <w:p>
            <w:pPr>
              <w:jc w:val="center"/>
              <w:ind w:right="20"/>
              <w:spacing w:after="0"/>
              <w:rPr>
                <w:sz w:val="20"/>
                <w:szCs w:val="20"/>
                <w:color w:val="auto"/>
              </w:rPr>
            </w:pPr>
            <w:r>
              <w:rPr>
                <w:rFonts w:ascii="Calibri" w:cs="Calibri" w:eastAsia="Calibri" w:hAnsi="Calibri"/>
                <w:sz w:val="14"/>
                <w:szCs w:val="14"/>
                <w:b w:val="1"/>
                <w:bCs w:val="1"/>
                <w:color w:val="auto"/>
              </w:rPr>
              <w:t>Costs</w:t>
            </w:r>
          </w:p>
        </w:tc>
        <w:tc>
          <w:tcPr>
            <w:tcW w:w="880" w:type="dxa"/>
            <w:vAlign w:val="bottom"/>
            <w:gridSpan w:val="2"/>
            <w:vMerge w:val="restart"/>
          </w:tcPr>
          <w:p>
            <w:pPr>
              <w:jc w:val="center"/>
              <w:ind w:right="60"/>
              <w:spacing w:after="0"/>
              <w:rPr>
                <w:sz w:val="20"/>
                <w:szCs w:val="20"/>
                <w:color w:val="auto"/>
              </w:rPr>
            </w:pPr>
            <w:r>
              <w:rPr>
                <w:rFonts w:ascii="Calibri" w:cs="Calibri" w:eastAsia="Calibri" w:hAnsi="Calibri"/>
                <w:sz w:val="14"/>
                <w:szCs w:val="14"/>
                <w:b w:val="1"/>
                <w:bCs w:val="1"/>
                <w:color w:val="auto"/>
              </w:rPr>
              <w:t>Expected</w:t>
            </w:r>
          </w:p>
        </w:tc>
        <w:tc>
          <w:tcPr>
            <w:tcW w:w="100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Stabilized</w:t>
            </w:r>
          </w:p>
        </w:tc>
        <w:tc>
          <w:tcPr>
            <w:tcW w:w="0" w:type="dxa"/>
            <w:vAlign w:val="bottom"/>
          </w:tcPr>
          <w:p>
            <w:pPr>
              <w:spacing w:after="0"/>
              <w:rPr>
                <w:sz w:val="1"/>
                <w:szCs w:val="1"/>
                <w:color w:val="auto"/>
              </w:rPr>
            </w:pPr>
          </w:p>
        </w:tc>
      </w:tr>
      <w:tr>
        <w:trPr>
          <w:trHeight w:val="154"/>
        </w:trPr>
        <w:tc>
          <w:tcPr>
            <w:tcW w:w="116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860" w:type="dxa"/>
            <w:vAlign w:val="bottom"/>
            <w:gridSpan w:val="2"/>
          </w:tcPr>
          <w:p>
            <w:pPr>
              <w:jc w:val="center"/>
              <w:ind w:right="20"/>
              <w:spacing w:after="0" w:line="154" w:lineRule="exact"/>
              <w:rPr>
                <w:sz w:val="20"/>
                <w:szCs w:val="20"/>
                <w:color w:val="auto"/>
              </w:rPr>
            </w:pPr>
            <w:r>
              <w:rPr>
                <w:rFonts w:ascii="Calibri" w:cs="Calibri" w:eastAsia="Calibri" w:hAnsi="Calibri"/>
                <w:sz w:val="14"/>
                <w:szCs w:val="14"/>
                <w:b w:val="1"/>
                <w:bCs w:val="1"/>
                <w:color w:val="auto"/>
              </w:rPr>
              <w:t>Incurred-to-</w:t>
            </w:r>
          </w:p>
        </w:tc>
        <w:tc>
          <w:tcPr>
            <w:tcW w:w="88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160" w:type="dxa"/>
            <w:vAlign w:val="bottom"/>
            <w:gridSpan w:val="3"/>
          </w:tcPr>
          <w:p>
            <w:pPr>
              <w:jc w:val="center"/>
              <w:ind w:right="60"/>
              <w:spacing w:after="0"/>
              <w:rPr>
                <w:sz w:val="20"/>
                <w:szCs w:val="20"/>
                <w:color w:val="auto"/>
              </w:rPr>
            </w:pPr>
            <w:r>
              <w:rPr>
                <w:rFonts w:ascii="Calibri" w:cs="Calibri" w:eastAsia="Calibri" w:hAnsi="Calibri"/>
                <w:sz w:val="14"/>
                <w:szCs w:val="14"/>
                <w:b w:val="1"/>
                <w:bCs w:val="1"/>
                <w:color w:val="auto"/>
                <w:w w:val="98"/>
              </w:rPr>
              <w:t>at 100%</w:t>
            </w:r>
          </w:p>
        </w:tc>
        <w:tc>
          <w:tcPr>
            <w:tcW w:w="960" w:type="dxa"/>
            <w:vAlign w:val="bottom"/>
          </w:tcPr>
          <w:p>
            <w:pPr>
              <w:jc w:val="center"/>
              <w:spacing w:after="0"/>
              <w:rPr>
                <w:sz w:val="20"/>
                <w:szCs w:val="20"/>
                <w:color w:val="auto"/>
              </w:rPr>
            </w:pPr>
            <w:r>
              <w:rPr>
                <w:rFonts w:ascii="Calibri" w:cs="Calibri" w:eastAsia="Calibri" w:hAnsi="Calibri"/>
                <w:sz w:val="14"/>
                <w:szCs w:val="14"/>
                <w:b w:val="1"/>
                <w:bCs w:val="1"/>
                <w:color w:val="auto"/>
                <w:w w:val="97"/>
              </w:rPr>
              <w:t>%</w:t>
            </w:r>
          </w:p>
        </w:tc>
        <w:tc>
          <w:tcPr>
            <w:tcW w:w="40" w:type="dxa"/>
            <w:vAlign w:val="bottom"/>
          </w:tcPr>
          <w:p>
            <w:pPr>
              <w:spacing w:after="0"/>
              <w:rPr>
                <w:sz w:val="17"/>
                <w:szCs w:val="17"/>
                <w:color w:val="auto"/>
              </w:rPr>
            </w:pPr>
          </w:p>
        </w:tc>
        <w:tc>
          <w:tcPr>
            <w:tcW w:w="1160" w:type="dxa"/>
            <w:vAlign w:val="bottom"/>
            <w:gridSpan w:val="3"/>
          </w:tcPr>
          <w:p>
            <w:pPr>
              <w:ind w:left="240"/>
              <w:spacing w:after="0"/>
              <w:rPr>
                <w:sz w:val="20"/>
                <w:szCs w:val="20"/>
                <w:color w:val="auto"/>
              </w:rPr>
            </w:pPr>
            <w:r>
              <w:rPr>
                <w:rFonts w:ascii="Calibri" w:cs="Calibri" w:eastAsia="Calibri" w:hAnsi="Calibri"/>
                <w:sz w:val="14"/>
                <w:szCs w:val="14"/>
                <w:b w:val="1"/>
                <w:bCs w:val="1"/>
                <w:color w:val="auto"/>
              </w:rPr>
              <w:t>Cost (a)(b)</w:t>
            </w:r>
          </w:p>
        </w:tc>
        <w:tc>
          <w:tcPr>
            <w:tcW w:w="860" w:type="dxa"/>
            <w:vAlign w:val="bottom"/>
            <w:gridSpan w:val="2"/>
          </w:tcPr>
          <w:p>
            <w:pPr>
              <w:jc w:val="center"/>
              <w:ind w:right="20"/>
              <w:spacing w:after="0"/>
              <w:rPr>
                <w:sz w:val="20"/>
                <w:szCs w:val="20"/>
                <w:color w:val="auto"/>
              </w:rPr>
            </w:pPr>
            <w:r>
              <w:rPr>
                <w:rFonts w:ascii="Calibri" w:cs="Calibri" w:eastAsia="Calibri" w:hAnsi="Calibri"/>
                <w:sz w:val="14"/>
                <w:szCs w:val="14"/>
                <w:b w:val="1"/>
                <w:bCs w:val="1"/>
                <w:color w:val="auto"/>
              </w:rPr>
              <w:t>Date(b)</w:t>
            </w:r>
          </w:p>
        </w:tc>
        <w:tc>
          <w:tcPr>
            <w:tcW w:w="880" w:type="dxa"/>
            <w:vAlign w:val="bottom"/>
            <w:gridSpan w:val="2"/>
          </w:tcPr>
          <w:p>
            <w:pPr>
              <w:jc w:val="center"/>
              <w:ind w:right="60"/>
              <w:spacing w:after="0"/>
              <w:rPr>
                <w:sz w:val="20"/>
                <w:szCs w:val="20"/>
                <w:color w:val="auto"/>
              </w:rPr>
            </w:pPr>
            <w:r>
              <w:rPr>
                <w:rFonts w:ascii="Calibri" w:cs="Calibri" w:eastAsia="Calibri" w:hAnsi="Calibri"/>
                <w:sz w:val="14"/>
                <w:szCs w:val="14"/>
                <w:b w:val="1"/>
                <w:bCs w:val="1"/>
                <w:color w:val="auto"/>
              </w:rPr>
              <w:t>Opening (a)</w:t>
            </w:r>
          </w:p>
        </w:tc>
        <w:tc>
          <w:tcPr>
            <w:tcW w:w="1000" w:type="dxa"/>
            <w:vAlign w:val="bottom"/>
          </w:tcPr>
          <w:p>
            <w:pPr>
              <w:jc w:val="center"/>
              <w:spacing w:after="0"/>
              <w:rPr>
                <w:sz w:val="20"/>
                <w:szCs w:val="20"/>
                <w:color w:val="auto"/>
              </w:rPr>
            </w:pPr>
            <w:r>
              <w:rPr>
                <w:rFonts w:ascii="Calibri" w:cs="Calibri" w:eastAsia="Calibri" w:hAnsi="Calibri"/>
                <w:sz w:val="14"/>
                <w:szCs w:val="14"/>
                <w:b w:val="1"/>
                <w:bCs w:val="1"/>
                <w:color w:val="auto"/>
              </w:rPr>
              <w:t>Yield (a)(b)(c)</w:t>
            </w:r>
          </w:p>
        </w:tc>
        <w:tc>
          <w:tcPr>
            <w:tcW w:w="0" w:type="dxa"/>
            <w:vAlign w:val="bottom"/>
          </w:tcPr>
          <w:p>
            <w:pPr>
              <w:spacing w:after="0"/>
              <w:rPr>
                <w:sz w:val="1"/>
                <w:szCs w:val="1"/>
                <w:color w:val="auto"/>
              </w:rPr>
            </w:pPr>
          </w:p>
        </w:tc>
      </w:tr>
      <w:tr>
        <w:trPr>
          <w:trHeight w:val="387"/>
        </w:trPr>
        <w:tc>
          <w:tcPr>
            <w:tcW w:w="600" w:type="dxa"/>
            <w:vAlign w:val="bottom"/>
            <w:tcBorders>
              <w:top w:val="single" w:sz="8" w:color="auto"/>
            </w:tcBorders>
            <w:vMerge w:val="restart"/>
          </w:tcPr>
          <w:p>
            <w:pPr>
              <w:jc w:val="right"/>
              <w:ind w:right="88"/>
              <w:spacing w:after="0"/>
              <w:rPr>
                <w:sz w:val="20"/>
                <w:szCs w:val="20"/>
                <w:color w:val="auto"/>
              </w:rPr>
            </w:pPr>
            <w:r>
              <w:rPr>
                <w:rFonts w:ascii="Calibri" w:cs="Calibri" w:eastAsia="Calibri" w:hAnsi="Calibri"/>
                <w:sz w:val="14"/>
                <w:szCs w:val="14"/>
                <w:color w:val="auto"/>
              </w:rPr>
              <w:t>$130</w:t>
            </w:r>
          </w:p>
        </w:tc>
        <w:tc>
          <w:tcPr>
            <w:tcW w:w="5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4"/>
                <w:szCs w:val="14"/>
                <w:color w:val="auto"/>
              </w:rPr>
              <w:t>$150</w:t>
            </w:r>
          </w:p>
        </w:tc>
        <w:tc>
          <w:tcPr>
            <w:tcW w:w="60" w:type="dxa"/>
            <w:vAlign w:val="bottom"/>
          </w:tcPr>
          <w:p>
            <w:pPr>
              <w:spacing w:after="0"/>
              <w:rPr>
                <w:sz w:val="24"/>
                <w:szCs w:val="24"/>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Calibri" w:cs="Calibri" w:eastAsia="Calibri" w:hAnsi="Calibri"/>
                <w:sz w:val="14"/>
                <w:szCs w:val="14"/>
                <w:color w:val="auto"/>
              </w:rPr>
              <w:t>100%</w:t>
            </w:r>
          </w:p>
        </w:tc>
        <w:tc>
          <w:tcPr>
            <w:tcW w:w="40" w:type="dxa"/>
            <w:vAlign w:val="bottom"/>
          </w:tcPr>
          <w:p>
            <w:pPr>
              <w:spacing w:after="0"/>
              <w:rPr>
                <w:sz w:val="24"/>
                <w:szCs w:val="24"/>
                <w:color w:val="auto"/>
              </w:rPr>
            </w:pPr>
          </w:p>
        </w:tc>
        <w:tc>
          <w:tcPr>
            <w:tcW w:w="600" w:type="dxa"/>
            <w:vAlign w:val="bottom"/>
            <w:tcBorders>
              <w:top w:val="single" w:sz="8" w:color="auto"/>
            </w:tcBorders>
            <w:vMerge w:val="restart"/>
          </w:tcPr>
          <w:p>
            <w:pPr>
              <w:ind w:left="140"/>
              <w:spacing w:after="0"/>
              <w:rPr>
                <w:sz w:val="20"/>
                <w:szCs w:val="20"/>
                <w:color w:val="auto"/>
              </w:rPr>
            </w:pPr>
            <w:r>
              <w:rPr>
                <w:rFonts w:ascii="Calibri" w:cs="Calibri" w:eastAsia="Calibri" w:hAnsi="Calibri"/>
                <w:sz w:val="14"/>
                <w:szCs w:val="14"/>
                <w:color w:val="auto"/>
              </w:rPr>
              <w:t>$130</w:t>
            </w:r>
          </w:p>
        </w:tc>
        <w:tc>
          <w:tcPr>
            <w:tcW w:w="520" w:type="dxa"/>
            <w:vAlign w:val="bottom"/>
            <w:tcBorders>
              <w:top w:val="single" w:sz="8" w:color="auto"/>
            </w:tcBorders>
            <w:vMerge w:val="restart"/>
          </w:tcPr>
          <w:p>
            <w:pPr>
              <w:jc w:val="right"/>
              <w:ind w:right="8"/>
              <w:spacing w:after="0"/>
              <w:rPr>
                <w:sz w:val="20"/>
                <w:szCs w:val="20"/>
                <w:color w:val="auto"/>
              </w:rPr>
            </w:pPr>
            <w:r>
              <w:rPr>
                <w:rFonts w:ascii="Calibri" w:cs="Calibri" w:eastAsia="Calibri" w:hAnsi="Calibri"/>
                <w:sz w:val="14"/>
                <w:szCs w:val="14"/>
                <w:color w:val="auto"/>
              </w:rPr>
              <w:t>$150</w:t>
            </w:r>
          </w:p>
        </w:tc>
        <w:tc>
          <w:tcPr>
            <w:tcW w:w="40" w:type="dxa"/>
            <w:vAlign w:val="bottom"/>
          </w:tcPr>
          <w:p>
            <w:pPr>
              <w:spacing w:after="0"/>
              <w:rPr>
                <w:sz w:val="24"/>
                <w:szCs w:val="24"/>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Calibri" w:cs="Calibri" w:eastAsia="Calibri" w:hAnsi="Calibri"/>
                <w:sz w:val="14"/>
                <w:szCs w:val="14"/>
                <w:color w:val="auto"/>
                <w:w w:val="93"/>
              </w:rPr>
              <w:t>$52</w:t>
            </w:r>
          </w:p>
        </w:tc>
        <w:tc>
          <w:tcPr>
            <w:tcW w:w="60" w:type="dxa"/>
            <w:vAlign w:val="bottom"/>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Calibri" w:cs="Calibri" w:eastAsia="Calibri" w:hAnsi="Calibri"/>
                <w:sz w:val="14"/>
                <w:szCs w:val="14"/>
                <w:color w:val="auto"/>
              </w:rPr>
              <w:t>2026/2027</w:t>
            </w:r>
          </w:p>
        </w:tc>
        <w:tc>
          <w:tcPr>
            <w:tcW w:w="60" w:type="dxa"/>
            <w:vAlign w:val="bottom"/>
          </w:tcPr>
          <w:p>
            <w:pPr>
              <w:spacing w:after="0"/>
              <w:rPr>
                <w:sz w:val="24"/>
                <w:szCs w:val="24"/>
                <w:color w:val="auto"/>
              </w:rPr>
            </w:pPr>
          </w:p>
        </w:tc>
        <w:tc>
          <w:tcPr>
            <w:tcW w:w="1000" w:type="dxa"/>
            <w:vAlign w:val="bottom"/>
            <w:tcBorders>
              <w:top w:val="single" w:sz="8" w:color="auto"/>
            </w:tcBorders>
            <w:vMerge w:val="restart"/>
          </w:tcPr>
          <w:p>
            <w:pPr>
              <w:jc w:val="center"/>
              <w:spacing w:after="0"/>
              <w:rPr>
                <w:sz w:val="20"/>
                <w:szCs w:val="20"/>
                <w:color w:val="auto"/>
              </w:rPr>
            </w:pPr>
            <w:r>
              <w:rPr>
                <w:rFonts w:ascii="Calibri" w:cs="Calibri" w:eastAsia="Calibri" w:hAnsi="Calibri"/>
                <w:sz w:val="14"/>
                <w:szCs w:val="14"/>
                <w:color w:val="auto"/>
              </w:rPr>
              <w:t>10% - 11%</w:t>
            </w:r>
          </w:p>
        </w:tc>
        <w:tc>
          <w:tcPr>
            <w:tcW w:w="0" w:type="dxa"/>
            <w:vAlign w:val="bottom"/>
          </w:tcPr>
          <w:p>
            <w:pPr>
              <w:spacing w:after="0"/>
              <w:rPr>
                <w:sz w:val="1"/>
                <w:szCs w:val="1"/>
                <w:color w:val="auto"/>
              </w:rPr>
            </w:pPr>
          </w:p>
        </w:tc>
      </w:tr>
      <w:tr>
        <w:trPr>
          <w:trHeight w:val="102"/>
        </w:trPr>
        <w:tc>
          <w:tcPr>
            <w:tcW w:w="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80"/>
              <w:spacing w:after="0"/>
              <w:rPr>
                <w:sz w:val="20"/>
                <w:szCs w:val="20"/>
                <w:color w:val="auto"/>
              </w:rPr>
            </w:pPr>
            <w:r>
              <w:rPr>
                <w:rFonts w:ascii="Calibri" w:cs="Calibri" w:eastAsia="Calibri" w:hAnsi="Calibri"/>
                <w:sz w:val="14"/>
                <w:szCs w:val="14"/>
                <w:color w:val="auto"/>
              </w:rPr>
              <w:t>(g)</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-920750</wp:posOffset>
            </wp:positionV>
            <wp:extent cx="713232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698" w:lineRule="exact"/>
        <w:rPr>
          <w:sz w:val="20"/>
          <w:szCs w:val="20"/>
          <w:color w:val="auto"/>
        </w:rPr>
      </w:pPr>
    </w:p>
    <w:p>
      <w:pPr>
        <w:sectPr>
          <w:pgSz w:w="11900" w:h="16854" w:orient="portrait"/>
          <w:cols w:equalWidth="0" w:num="2">
            <w:col w:w="3540" w:space="40"/>
            <w:col w:w="6280"/>
          </w:cols>
          <w:pgMar w:left="980" w:top="50" w:right="1059" w:bottom="0" w:gutter="0" w:footer="0" w:header="0"/>
        </w:sectPr>
      </w:pPr>
    </w:p>
    <w:tbl>
      <w:tblPr>
        <w:tblLayout w:type="fixed"/>
        <w:tblInd w:w="60" w:type="dxa"/>
        <w:tblCellMar>
          <w:top w:w="0" w:type="dxa"/>
          <w:left w:w="0" w:type="dxa"/>
          <w:bottom w:w="0" w:type="dxa"/>
          <w:right w:w="0" w:type="dxa"/>
        </w:tblCellMar>
      </w:tblPr>
      <w:tr>
        <w:trPr>
          <w:trHeight w:val="171"/>
        </w:trPr>
        <w:tc>
          <w:tcPr>
            <w:tcW w:w="1160" w:type="dxa"/>
            <w:vAlign w:val="bottom"/>
          </w:tcPr>
          <w:p>
            <w:pPr>
              <w:spacing w:after="0"/>
              <w:rPr>
                <w:sz w:val="20"/>
                <w:szCs w:val="20"/>
                <w:color w:val="auto"/>
              </w:rPr>
            </w:pPr>
            <w:r>
              <w:rPr>
                <w:rFonts w:ascii="Calibri" w:cs="Calibri" w:eastAsia="Calibri" w:hAnsi="Calibri"/>
                <w:sz w:val="14"/>
                <w:szCs w:val="14"/>
                <w:color w:val="auto"/>
              </w:rPr>
              <w:t>Scotsdale Fashion</w:t>
            </w:r>
          </w:p>
        </w:tc>
        <w:tc>
          <w:tcPr>
            <w:tcW w:w="2360" w:type="dxa"/>
            <w:vAlign w:val="bottom"/>
          </w:tcPr>
          <w:p>
            <w:pPr>
              <w:ind w:left="80"/>
              <w:spacing w:after="0"/>
              <w:rPr>
                <w:sz w:val="20"/>
                <w:szCs w:val="20"/>
                <w:color w:val="auto"/>
              </w:rPr>
            </w:pPr>
            <w:r>
              <w:rPr>
                <w:rFonts w:ascii="Calibri" w:cs="Calibri" w:eastAsia="Calibri" w:hAnsi="Calibri"/>
                <w:sz w:val="14"/>
                <w:szCs w:val="14"/>
                <w:color w:val="auto"/>
              </w:rPr>
              <w:t>Redevelopment of two-level</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restart"/>
          </w:tcPr>
          <w:p>
            <w:pPr>
              <w:jc w:val="right"/>
              <w:ind w:right="108"/>
              <w:spacing w:after="0"/>
              <w:rPr>
                <w:sz w:val="20"/>
                <w:szCs w:val="20"/>
                <w:color w:val="auto"/>
              </w:rPr>
            </w:pPr>
            <w:r>
              <w:rPr>
                <w:rFonts w:ascii="Calibri" w:cs="Calibri" w:eastAsia="Calibri" w:hAnsi="Calibri"/>
                <w:sz w:val="14"/>
                <w:szCs w:val="14"/>
                <w:color w:val="auto"/>
              </w:rPr>
              <w:t>2024-2027</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60" w:type="dxa"/>
            <w:vAlign w:val="bottom"/>
            <w:vMerge w:val="restart"/>
          </w:tcPr>
          <w:p>
            <w:pPr>
              <w:spacing w:after="0" w:line="136" w:lineRule="exact"/>
              <w:rPr>
                <w:sz w:val="20"/>
                <w:szCs w:val="20"/>
                <w:color w:val="auto"/>
              </w:rPr>
            </w:pPr>
            <w:r>
              <w:rPr>
                <w:rFonts w:ascii="Calibri" w:cs="Calibri" w:eastAsia="Calibri" w:hAnsi="Calibri"/>
                <w:sz w:val="14"/>
                <w:szCs w:val="14"/>
                <w:color w:val="auto"/>
              </w:rPr>
              <w:t>Square</w:t>
            </w:r>
          </w:p>
        </w:tc>
        <w:tc>
          <w:tcPr>
            <w:tcW w:w="2360" w:type="dxa"/>
            <w:vAlign w:val="bottom"/>
            <w:vMerge w:val="restart"/>
          </w:tcPr>
          <w:p>
            <w:pPr>
              <w:ind w:left="80"/>
              <w:spacing w:after="0" w:line="136" w:lineRule="exact"/>
              <w:rPr>
                <w:sz w:val="20"/>
                <w:szCs w:val="20"/>
                <w:color w:val="auto"/>
              </w:rPr>
            </w:pPr>
            <w:r>
              <w:rPr>
                <w:rFonts w:ascii="Calibri" w:cs="Calibri" w:eastAsia="Calibri" w:hAnsi="Calibri"/>
                <w:sz w:val="14"/>
                <w:szCs w:val="14"/>
                <w:color w:val="auto"/>
              </w:rPr>
              <w:t>Nordstrom wing with luxury-focused</w:t>
            </w:r>
          </w:p>
        </w:tc>
        <w:tc>
          <w:tcPr>
            <w:tcW w:w="600" w:type="dxa"/>
            <w:vAlign w:val="bottom"/>
            <w:vMerge w:val="restart"/>
          </w:tcPr>
          <w:p>
            <w:pPr>
              <w:jc w:val="right"/>
              <w:ind w:right="128"/>
              <w:spacing w:after="0" w:line="136" w:lineRule="exact"/>
              <w:rPr>
                <w:sz w:val="20"/>
                <w:szCs w:val="20"/>
                <w:color w:val="auto"/>
              </w:rPr>
            </w:pPr>
            <w:r>
              <w:rPr>
                <w:rFonts w:ascii="Calibri" w:cs="Calibri" w:eastAsia="Calibri" w:hAnsi="Calibri"/>
                <w:sz w:val="14"/>
                <w:szCs w:val="14"/>
                <w:color w:val="auto"/>
              </w:rPr>
              <w:t>$84</w:t>
            </w:r>
          </w:p>
        </w:tc>
        <w:tc>
          <w:tcPr>
            <w:tcW w:w="680" w:type="dxa"/>
            <w:vAlign w:val="bottom"/>
            <w:vMerge w:val="restart"/>
          </w:tcPr>
          <w:p>
            <w:pPr>
              <w:jc w:val="right"/>
              <w:ind w:right="208"/>
              <w:spacing w:after="0" w:line="136" w:lineRule="exact"/>
              <w:rPr>
                <w:sz w:val="20"/>
                <w:szCs w:val="20"/>
                <w:color w:val="auto"/>
              </w:rPr>
            </w:pPr>
            <w:r>
              <w:rPr>
                <w:rFonts w:ascii="Calibri" w:cs="Calibri" w:eastAsia="Calibri" w:hAnsi="Calibri"/>
                <w:sz w:val="14"/>
                <w:szCs w:val="14"/>
                <w:color w:val="auto"/>
              </w:rPr>
              <w:t>$90</w:t>
            </w:r>
          </w:p>
        </w:tc>
        <w:tc>
          <w:tcPr>
            <w:tcW w:w="760" w:type="dxa"/>
            <w:vAlign w:val="bottom"/>
            <w:vMerge w:val="restart"/>
          </w:tcPr>
          <w:p>
            <w:pPr>
              <w:jc w:val="right"/>
              <w:ind w:right="188"/>
              <w:spacing w:after="0" w:line="136" w:lineRule="exact"/>
              <w:rPr>
                <w:sz w:val="20"/>
                <w:szCs w:val="20"/>
                <w:color w:val="auto"/>
              </w:rPr>
            </w:pPr>
            <w:r>
              <w:rPr>
                <w:rFonts w:ascii="Calibri" w:cs="Calibri" w:eastAsia="Calibri" w:hAnsi="Calibri"/>
                <w:sz w:val="14"/>
                <w:szCs w:val="14"/>
                <w:color w:val="auto"/>
              </w:rPr>
              <w:t>50%</w:t>
            </w:r>
          </w:p>
        </w:tc>
        <w:tc>
          <w:tcPr>
            <w:tcW w:w="720" w:type="dxa"/>
            <w:vAlign w:val="bottom"/>
            <w:vMerge w:val="restart"/>
          </w:tcPr>
          <w:p>
            <w:pPr>
              <w:jc w:val="right"/>
              <w:ind w:right="128"/>
              <w:spacing w:after="0" w:line="136" w:lineRule="exact"/>
              <w:rPr>
                <w:sz w:val="20"/>
                <w:szCs w:val="20"/>
                <w:color w:val="auto"/>
              </w:rPr>
            </w:pPr>
            <w:r>
              <w:rPr>
                <w:rFonts w:ascii="Calibri" w:cs="Calibri" w:eastAsia="Calibri" w:hAnsi="Calibri"/>
                <w:sz w:val="14"/>
                <w:szCs w:val="14"/>
                <w:color w:val="auto"/>
              </w:rPr>
              <w:t>$42</w:t>
            </w:r>
          </w:p>
        </w:tc>
        <w:tc>
          <w:tcPr>
            <w:tcW w:w="640" w:type="dxa"/>
            <w:vAlign w:val="bottom"/>
            <w:vMerge w:val="restart"/>
          </w:tcPr>
          <w:p>
            <w:pPr>
              <w:jc w:val="right"/>
              <w:ind w:right="168"/>
              <w:spacing w:after="0" w:line="136" w:lineRule="exact"/>
              <w:rPr>
                <w:sz w:val="20"/>
                <w:szCs w:val="20"/>
                <w:color w:val="auto"/>
              </w:rPr>
            </w:pPr>
            <w:r>
              <w:rPr>
                <w:rFonts w:ascii="Calibri" w:cs="Calibri" w:eastAsia="Calibri" w:hAnsi="Calibri"/>
                <w:sz w:val="14"/>
                <w:szCs w:val="14"/>
                <w:color w:val="auto"/>
              </w:rPr>
              <w:t>$45</w:t>
            </w:r>
          </w:p>
        </w:tc>
        <w:tc>
          <w:tcPr>
            <w:tcW w:w="680" w:type="dxa"/>
            <w:vAlign w:val="bottom"/>
            <w:vMerge w:val="restart"/>
          </w:tcPr>
          <w:p>
            <w:pPr>
              <w:jc w:val="right"/>
              <w:ind w:right="168"/>
              <w:spacing w:after="0" w:line="136" w:lineRule="exact"/>
              <w:rPr>
                <w:sz w:val="20"/>
                <w:szCs w:val="20"/>
                <w:color w:val="auto"/>
              </w:rPr>
            </w:pPr>
            <w:r>
              <w:rPr>
                <w:rFonts w:ascii="Calibri" w:cs="Calibri" w:eastAsia="Calibri" w:hAnsi="Calibri"/>
                <w:sz w:val="14"/>
                <w:szCs w:val="14"/>
                <w:color w:val="auto"/>
              </w:rPr>
              <w:t>$34</w:t>
            </w:r>
          </w:p>
        </w:tc>
        <w:tc>
          <w:tcPr>
            <w:tcW w:w="1000" w:type="dxa"/>
            <w:vAlign w:val="bottom"/>
            <w:vMerge w:val="continue"/>
          </w:tcPr>
          <w:p>
            <w:pPr>
              <w:spacing w:after="0"/>
              <w:rPr>
                <w:sz w:val="5"/>
                <w:szCs w:val="5"/>
                <w:color w:val="auto"/>
              </w:rPr>
            </w:pPr>
          </w:p>
        </w:tc>
        <w:tc>
          <w:tcPr>
            <w:tcW w:w="780" w:type="dxa"/>
            <w:vAlign w:val="bottom"/>
            <w:vMerge w:val="restart"/>
          </w:tcPr>
          <w:p>
            <w:pPr>
              <w:jc w:val="right"/>
              <w:spacing w:after="0" w:line="136" w:lineRule="exact"/>
              <w:rPr>
                <w:sz w:val="20"/>
                <w:szCs w:val="20"/>
                <w:color w:val="auto"/>
              </w:rPr>
            </w:pPr>
            <w:r>
              <w:rPr>
                <w:rFonts w:ascii="Calibri" w:cs="Calibri" w:eastAsia="Calibri" w:hAnsi="Calibri"/>
                <w:sz w:val="14"/>
                <w:szCs w:val="14"/>
                <w:color w:val="auto"/>
              </w:rPr>
              <w:t>17% - 18%</w:t>
            </w:r>
          </w:p>
        </w:tc>
        <w:tc>
          <w:tcPr>
            <w:tcW w:w="0" w:type="dxa"/>
            <w:vAlign w:val="bottom"/>
          </w:tcPr>
          <w:p>
            <w:pPr>
              <w:spacing w:after="0"/>
              <w:rPr>
                <w:sz w:val="1"/>
                <w:szCs w:val="1"/>
                <w:color w:val="auto"/>
              </w:rPr>
            </w:pPr>
          </w:p>
        </w:tc>
      </w:tr>
      <w:tr>
        <w:trPr>
          <w:trHeight w:val="68"/>
        </w:trPr>
        <w:tc>
          <w:tcPr>
            <w:tcW w:w="1160" w:type="dxa"/>
            <w:vAlign w:val="bottom"/>
            <w:vMerge w:val="continue"/>
          </w:tcPr>
          <w:p>
            <w:pPr>
              <w:spacing w:after="0"/>
              <w:rPr>
                <w:sz w:val="5"/>
                <w:szCs w:val="5"/>
                <w:color w:val="auto"/>
              </w:rPr>
            </w:pPr>
          </w:p>
        </w:tc>
        <w:tc>
          <w:tcPr>
            <w:tcW w:w="23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Calibri" w:cs="Calibri" w:eastAsia="Calibri" w:hAnsi="Calibri"/>
                <w:sz w:val="14"/>
                <w:szCs w:val="14"/>
                <w:color w:val="auto"/>
              </w:rPr>
              <w:t>(h)</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20"/>
                <w:szCs w:val="20"/>
                <w:color w:val="auto"/>
              </w:rPr>
            </w:pPr>
            <w:r>
              <w:rPr>
                <w:rFonts w:ascii="Calibri" w:cs="Calibri" w:eastAsia="Calibri" w:hAnsi="Calibri"/>
                <w:sz w:val="14"/>
                <w:szCs w:val="14"/>
                <w:color w:val="auto"/>
              </w:rPr>
              <w:t>Scotsdale, AZ</w:t>
            </w:r>
          </w:p>
        </w:tc>
        <w:tc>
          <w:tcPr>
            <w:tcW w:w="2360" w:type="dxa"/>
            <w:vAlign w:val="bottom"/>
            <w:vMerge w:val="restart"/>
          </w:tcPr>
          <w:p>
            <w:pPr>
              <w:ind w:left="80"/>
              <w:spacing w:after="0"/>
              <w:rPr>
                <w:sz w:val="20"/>
                <w:szCs w:val="20"/>
                <w:color w:val="auto"/>
              </w:rPr>
            </w:pPr>
            <w:r>
              <w:rPr>
                <w:rFonts w:ascii="Calibri" w:cs="Calibri" w:eastAsia="Calibri" w:hAnsi="Calibri"/>
                <w:sz w:val="14"/>
                <w:szCs w:val="14"/>
                <w:color w:val="auto"/>
              </w:rPr>
              <w:t>retail and restaurant uses</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160" w:type="dxa"/>
            <w:vAlign w:val="bottom"/>
            <w:vMerge w:val="continue"/>
          </w:tcPr>
          <w:p>
            <w:pPr>
              <w:spacing w:after="0"/>
              <w:rPr>
                <w:sz w:val="5"/>
                <w:szCs w:val="5"/>
                <w:color w:val="auto"/>
              </w:rPr>
            </w:pPr>
          </w:p>
        </w:tc>
        <w:tc>
          <w:tcPr>
            <w:tcW w:w="23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1160" w:type="dxa"/>
            <w:vAlign w:val="bottom"/>
          </w:tcPr>
          <w:p>
            <w:pPr>
              <w:spacing w:after="0"/>
              <w:rPr>
                <w:sz w:val="20"/>
                <w:szCs w:val="20"/>
                <w:color w:val="auto"/>
              </w:rPr>
            </w:pPr>
            <w:r>
              <w:rPr>
                <w:rFonts w:ascii="Calibri" w:cs="Calibri" w:eastAsia="Calibri" w:hAnsi="Calibri"/>
                <w:sz w:val="14"/>
                <w:szCs w:val="14"/>
                <w:color w:val="auto"/>
              </w:rPr>
              <w:t>TOTAL</w:t>
            </w:r>
          </w:p>
        </w:tc>
        <w:tc>
          <w:tcPr>
            <w:tcW w:w="2360" w:type="dxa"/>
            <w:vAlign w:val="bottom"/>
          </w:tcPr>
          <w:p>
            <w:pPr>
              <w:spacing w:after="0"/>
              <w:rPr>
                <w:sz w:val="24"/>
                <w:szCs w:val="24"/>
                <w:color w:val="auto"/>
              </w:rPr>
            </w:pPr>
          </w:p>
        </w:tc>
        <w:tc>
          <w:tcPr>
            <w:tcW w:w="600" w:type="dxa"/>
            <w:vAlign w:val="bottom"/>
          </w:tcPr>
          <w:p>
            <w:pPr>
              <w:jc w:val="right"/>
              <w:ind w:right="88"/>
              <w:spacing w:after="0"/>
              <w:rPr>
                <w:sz w:val="20"/>
                <w:szCs w:val="20"/>
                <w:color w:val="auto"/>
              </w:rPr>
            </w:pPr>
            <w:r>
              <w:rPr>
                <w:rFonts w:ascii="Calibri" w:cs="Calibri" w:eastAsia="Calibri" w:hAnsi="Calibri"/>
                <w:sz w:val="14"/>
                <w:szCs w:val="14"/>
                <w:color w:val="auto"/>
              </w:rPr>
              <w:t>$459</w:t>
            </w:r>
          </w:p>
        </w:tc>
        <w:tc>
          <w:tcPr>
            <w:tcW w:w="680" w:type="dxa"/>
            <w:vAlign w:val="bottom"/>
          </w:tcPr>
          <w:p>
            <w:pPr>
              <w:jc w:val="right"/>
              <w:ind w:right="168"/>
              <w:spacing w:after="0"/>
              <w:rPr>
                <w:sz w:val="20"/>
                <w:szCs w:val="20"/>
                <w:color w:val="auto"/>
              </w:rPr>
            </w:pPr>
            <w:r>
              <w:rPr>
                <w:rFonts w:ascii="Calibri" w:cs="Calibri" w:eastAsia="Calibri" w:hAnsi="Calibri"/>
                <w:sz w:val="14"/>
                <w:szCs w:val="14"/>
                <w:color w:val="auto"/>
              </w:rPr>
              <w:t>$505</w:t>
            </w:r>
          </w:p>
        </w:tc>
        <w:tc>
          <w:tcPr>
            <w:tcW w:w="76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Calibri" w:cs="Calibri" w:eastAsia="Calibri" w:hAnsi="Calibri"/>
                <w:sz w:val="14"/>
                <w:szCs w:val="14"/>
                <w:color w:val="auto"/>
              </w:rPr>
              <w:t>$297</w:t>
            </w:r>
          </w:p>
        </w:tc>
        <w:tc>
          <w:tcPr>
            <w:tcW w:w="640" w:type="dxa"/>
            <w:vAlign w:val="bottom"/>
          </w:tcPr>
          <w:p>
            <w:pPr>
              <w:jc w:val="right"/>
              <w:ind w:right="128"/>
              <w:spacing w:after="0"/>
              <w:rPr>
                <w:sz w:val="20"/>
                <w:szCs w:val="20"/>
                <w:color w:val="auto"/>
              </w:rPr>
            </w:pPr>
            <w:r>
              <w:rPr>
                <w:rFonts w:ascii="Calibri" w:cs="Calibri" w:eastAsia="Calibri" w:hAnsi="Calibri"/>
                <w:sz w:val="14"/>
                <w:szCs w:val="14"/>
                <w:color w:val="auto"/>
              </w:rPr>
              <w:t>$330</w:t>
            </w:r>
          </w:p>
        </w:tc>
        <w:tc>
          <w:tcPr>
            <w:tcW w:w="680" w:type="dxa"/>
            <w:vAlign w:val="bottom"/>
          </w:tcPr>
          <w:p>
            <w:pPr>
              <w:jc w:val="right"/>
              <w:ind w:right="128"/>
              <w:spacing w:after="0"/>
              <w:rPr>
                <w:sz w:val="20"/>
                <w:szCs w:val="20"/>
                <w:color w:val="auto"/>
              </w:rPr>
            </w:pPr>
            <w:r>
              <w:rPr>
                <w:rFonts w:ascii="Calibri" w:cs="Calibri" w:eastAsia="Calibri" w:hAnsi="Calibri"/>
                <w:sz w:val="14"/>
                <w:szCs w:val="14"/>
                <w:color w:val="auto"/>
              </w:rPr>
              <w:t>$124</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420" w:hanging="413"/>
        <w:spacing w:after="0" w:line="245" w:lineRule="auto"/>
        <w:tabs>
          <w:tab w:leader="none" w:pos="42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Much of this informaton is estmated and may change from tme to tme. See the Company's forward-looking disclosure in the Executve Summary for factors that may afect the informaton provided in this table.</w:t>
      </w:r>
    </w:p>
    <w:p>
      <w:pPr>
        <w:spacing w:after="0" w:line="176" w:lineRule="exact"/>
        <w:rPr>
          <w:rFonts w:ascii="Calibri" w:cs="Calibri" w:eastAsia="Calibri" w:hAnsi="Calibri"/>
          <w:sz w:val="14"/>
          <w:szCs w:val="14"/>
          <w:color w:val="auto"/>
        </w:rPr>
      </w:pPr>
    </w:p>
    <w:p>
      <w:pPr>
        <w:ind w:left="420" w:hanging="413"/>
        <w:spacing w:after="0"/>
        <w:tabs>
          <w:tab w:leader="none" w:pos="42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This excludes GAAP allocatons of non-cash and indirect costs.</w:t>
      </w:r>
    </w:p>
    <w:p>
      <w:pPr>
        <w:spacing w:after="0" w:line="167" w:lineRule="exact"/>
        <w:rPr>
          <w:rFonts w:ascii="Calibri" w:cs="Calibri" w:eastAsia="Calibri" w:hAnsi="Calibri"/>
          <w:sz w:val="14"/>
          <w:szCs w:val="14"/>
          <w:color w:val="auto"/>
        </w:rPr>
      </w:pPr>
    </w:p>
    <w:p>
      <w:pPr>
        <w:ind w:left="420" w:right="280" w:hanging="413"/>
        <w:spacing w:after="0" w:line="245" w:lineRule="auto"/>
        <w:tabs>
          <w:tab w:leader="none" w:pos="42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Stabilized Yield is calculated based on stabilized income afer development divided by project direct costs excluding GAAP allocatons of non-cash and indirect costs.</w:t>
      </w:r>
    </w:p>
    <w:p>
      <w:pPr>
        <w:spacing w:after="0" w:line="177" w:lineRule="exact"/>
        <w:rPr>
          <w:rFonts w:ascii="Calibri" w:cs="Calibri" w:eastAsia="Calibri" w:hAnsi="Calibri"/>
          <w:sz w:val="14"/>
          <w:szCs w:val="14"/>
          <w:color w:val="auto"/>
        </w:rPr>
      </w:pPr>
    </w:p>
    <w:p>
      <w:pPr>
        <w:ind w:left="420" w:right="160" w:hanging="413"/>
        <w:spacing w:after="0" w:line="233" w:lineRule="auto"/>
        <w:tabs>
          <w:tab w:leader="none" w:pos="42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The Company's ownership percentage in the residental project is expected to be 43.4% untl stabilizaton in 2029 and 51% thereafer. Ownership interest in the balance of the property other than the residental component is 51%.</w:t>
      </w:r>
    </w:p>
    <w:p>
      <w:pPr>
        <w:spacing w:after="0" w:line="154" w:lineRule="exact"/>
        <w:rPr>
          <w:rFonts w:ascii="Calibri" w:cs="Calibri" w:eastAsia="Calibri" w:hAnsi="Calibri"/>
          <w:sz w:val="14"/>
          <w:szCs w:val="14"/>
          <w:color w:val="auto"/>
        </w:rPr>
      </w:pPr>
    </w:p>
    <w:p>
      <w:pPr>
        <w:ind w:left="420" w:right="420" w:hanging="413"/>
        <w:spacing w:after="0" w:line="223" w:lineRule="auto"/>
        <w:tabs>
          <w:tab w:leader="none" w:pos="42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The community plaza/former Nordstrom is expected to open in 2027, and stabilizaton is estmated to occur in 2029 for residental and 2030-2031 for retail components.</w:t>
      </w:r>
    </w:p>
    <w:p>
      <w:pPr>
        <w:spacing w:after="0" w:line="114" w:lineRule="exact"/>
        <w:rPr>
          <w:rFonts w:ascii="Calibri" w:cs="Calibri" w:eastAsia="Calibri" w:hAnsi="Calibri"/>
          <w:sz w:val="14"/>
          <w:szCs w:val="14"/>
          <w:color w:val="auto"/>
        </w:rPr>
      </w:pPr>
    </w:p>
    <w:p>
      <w:pPr>
        <w:ind w:left="420" w:right="540" w:hanging="413"/>
        <w:spacing w:after="0" w:line="245" w:lineRule="auto"/>
        <w:tabs>
          <w:tab w:leader="none" w:pos="42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Afer considering estmated residental fnancing, the Company's estmated share of net equity is $70 - $80 million and the Company's estmated levered, stabilized yield is 7.0% - 8.0%.</w:t>
      </w:r>
    </w:p>
    <w:p>
      <w:pPr>
        <w:spacing w:after="0" w:line="163" w:lineRule="exact"/>
        <w:rPr>
          <w:rFonts w:ascii="Calibri" w:cs="Calibri" w:eastAsia="Calibri" w:hAnsi="Calibri"/>
          <w:sz w:val="14"/>
          <w:szCs w:val="14"/>
          <w:color w:val="auto"/>
        </w:rPr>
      </w:pPr>
    </w:p>
    <w:p>
      <w:pPr>
        <w:ind w:left="420" w:hanging="413"/>
        <w:spacing w:after="0"/>
        <w:tabs>
          <w:tab w:leader="none" w:pos="42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The majority of tenants are expected to open in 2026 or 2027.</w:t>
      </w:r>
    </w:p>
    <w:p>
      <w:pPr>
        <w:spacing w:after="0" w:line="181" w:lineRule="exact"/>
        <w:rPr>
          <w:rFonts w:ascii="Calibri" w:cs="Calibri" w:eastAsia="Calibri" w:hAnsi="Calibri"/>
          <w:sz w:val="14"/>
          <w:szCs w:val="14"/>
          <w:color w:val="auto"/>
        </w:rPr>
      </w:pPr>
    </w:p>
    <w:p>
      <w:pPr>
        <w:ind w:left="420" w:right="380" w:hanging="413"/>
        <w:spacing w:after="0" w:line="245" w:lineRule="auto"/>
        <w:tabs>
          <w:tab w:leader="none" w:pos="42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The opening will be in phases which began in 2024. The vast majority of the remaining not yet opened tenants, are expected to be open in 2026, with a few remaining tenants expected to open in early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00"/>
        <w:spacing w:after="0"/>
        <w:rPr>
          <w:sz w:val="20"/>
          <w:szCs w:val="20"/>
          <w:color w:val="auto"/>
        </w:rPr>
      </w:pPr>
      <w:r>
        <w:rPr>
          <w:rFonts w:ascii="Calibri" w:cs="Calibri" w:eastAsia="Calibri" w:hAnsi="Calibri"/>
          <w:sz w:val="18"/>
          <w:szCs w:val="18"/>
          <w:b w:val="1"/>
          <w:bCs w:val="1"/>
          <w:color w:val="auto"/>
        </w:rPr>
        <w:t>The Macerich Company</w:t>
      </w:r>
    </w:p>
    <w:p>
      <w:pPr>
        <w:ind w:left="4120"/>
        <w:spacing w:after="0" w:line="206" w:lineRule="auto"/>
        <w:rPr>
          <w:sz w:val="20"/>
          <w:szCs w:val="20"/>
          <w:color w:val="auto"/>
        </w:rPr>
      </w:pPr>
      <w:r>
        <w:rPr>
          <w:rFonts w:ascii="Calibri" w:cs="Calibri" w:eastAsia="Calibri" w:hAnsi="Calibri"/>
          <w:sz w:val="18"/>
          <w:szCs w:val="18"/>
          <w:b w:val="1"/>
          <w:bCs w:val="1"/>
          <w:color w:val="auto"/>
        </w:rPr>
        <w:t>Corporate Informaton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007681"/>
        </w:rPr>
        <w:t>Stock Exchange Listng</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New York Stock Exchange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Symbol: MAC</w:t>
      </w:r>
    </w:p>
    <w:p>
      <w:pPr>
        <w:spacing w:after="0" w:line="204" w:lineRule="exact"/>
        <w:rPr>
          <w:sz w:val="20"/>
          <w:szCs w:val="20"/>
          <w:color w:val="auto"/>
        </w:rPr>
      </w:pPr>
    </w:p>
    <w:p>
      <w:pPr>
        <w:ind w:right="520"/>
        <w:spacing w:after="0" w:line="213" w:lineRule="auto"/>
        <w:rPr>
          <w:sz w:val="20"/>
          <w:szCs w:val="20"/>
          <w:color w:val="auto"/>
        </w:rPr>
      </w:pPr>
      <w:r>
        <w:rPr>
          <w:rFonts w:ascii="Calibri" w:cs="Calibri" w:eastAsia="Calibri" w:hAnsi="Calibri"/>
          <w:sz w:val="18"/>
          <w:szCs w:val="18"/>
          <w:color w:val="auto"/>
        </w:rPr>
        <w:t>The following table shows high and low sales prices per share of common stock during each quarter in 2026, 2025 and 2024 and dividends per share of common stock declared and paid by quarter: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Calibri" w:cs="Calibri" w:eastAsia="Calibri" w:hAnsi="Calibri"/>
                <w:sz w:val="14"/>
                <w:szCs w:val="14"/>
                <w:b w:val="1"/>
                <w:bCs w:val="1"/>
                <w:color w:val="auto"/>
              </w:rPr>
              <w:t>Declared</w:t>
            </w:r>
          </w:p>
        </w:tc>
      </w:tr>
      <w:tr>
        <w:trPr>
          <w:trHeight w:val="155"/>
        </w:trPr>
        <w:tc>
          <w:tcPr>
            <w:tcW w:w="3920" w:type="dxa"/>
            <w:vAlign w:val="bottom"/>
            <w:gridSpan w:val="2"/>
          </w:tcPr>
          <w:p>
            <w:pPr>
              <w:spacing w:after="0" w:line="155" w:lineRule="exact"/>
              <w:rPr>
                <w:sz w:val="20"/>
                <w:szCs w:val="20"/>
                <w:color w:val="auto"/>
              </w:rPr>
            </w:pPr>
            <w:r>
              <w:rPr>
                <w:rFonts w:ascii="Calibri" w:cs="Calibri" w:eastAsia="Calibri" w:hAnsi="Calibri"/>
                <w:sz w:val="14"/>
                <w:szCs w:val="14"/>
                <w:b w:val="1"/>
                <w:bCs w:val="1"/>
                <w:color w:val="auto"/>
              </w:rPr>
              <w:t>Quarter Ended:</w:t>
            </w:r>
          </w:p>
        </w:tc>
        <w:tc>
          <w:tcPr>
            <w:tcW w:w="2700" w:type="dxa"/>
            <w:vAlign w:val="bottom"/>
          </w:tcPr>
          <w:p>
            <w:pPr>
              <w:spacing w:after="0"/>
              <w:rPr>
                <w:sz w:val="13"/>
                <w:szCs w:val="13"/>
                <w:color w:val="auto"/>
              </w:rPr>
            </w:pPr>
          </w:p>
        </w:tc>
        <w:tc>
          <w:tcPr>
            <w:tcW w:w="820" w:type="dxa"/>
            <w:vAlign w:val="bottom"/>
          </w:tcPr>
          <w:p>
            <w:pPr>
              <w:jc w:val="right"/>
              <w:ind w:right="313"/>
              <w:spacing w:after="0" w:line="155" w:lineRule="exact"/>
              <w:rPr>
                <w:sz w:val="20"/>
                <w:szCs w:val="20"/>
                <w:color w:val="auto"/>
              </w:rPr>
            </w:pPr>
            <w:r>
              <w:rPr>
                <w:rFonts w:ascii="Calibri" w:cs="Calibri" w:eastAsia="Calibri" w:hAnsi="Calibri"/>
                <w:sz w:val="14"/>
                <w:szCs w:val="14"/>
                <w:b w:val="1"/>
                <w:bCs w:val="1"/>
                <w:color w:val="auto"/>
              </w:rPr>
              <w:t>High</w:t>
            </w:r>
          </w:p>
        </w:tc>
        <w:tc>
          <w:tcPr>
            <w:tcW w:w="320" w:type="dxa"/>
            <w:vAlign w:val="bottom"/>
          </w:tcPr>
          <w:p>
            <w:pPr>
              <w:spacing w:after="0"/>
              <w:rPr>
                <w:sz w:val="13"/>
                <w:szCs w:val="13"/>
                <w:color w:val="auto"/>
              </w:rPr>
            </w:pPr>
          </w:p>
        </w:tc>
        <w:tc>
          <w:tcPr>
            <w:tcW w:w="820" w:type="dxa"/>
            <w:vAlign w:val="bottom"/>
          </w:tcPr>
          <w:p>
            <w:pPr>
              <w:jc w:val="right"/>
              <w:ind w:right="333"/>
              <w:spacing w:after="0" w:line="155" w:lineRule="exact"/>
              <w:rPr>
                <w:sz w:val="20"/>
                <w:szCs w:val="20"/>
                <w:color w:val="auto"/>
              </w:rPr>
            </w:pPr>
            <w:r>
              <w:rPr>
                <w:rFonts w:ascii="Calibri" w:cs="Calibri" w:eastAsia="Calibri" w:hAnsi="Calibri"/>
                <w:sz w:val="14"/>
                <w:szCs w:val="14"/>
                <w:b w:val="1"/>
                <w:bCs w:val="1"/>
                <w:color w:val="auto"/>
              </w:rPr>
              <w:t>Low</w:t>
            </w:r>
          </w:p>
        </w:tc>
        <w:tc>
          <w:tcPr>
            <w:tcW w:w="220" w:type="dxa"/>
            <w:vAlign w:val="bottom"/>
          </w:tcPr>
          <w:p>
            <w:pPr>
              <w:spacing w:after="0"/>
              <w:rPr>
                <w:sz w:val="13"/>
                <w:szCs w:val="13"/>
                <w:color w:val="auto"/>
              </w:rPr>
            </w:pPr>
          </w:p>
        </w:tc>
        <w:tc>
          <w:tcPr>
            <w:tcW w:w="720" w:type="dxa"/>
            <w:vAlign w:val="bottom"/>
          </w:tcPr>
          <w:p>
            <w:pPr>
              <w:ind w:left="60"/>
              <w:spacing w:after="0" w:line="155" w:lineRule="exact"/>
              <w:rPr>
                <w:sz w:val="20"/>
                <w:szCs w:val="20"/>
                <w:color w:val="auto"/>
              </w:rPr>
            </w:pPr>
            <w:r>
              <w:rPr>
                <w:rFonts w:ascii="Calibri" w:cs="Calibri" w:eastAsia="Calibri" w:hAnsi="Calibri"/>
                <w:sz w:val="14"/>
                <w:szCs w:val="14"/>
                <w:b w:val="1"/>
                <w:bCs w:val="1"/>
                <w:color w:val="auto"/>
              </w:rPr>
              <w:t>and Paid</w:t>
            </w:r>
          </w:p>
        </w:tc>
      </w:tr>
      <w:tr>
        <w:trPr>
          <w:trHeight w:val="20"/>
        </w:trPr>
        <w:tc>
          <w:tcPr>
            <w:tcW w:w="9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80"/>
        </w:trPr>
        <w:tc>
          <w:tcPr>
            <w:tcW w:w="3920" w:type="dxa"/>
            <w:vAlign w:val="bottom"/>
            <w:gridSpan w:val="2"/>
          </w:tcPr>
          <w:p>
            <w:pPr>
              <w:spacing w:after="0"/>
              <w:rPr>
                <w:sz w:val="20"/>
                <w:szCs w:val="20"/>
                <w:color w:val="auto"/>
              </w:rPr>
            </w:pPr>
            <w:r>
              <w:rPr>
                <w:rFonts w:ascii="Calibri" w:cs="Calibri" w:eastAsia="Calibri" w:hAnsi="Calibri"/>
                <w:sz w:val="18"/>
                <w:szCs w:val="18"/>
                <w:color w:val="auto"/>
              </w:rPr>
              <w:t>March 31, 2024</w:t>
            </w:r>
          </w:p>
        </w:tc>
        <w:tc>
          <w:tcPr>
            <w:tcW w:w="27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13"/>
              <w:spacing w:after="0"/>
              <w:rPr>
                <w:sz w:val="20"/>
                <w:szCs w:val="20"/>
                <w:color w:val="auto"/>
              </w:rPr>
            </w:pPr>
            <w:r>
              <w:rPr>
                <w:rFonts w:ascii="Calibri" w:cs="Calibri" w:eastAsia="Calibri" w:hAnsi="Calibri"/>
                <w:sz w:val="18"/>
                <w:szCs w:val="18"/>
                <w:color w:val="auto"/>
              </w:rPr>
              <w:t>17.69</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13"/>
              <w:spacing w:after="0"/>
              <w:rPr>
                <w:sz w:val="20"/>
                <w:szCs w:val="20"/>
                <w:color w:val="auto"/>
              </w:rPr>
            </w:pPr>
            <w:r>
              <w:rPr>
                <w:rFonts w:ascii="Calibri" w:cs="Calibri" w:eastAsia="Calibri" w:hAnsi="Calibri"/>
                <w:sz w:val="18"/>
                <w:szCs w:val="18"/>
                <w:color w:val="auto"/>
              </w:rPr>
              <w:t>14.66</w:t>
            </w:r>
          </w:p>
        </w:tc>
        <w:tc>
          <w:tcPr>
            <w:tcW w:w="2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0.17</w:t>
            </w:r>
          </w:p>
        </w:tc>
      </w:tr>
      <w:tr>
        <w:trPr>
          <w:trHeight w:val="256"/>
        </w:trPr>
        <w:tc>
          <w:tcPr>
            <w:tcW w:w="3920" w:type="dxa"/>
            <w:vAlign w:val="bottom"/>
            <w:gridSpan w:val="2"/>
          </w:tcPr>
          <w:p>
            <w:pPr>
              <w:spacing w:after="0"/>
              <w:rPr>
                <w:sz w:val="20"/>
                <w:szCs w:val="20"/>
                <w:color w:val="auto"/>
              </w:rPr>
            </w:pPr>
            <w:r>
              <w:rPr>
                <w:rFonts w:ascii="Calibri" w:cs="Calibri" w:eastAsia="Calibri" w:hAnsi="Calibri"/>
                <w:sz w:val="18"/>
                <w:szCs w:val="18"/>
                <w:color w:val="auto"/>
              </w:rPr>
              <w:t>June 30, 2024</w:t>
            </w:r>
          </w:p>
        </w:tc>
        <w:tc>
          <w:tcPr>
            <w:tcW w:w="27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13"/>
              <w:spacing w:after="0"/>
              <w:rPr>
                <w:sz w:val="20"/>
                <w:szCs w:val="20"/>
                <w:color w:val="auto"/>
              </w:rPr>
            </w:pPr>
            <w:r>
              <w:rPr>
                <w:rFonts w:ascii="Calibri" w:cs="Calibri" w:eastAsia="Calibri" w:hAnsi="Calibri"/>
                <w:sz w:val="18"/>
                <w:szCs w:val="18"/>
                <w:color w:val="auto"/>
              </w:rPr>
              <w:t>17.20</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13"/>
              <w:spacing w:after="0"/>
              <w:rPr>
                <w:sz w:val="20"/>
                <w:szCs w:val="20"/>
                <w:color w:val="auto"/>
              </w:rPr>
            </w:pPr>
            <w:r>
              <w:rPr>
                <w:rFonts w:ascii="Calibri" w:cs="Calibri" w:eastAsia="Calibri" w:hAnsi="Calibri"/>
                <w:sz w:val="18"/>
                <w:szCs w:val="18"/>
                <w:color w:val="auto"/>
              </w:rPr>
              <w:t>12.99</w:t>
            </w:r>
          </w:p>
        </w:tc>
        <w:tc>
          <w:tcPr>
            <w:tcW w:w="2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0.17</w:t>
            </w:r>
          </w:p>
        </w:tc>
      </w:tr>
      <w:tr>
        <w:trPr>
          <w:trHeight w:val="257"/>
        </w:trPr>
        <w:tc>
          <w:tcPr>
            <w:tcW w:w="3920" w:type="dxa"/>
            <w:vAlign w:val="bottom"/>
            <w:gridSpan w:val="2"/>
          </w:tcPr>
          <w:p>
            <w:pPr>
              <w:spacing w:after="0"/>
              <w:rPr>
                <w:sz w:val="20"/>
                <w:szCs w:val="20"/>
                <w:color w:val="auto"/>
              </w:rPr>
            </w:pPr>
            <w:r>
              <w:rPr>
                <w:rFonts w:ascii="Calibri" w:cs="Calibri" w:eastAsia="Calibri" w:hAnsi="Calibri"/>
                <w:sz w:val="18"/>
                <w:szCs w:val="18"/>
                <w:color w:val="auto"/>
              </w:rPr>
              <w:t>September 30, 2024</w:t>
            </w:r>
          </w:p>
        </w:tc>
        <w:tc>
          <w:tcPr>
            <w:tcW w:w="27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13"/>
              <w:spacing w:after="0"/>
              <w:rPr>
                <w:sz w:val="20"/>
                <w:szCs w:val="20"/>
                <w:color w:val="auto"/>
              </w:rPr>
            </w:pPr>
            <w:r>
              <w:rPr>
                <w:rFonts w:ascii="Calibri" w:cs="Calibri" w:eastAsia="Calibri" w:hAnsi="Calibri"/>
                <w:sz w:val="18"/>
                <w:szCs w:val="18"/>
                <w:color w:val="auto"/>
              </w:rPr>
              <w:t>18.33</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13"/>
              <w:spacing w:after="0"/>
              <w:rPr>
                <w:sz w:val="20"/>
                <w:szCs w:val="20"/>
                <w:color w:val="auto"/>
              </w:rPr>
            </w:pPr>
            <w:r>
              <w:rPr>
                <w:rFonts w:ascii="Calibri" w:cs="Calibri" w:eastAsia="Calibri" w:hAnsi="Calibri"/>
                <w:sz w:val="18"/>
                <w:szCs w:val="18"/>
                <w:color w:val="auto"/>
              </w:rPr>
              <w:t>13.85</w:t>
            </w:r>
          </w:p>
        </w:tc>
        <w:tc>
          <w:tcPr>
            <w:tcW w:w="2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0.17</w:t>
            </w:r>
          </w:p>
        </w:tc>
      </w:tr>
      <w:tr>
        <w:trPr>
          <w:trHeight w:val="256"/>
        </w:trPr>
        <w:tc>
          <w:tcPr>
            <w:tcW w:w="3920" w:type="dxa"/>
            <w:vAlign w:val="bottom"/>
            <w:gridSpan w:val="2"/>
          </w:tcPr>
          <w:p>
            <w:pPr>
              <w:spacing w:after="0"/>
              <w:rPr>
                <w:sz w:val="20"/>
                <w:szCs w:val="20"/>
                <w:color w:val="auto"/>
              </w:rPr>
            </w:pPr>
            <w:r>
              <w:rPr>
                <w:rFonts w:ascii="Calibri" w:cs="Calibri" w:eastAsia="Calibri" w:hAnsi="Calibri"/>
                <w:sz w:val="18"/>
                <w:szCs w:val="18"/>
                <w:color w:val="auto"/>
              </w:rPr>
              <w:t>December 31, 2024</w:t>
            </w:r>
          </w:p>
        </w:tc>
        <w:tc>
          <w:tcPr>
            <w:tcW w:w="27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13"/>
              <w:spacing w:after="0"/>
              <w:rPr>
                <w:sz w:val="20"/>
                <w:szCs w:val="20"/>
                <w:color w:val="auto"/>
              </w:rPr>
            </w:pPr>
            <w:r>
              <w:rPr>
                <w:rFonts w:ascii="Calibri" w:cs="Calibri" w:eastAsia="Calibri" w:hAnsi="Calibri"/>
                <w:sz w:val="18"/>
                <w:szCs w:val="18"/>
                <w:color w:val="auto"/>
              </w:rPr>
              <w:t>22.27</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13"/>
              <w:spacing w:after="0"/>
              <w:rPr>
                <w:sz w:val="20"/>
                <w:szCs w:val="20"/>
                <w:color w:val="auto"/>
              </w:rPr>
            </w:pPr>
            <w:r>
              <w:rPr>
                <w:rFonts w:ascii="Calibri" w:cs="Calibri" w:eastAsia="Calibri" w:hAnsi="Calibri"/>
                <w:sz w:val="18"/>
                <w:szCs w:val="18"/>
                <w:color w:val="auto"/>
              </w:rPr>
              <w:t>17.29</w:t>
            </w:r>
          </w:p>
        </w:tc>
        <w:tc>
          <w:tcPr>
            <w:tcW w:w="2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0.17</w:t>
            </w:r>
          </w:p>
        </w:tc>
      </w:tr>
      <w:tr>
        <w:trPr>
          <w:trHeight w:val="256"/>
        </w:trPr>
        <w:tc>
          <w:tcPr>
            <w:tcW w:w="3920" w:type="dxa"/>
            <w:vAlign w:val="bottom"/>
            <w:gridSpan w:val="2"/>
          </w:tcPr>
          <w:p>
            <w:pPr>
              <w:spacing w:after="0"/>
              <w:rPr>
                <w:sz w:val="20"/>
                <w:szCs w:val="20"/>
                <w:color w:val="auto"/>
              </w:rPr>
            </w:pPr>
            <w:r>
              <w:rPr>
                <w:rFonts w:ascii="Calibri" w:cs="Calibri" w:eastAsia="Calibri" w:hAnsi="Calibri"/>
                <w:sz w:val="18"/>
                <w:szCs w:val="18"/>
                <w:color w:val="auto"/>
              </w:rPr>
              <w:t>March 31, 2025</w:t>
            </w:r>
          </w:p>
        </w:tc>
        <w:tc>
          <w:tcPr>
            <w:tcW w:w="27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13"/>
              <w:spacing w:after="0"/>
              <w:rPr>
                <w:sz w:val="20"/>
                <w:szCs w:val="20"/>
                <w:color w:val="auto"/>
              </w:rPr>
            </w:pPr>
            <w:r>
              <w:rPr>
                <w:rFonts w:ascii="Calibri" w:cs="Calibri" w:eastAsia="Calibri" w:hAnsi="Calibri"/>
                <w:sz w:val="18"/>
                <w:szCs w:val="18"/>
                <w:color w:val="auto"/>
              </w:rPr>
              <w:t>21.12</w:t>
            </w:r>
          </w:p>
        </w:tc>
        <w:tc>
          <w:tcPr>
            <w:tcW w:w="32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13"/>
              <w:spacing w:after="0"/>
              <w:rPr>
                <w:sz w:val="20"/>
                <w:szCs w:val="20"/>
                <w:color w:val="auto"/>
              </w:rPr>
            </w:pPr>
            <w:r>
              <w:rPr>
                <w:rFonts w:ascii="Calibri" w:cs="Calibri" w:eastAsia="Calibri" w:hAnsi="Calibri"/>
                <w:sz w:val="18"/>
                <w:szCs w:val="18"/>
                <w:color w:val="auto"/>
              </w:rPr>
              <w:t>15.71</w:t>
            </w:r>
          </w:p>
        </w:tc>
        <w:tc>
          <w:tcPr>
            <w:tcW w:w="2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0.17</w:t>
            </w:r>
          </w:p>
        </w:tc>
      </w:tr>
    </w:tbl>
    <w:p>
      <w:pPr>
        <w:sectPr>
          <w:pgSz w:w="11900" w:h="16854" w:orient="portrait"/>
          <w:cols w:equalWidth="0" w:num="1">
            <w:col w:w="9860"/>
          </w:cols>
          <w:pgMar w:left="980" w:top="50" w:right="1059" w:bottom="0" w:gutter="0" w:footer="0" w:header="0"/>
          <w:type w:val="continuous"/>
        </w:sectPr>
      </w:pPr>
    </w:p>
    <w:bookmarkStart w:id="32" w:name="page33"/>
    <w:bookmarkEnd w:id="32"/>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6400" w:type="dxa"/>
            <w:vAlign w:val="bottom"/>
          </w:tcPr>
          <w:p>
            <w:pPr>
              <w:ind w:left="60"/>
              <w:spacing w:after="0"/>
              <w:rPr>
                <w:sz w:val="20"/>
                <w:szCs w:val="20"/>
                <w:color w:val="auto"/>
              </w:rPr>
            </w:pPr>
            <w:r>
              <w:rPr>
                <w:rFonts w:ascii="Calibri" w:cs="Calibri" w:eastAsia="Calibri" w:hAnsi="Calibri"/>
                <w:sz w:val="18"/>
                <w:szCs w:val="18"/>
                <w:color w:val="auto"/>
              </w:rPr>
              <w:t>June 30, 2025</w:t>
            </w:r>
          </w:p>
        </w:tc>
        <w:tc>
          <w:tcPr>
            <w:tcW w:w="360" w:type="dxa"/>
            <w:vAlign w:val="bottom"/>
          </w:tcPr>
          <w:p>
            <w:pPr>
              <w:jc w:val="right"/>
              <w:ind w:right="130"/>
              <w:spacing w:after="0"/>
              <w:rPr>
                <w:sz w:val="20"/>
                <w:szCs w:val="20"/>
                <w:color w:val="auto"/>
              </w:rPr>
            </w:pPr>
            <w:r>
              <w:rPr>
                <w:rFonts w:ascii="Calibri" w:cs="Calibri" w:eastAsia="Calibri" w:hAnsi="Calibri"/>
                <w:sz w:val="18"/>
                <w:szCs w:val="18"/>
                <w:color w:val="auto"/>
              </w:rPr>
              <w:t>$</w:t>
            </w:r>
          </w:p>
        </w:tc>
        <w:tc>
          <w:tcPr>
            <w:tcW w:w="680" w:type="dxa"/>
            <w:vAlign w:val="bottom"/>
          </w:tcPr>
          <w:p>
            <w:pPr>
              <w:ind w:left="220"/>
              <w:spacing w:after="0"/>
              <w:rPr>
                <w:sz w:val="20"/>
                <w:szCs w:val="20"/>
                <w:color w:val="auto"/>
              </w:rPr>
            </w:pPr>
            <w:r>
              <w:rPr>
                <w:rFonts w:ascii="Calibri" w:cs="Calibri" w:eastAsia="Calibri" w:hAnsi="Calibri"/>
                <w:sz w:val="10"/>
                <w:szCs w:val="10"/>
                <w:b w:val="1"/>
                <w:bCs w:val="1"/>
                <w:color w:val="auto"/>
                <w:w w:val="75"/>
              </w:rPr>
              <w:t>Market</w:t>
            </w:r>
            <w:r>
              <w:rPr>
                <w:rFonts w:ascii="Calibri" w:cs="Calibri" w:eastAsia="Calibri" w:hAnsi="Calibri"/>
                <w:sz w:val="12"/>
                <w:szCs w:val="12"/>
                <w:color w:val="auto"/>
                <w:w w:val="75"/>
              </w:rPr>
              <w:t>17.94</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w w:val="92"/>
              </w:rPr>
              <w:t>Quotaton</w:t>
            </w:r>
            <w:r>
              <w:rPr>
                <w:rFonts w:ascii="Calibri" w:cs="Calibri" w:eastAsia="Calibri" w:hAnsi="Calibri"/>
                <w:sz w:val="17"/>
                <w:szCs w:val="17"/>
                <w:color w:val="auto"/>
                <w:w w:val="92"/>
              </w:rPr>
              <w:t>$</w:t>
            </w:r>
          </w:p>
        </w:tc>
        <w:tc>
          <w:tcPr>
            <w:tcW w:w="520" w:type="dxa"/>
            <w:vAlign w:val="bottom"/>
          </w:tcPr>
          <w:p>
            <w:pPr>
              <w:jc w:val="right"/>
              <w:spacing w:after="0"/>
              <w:rPr>
                <w:sz w:val="20"/>
                <w:szCs w:val="20"/>
                <w:color w:val="auto"/>
              </w:rPr>
            </w:pPr>
            <w:r>
              <w:rPr>
                <w:rFonts w:ascii="Calibri" w:cs="Calibri" w:eastAsia="Calibri" w:hAnsi="Calibri"/>
                <w:sz w:val="18"/>
                <w:szCs w:val="18"/>
                <w:color w:val="auto"/>
              </w:rPr>
              <w:t>12.48</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tcPr>
          <w:p>
            <w:pPr>
              <w:jc w:val="right"/>
              <w:ind w:right="6"/>
              <w:spacing w:after="0"/>
              <w:rPr>
                <w:sz w:val="20"/>
                <w:szCs w:val="20"/>
                <w:color w:val="auto"/>
              </w:rPr>
            </w:pPr>
            <w:r>
              <w:rPr>
                <w:rFonts w:ascii="Calibri" w:cs="Calibri" w:eastAsia="Calibri" w:hAnsi="Calibri"/>
                <w:sz w:val="18"/>
                <w:szCs w:val="18"/>
                <w:color w:val="auto"/>
              </w:rPr>
              <w:t>0.17</w:t>
            </w:r>
          </w:p>
        </w:tc>
        <w:tc>
          <w:tcPr>
            <w:tcW w:w="0" w:type="dxa"/>
            <w:vAlign w:val="bottom"/>
          </w:tcPr>
          <w:p>
            <w:pPr>
              <w:spacing w:after="0"/>
              <w:rPr>
                <w:sz w:val="1"/>
                <w:szCs w:val="1"/>
                <w:color w:val="auto"/>
              </w:rPr>
            </w:pPr>
          </w:p>
        </w:tc>
      </w:tr>
      <w:tr>
        <w:trPr>
          <w:trHeight w:val="136"/>
        </w:trPr>
        <w:tc>
          <w:tcPr>
            <w:tcW w:w="6400" w:type="dxa"/>
            <w:vAlign w:val="bottom"/>
            <w:vMerge w:val="restart"/>
          </w:tcPr>
          <w:p>
            <w:pPr>
              <w:ind w:left="60"/>
              <w:spacing w:after="0" w:line="197" w:lineRule="exact"/>
              <w:rPr>
                <w:sz w:val="20"/>
                <w:szCs w:val="20"/>
                <w:color w:val="auto"/>
              </w:rPr>
            </w:pPr>
            <w:r>
              <w:rPr>
                <w:rFonts w:ascii="Calibri" w:cs="Calibri" w:eastAsia="Calibri" w:hAnsi="Calibri"/>
                <w:sz w:val="18"/>
                <w:szCs w:val="18"/>
                <w:color w:val="auto"/>
              </w:rPr>
              <w:t>September 30, 2025</w:t>
            </w:r>
          </w:p>
        </w:tc>
        <w:tc>
          <w:tcPr>
            <w:tcW w:w="360" w:type="dxa"/>
            <w:vAlign w:val="bottom"/>
            <w:vMerge w:val="restart"/>
          </w:tcPr>
          <w:p>
            <w:pPr>
              <w:jc w:val="right"/>
              <w:ind w:right="130"/>
              <w:spacing w:after="0" w:line="197" w:lineRule="exact"/>
              <w:rPr>
                <w:sz w:val="20"/>
                <w:szCs w:val="20"/>
                <w:color w:val="auto"/>
              </w:rPr>
            </w:pPr>
            <w:r>
              <w:rPr>
                <w:rFonts w:ascii="Calibri" w:cs="Calibri" w:eastAsia="Calibri" w:hAnsi="Calibri"/>
                <w:sz w:val="18"/>
                <w:szCs w:val="18"/>
                <w:color w:val="auto"/>
              </w:rPr>
              <w:t>$</w:t>
            </w:r>
          </w:p>
        </w:tc>
        <w:tc>
          <w:tcPr>
            <w:tcW w:w="1340" w:type="dxa"/>
            <w:vAlign w:val="bottom"/>
            <w:gridSpan w:val="2"/>
          </w:tcPr>
          <w:p>
            <w:pPr>
              <w:ind w:left="480"/>
              <w:spacing w:after="0" w:line="136" w:lineRule="exact"/>
              <w:rPr>
                <w:sz w:val="20"/>
                <w:szCs w:val="20"/>
                <w:color w:val="auto"/>
              </w:rPr>
            </w:pPr>
            <w:r>
              <w:rPr>
                <w:rFonts w:ascii="Calibri" w:cs="Calibri" w:eastAsia="Calibri" w:hAnsi="Calibri"/>
                <w:sz w:val="14"/>
                <w:szCs w:val="14"/>
                <w:b w:val="1"/>
                <w:bCs w:val="1"/>
                <w:color w:val="auto"/>
              </w:rPr>
              <w:t>per Share</w:t>
            </w:r>
          </w:p>
        </w:tc>
        <w:tc>
          <w:tcPr>
            <w:tcW w:w="520" w:type="dxa"/>
            <w:vAlign w:val="bottom"/>
            <w:vMerge w:val="restart"/>
          </w:tcPr>
          <w:p>
            <w:pPr>
              <w:jc w:val="right"/>
              <w:spacing w:after="0" w:line="197" w:lineRule="exact"/>
              <w:rPr>
                <w:sz w:val="20"/>
                <w:szCs w:val="20"/>
                <w:color w:val="auto"/>
              </w:rPr>
            </w:pPr>
            <w:r>
              <w:rPr>
                <w:rFonts w:ascii="Calibri" w:cs="Calibri" w:eastAsia="Calibri" w:hAnsi="Calibri"/>
                <w:sz w:val="18"/>
                <w:szCs w:val="18"/>
                <w:color w:val="auto"/>
              </w:rPr>
              <w:t>15.89</w:t>
            </w:r>
          </w:p>
        </w:tc>
        <w:tc>
          <w:tcPr>
            <w:tcW w:w="60" w:type="dxa"/>
            <w:vAlign w:val="bottom"/>
          </w:tcPr>
          <w:p>
            <w:pPr>
              <w:spacing w:after="0"/>
              <w:rPr>
                <w:sz w:val="11"/>
                <w:szCs w:val="11"/>
                <w:color w:val="auto"/>
              </w:rPr>
            </w:pPr>
          </w:p>
        </w:tc>
        <w:tc>
          <w:tcPr>
            <w:tcW w:w="160" w:type="dxa"/>
            <w:vAlign w:val="bottom"/>
            <w:vMerge w:val="restart"/>
          </w:tcPr>
          <w:p>
            <w:pPr>
              <w:jc w:val="right"/>
              <w:spacing w:after="0" w:line="197"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ind w:right="106"/>
              <w:spacing w:after="0" w:line="136" w:lineRule="exact"/>
              <w:rPr>
                <w:sz w:val="20"/>
                <w:szCs w:val="20"/>
                <w:color w:val="auto"/>
              </w:rPr>
            </w:pPr>
            <w:r>
              <w:rPr>
                <w:rFonts w:ascii="Calibri" w:cs="Calibri" w:eastAsia="Calibri" w:hAnsi="Calibri"/>
                <w:sz w:val="14"/>
                <w:szCs w:val="14"/>
                <w:b w:val="1"/>
                <w:bCs w:val="1"/>
                <w:color w:val="auto"/>
              </w:rPr>
              <w:t>Dividends</w:t>
            </w:r>
          </w:p>
        </w:tc>
        <w:tc>
          <w:tcPr>
            <w:tcW w:w="0" w:type="dxa"/>
            <w:vAlign w:val="bottom"/>
          </w:tcPr>
          <w:p>
            <w:pPr>
              <w:spacing w:after="0"/>
              <w:rPr>
                <w:sz w:val="1"/>
                <w:szCs w:val="1"/>
                <w:color w:val="auto"/>
              </w:rPr>
            </w:pPr>
          </w:p>
        </w:tc>
      </w:tr>
      <w:tr>
        <w:trPr>
          <w:trHeight w:val="81"/>
        </w:trPr>
        <w:tc>
          <w:tcPr>
            <w:tcW w:w="6400" w:type="dxa"/>
            <w:vAlign w:val="bottom"/>
            <w:tcBorders>
              <w:bottom w:val="single" w:sz="8" w:color="F5F5F5"/>
            </w:tcBorders>
            <w:vMerge w:val="continue"/>
          </w:tcPr>
          <w:p>
            <w:pPr>
              <w:spacing w:after="0"/>
              <w:rPr>
                <w:sz w:val="7"/>
                <w:szCs w:val="7"/>
                <w:color w:val="auto"/>
              </w:rPr>
            </w:pPr>
          </w:p>
        </w:tc>
        <w:tc>
          <w:tcPr>
            <w:tcW w:w="360" w:type="dxa"/>
            <w:vAlign w:val="bottom"/>
            <w:tcBorders>
              <w:bottom w:val="single" w:sz="8" w:color="auto"/>
            </w:tcBorders>
            <w:vMerge w:val="continue"/>
          </w:tcPr>
          <w:p>
            <w:pPr>
              <w:spacing w:after="0"/>
              <w:rPr>
                <w:sz w:val="7"/>
                <w:szCs w:val="7"/>
                <w:color w:val="auto"/>
              </w:rPr>
            </w:pPr>
          </w:p>
        </w:tc>
        <w:tc>
          <w:tcPr>
            <w:tcW w:w="680" w:type="dxa"/>
            <w:vAlign w:val="bottom"/>
            <w:tcBorders>
              <w:bottom w:val="single" w:sz="8" w:color="auto"/>
            </w:tcBorders>
          </w:tcPr>
          <w:p>
            <w:pPr>
              <w:ind w:left="240"/>
              <w:spacing w:after="0" w:line="61" w:lineRule="exact"/>
              <w:rPr>
                <w:sz w:val="20"/>
                <w:szCs w:val="20"/>
                <w:color w:val="auto"/>
              </w:rPr>
            </w:pPr>
            <w:r>
              <w:rPr>
                <w:rFonts w:ascii="Calibri" w:cs="Calibri" w:eastAsia="Calibri" w:hAnsi="Calibri"/>
                <w:sz w:val="6"/>
                <w:szCs w:val="6"/>
                <w:color w:val="auto"/>
              </w:rPr>
              <w:t>18.94</w:t>
            </w:r>
          </w:p>
        </w:tc>
        <w:tc>
          <w:tcPr>
            <w:tcW w:w="660" w:type="dxa"/>
            <w:vAlign w:val="bottom"/>
            <w:tcBorders>
              <w:bottom w:val="single" w:sz="8" w:color="auto"/>
            </w:tcBorders>
          </w:tcPr>
          <w:p>
            <w:pPr>
              <w:jc w:val="right"/>
              <w:ind w:right="350"/>
              <w:spacing w:after="0" w:line="61" w:lineRule="exact"/>
              <w:rPr>
                <w:sz w:val="20"/>
                <w:szCs w:val="20"/>
                <w:color w:val="auto"/>
              </w:rPr>
            </w:pPr>
            <w:r>
              <w:rPr>
                <w:rFonts w:ascii="Calibri" w:cs="Calibri" w:eastAsia="Calibri" w:hAnsi="Calibri"/>
                <w:sz w:val="6"/>
                <w:szCs w:val="6"/>
                <w:color w:val="auto"/>
              </w:rPr>
              <w:t>$</w:t>
            </w:r>
          </w:p>
        </w:tc>
        <w:tc>
          <w:tcPr>
            <w:tcW w:w="52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F5F5F5"/>
            </w:tcBorders>
          </w:tcPr>
          <w:p>
            <w:pPr>
              <w:spacing w:after="0"/>
              <w:rPr>
                <w:sz w:val="7"/>
                <w:szCs w:val="7"/>
                <w:color w:val="auto"/>
              </w:rPr>
            </w:pPr>
          </w:p>
        </w:tc>
        <w:tc>
          <w:tcPr>
            <w:tcW w:w="16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tcPr>
          <w:p>
            <w:pPr>
              <w:jc w:val="right"/>
              <w:ind w:right="6"/>
              <w:spacing w:after="0" w:line="61" w:lineRule="exact"/>
              <w:rPr>
                <w:sz w:val="20"/>
                <w:szCs w:val="20"/>
                <w:color w:val="auto"/>
              </w:rPr>
            </w:pPr>
            <w:r>
              <w:rPr>
                <w:rFonts w:ascii="Calibri" w:cs="Calibri" w:eastAsia="Calibri" w:hAnsi="Calibri"/>
                <w:sz w:val="6"/>
                <w:szCs w:val="6"/>
                <w:color w:val="auto"/>
              </w:rPr>
              <w:t>0.17</w:t>
            </w:r>
          </w:p>
        </w:tc>
        <w:tc>
          <w:tcPr>
            <w:tcW w:w="0" w:type="dxa"/>
            <w:vAlign w:val="bottom"/>
          </w:tcPr>
          <w:p>
            <w:pPr>
              <w:spacing w:after="0"/>
              <w:rPr>
                <w:sz w:val="1"/>
                <w:szCs w:val="1"/>
                <w:color w:val="auto"/>
              </w:rPr>
            </w:pPr>
          </w:p>
        </w:tc>
      </w:tr>
      <w:tr>
        <w:trPr>
          <w:trHeight w:val="294"/>
        </w:trPr>
        <w:tc>
          <w:tcPr>
            <w:tcW w:w="6400" w:type="dxa"/>
            <w:vAlign w:val="bottom"/>
            <w:shd w:val="clear" w:color="auto" w:fill="F5F5F5"/>
          </w:tcPr>
          <w:p>
            <w:pPr>
              <w:ind w:left="60"/>
              <w:spacing w:after="0"/>
              <w:rPr>
                <w:sz w:val="20"/>
                <w:szCs w:val="20"/>
                <w:color w:val="auto"/>
              </w:rPr>
            </w:pPr>
            <w:r>
              <w:rPr>
                <w:rFonts w:ascii="Calibri" w:cs="Calibri" w:eastAsia="Calibri" w:hAnsi="Calibri"/>
                <w:sz w:val="18"/>
                <w:szCs w:val="18"/>
                <w:color w:val="auto"/>
              </w:rPr>
              <w:t>December 31, 2025</w:t>
            </w:r>
          </w:p>
        </w:tc>
        <w:tc>
          <w:tcPr>
            <w:tcW w:w="360" w:type="dxa"/>
            <w:vAlign w:val="bottom"/>
            <w:shd w:val="clear" w:color="auto" w:fill="F5F5F5"/>
          </w:tcPr>
          <w:p>
            <w:pPr>
              <w:jc w:val="right"/>
              <w:ind w:right="130"/>
              <w:spacing w:after="0"/>
              <w:rPr>
                <w:sz w:val="20"/>
                <w:szCs w:val="20"/>
                <w:color w:val="auto"/>
              </w:rPr>
            </w:pPr>
            <w:r>
              <w:rPr>
                <w:rFonts w:ascii="Calibri" w:cs="Calibri" w:eastAsia="Calibri" w:hAnsi="Calibri"/>
                <w:sz w:val="18"/>
                <w:szCs w:val="18"/>
                <w:color w:val="auto"/>
              </w:rPr>
              <w:t>$</w:t>
            </w:r>
          </w:p>
        </w:tc>
        <w:tc>
          <w:tcPr>
            <w:tcW w:w="680" w:type="dxa"/>
            <w:vAlign w:val="bottom"/>
            <w:shd w:val="clear" w:color="auto" w:fill="F5F5F5"/>
          </w:tcPr>
          <w:p>
            <w:pPr>
              <w:ind w:left="240"/>
              <w:spacing w:after="0"/>
              <w:rPr>
                <w:sz w:val="20"/>
                <w:szCs w:val="20"/>
                <w:color w:val="auto"/>
              </w:rPr>
            </w:pPr>
            <w:r>
              <w:rPr>
                <w:rFonts w:ascii="Calibri" w:cs="Calibri" w:eastAsia="Calibri" w:hAnsi="Calibri"/>
                <w:sz w:val="18"/>
                <w:szCs w:val="18"/>
                <w:color w:val="auto"/>
              </w:rPr>
              <w:t>19.14</w:t>
            </w:r>
          </w:p>
        </w:tc>
        <w:tc>
          <w:tcPr>
            <w:tcW w:w="660" w:type="dxa"/>
            <w:vAlign w:val="bottom"/>
            <w:shd w:val="clear" w:color="auto" w:fill="F5F5F5"/>
          </w:tcPr>
          <w:p>
            <w:pPr>
              <w:jc w:val="right"/>
              <w:ind w:right="350"/>
              <w:spacing w:after="0"/>
              <w:rPr>
                <w:sz w:val="20"/>
                <w:szCs w:val="20"/>
                <w:color w:val="auto"/>
              </w:rPr>
            </w:pPr>
            <w:r>
              <w:rPr>
                <w:rFonts w:ascii="Calibri" w:cs="Calibri" w:eastAsia="Calibri" w:hAnsi="Calibri"/>
                <w:sz w:val="18"/>
                <w:szCs w:val="18"/>
                <w:color w:val="auto"/>
              </w:rPr>
              <w:t>$</w:t>
            </w:r>
          </w:p>
        </w:tc>
        <w:tc>
          <w:tcPr>
            <w:tcW w:w="520" w:type="dxa"/>
            <w:vAlign w:val="bottom"/>
            <w:shd w:val="clear" w:color="auto" w:fill="F5F5F5"/>
          </w:tcPr>
          <w:p>
            <w:pPr>
              <w:jc w:val="right"/>
              <w:spacing w:after="0"/>
              <w:rPr>
                <w:sz w:val="20"/>
                <w:szCs w:val="20"/>
                <w:color w:val="auto"/>
              </w:rPr>
            </w:pPr>
            <w:r>
              <w:rPr>
                <w:rFonts w:ascii="Calibri" w:cs="Calibri" w:eastAsia="Calibri" w:hAnsi="Calibri"/>
                <w:sz w:val="18"/>
                <w:szCs w:val="18"/>
                <w:color w:val="auto"/>
              </w:rPr>
              <w:t>16.03</w:t>
            </w:r>
          </w:p>
        </w:tc>
        <w:tc>
          <w:tcPr>
            <w:tcW w:w="60" w:type="dxa"/>
            <w:vAlign w:val="bottom"/>
            <w:shd w:val="clear" w:color="auto" w:fill="F5F5F5"/>
          </w:tcPr>
          <w:p>
            <w:pPr>
              <w:spacing w:after="0"/>
              <w:rPr>
                <w:sz w:val="24"/>
                <w:szCs w:val="24"/>
                <w:color w:val="auto"/>
              </w:rPr>
            </w:pPr>
          </w:p>
        </w:tc>
        <w:tc>
          <w:tcPr>
            <w:tcW w:w="160" w:type="dxa"/>
            <w:vAlign w:val="bottom"/>
            <w:shd w:val="clear" w:color="auto" w:fill="F5F5F5"/>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F5F5F5"/>
          </w:tcPr>
          <w:p>
            <w:pPr>
              <w:jc w:val="right"/>
              <w:ind w:right="6"/>
              <w:spacing w:after="0"/>
              <w:rPr>
                <w:sz w:val="20"/>
                <w:szCs w:val="20"/>
                <w:color w:val="auto"/>
              </w:rPr>
            </w:pPr>
            <w:r>
              <w:rPr>
                <w:rFonts w:ascii="Calibri" w:cs="Calibri" w:eastAsia="Calibri" w:hAnsi="Calibri"/>
                <w:sz w:val="18"/>
                <w:szCs w:val="18"/>
                <w:color w:val="auto"/>
              </w:rPr>
              <w:t>0.17</w:t>
            </w:r>
          </w:p>
        </w:tc>
        <w:tc>
          <w:tcPr>
            <w:tcW w:w="0" w:type="dxa"/>
            <w:vAlign w:val="bottom"/>
          </w:tcPr>
          <w:p>
            <w:pPr>
              <w:spacing w:after="0"/>
              <w:rPr>
                <w:sz w:val="1"/>
                <w:szCs w:val="1"/>
                <w:color w:val="auto"/>
              </w:rPr>
            </w:pPr>
          </w:p>
        </w:tc>
      </w:tr>
      <w:tr>
        <w:trPr>
          <w:trHeight w:val="78"/>
        </w:trPr>
        <w:tc>
          <w:tcPr>
            <w:tcW w:w="6400" w:type="dxa"/>
            <w:vAlign w:val="bottom"/>
            <w:shd w:val="clear" w:color="auto" w:fill="F5F5F5"/>
          </w:tcPr>
          <w:p>
            <w:pPr>
              <w:spacing w:after="0"/>
              <w:rPr>
                <w:sz w:val="6"/>
                <w:szCs w:val="6"/>
                <w:color w:val="auto"/>
              </w:rPr>
            </w:pPr>
          </w:p>
        </w:tc>
        <w:tc>
          <w:tcPr>
            <w:tcW w:w="360" w:type="dxa"/>
            <w:vAlign w:val="bottom"/>
            <w:tcBorders>
              <w:bottom w:val="single" w:sz="8" w:color="auto"/>
            </w:tcBorders>
            <w:shd w:val="clear" w:color="auto" w:fill="F5F5F5"/>
          </w:tcPr>
          <w:p>
            <w:pPr>
              <w:spacing w:after="0"/>
              <w:rPr>
                <w:sz w:val="6"/>
                <w:szCs w:val="6"/>
                <w:color w:val="auto"/>
              </w:rPr>
            </w:pPr>
          </w:p>
        </w:tc>
        <w:tc>
          <w:tcPr>
            <w:tcW w:w="680" w:type="dxa"/>
            <w:vAlign w:val="bottom"/>
            <w:tcBorders>
              <w:bottom w:val="single" w:sz="8" w:color="auto"/>
            </w:tcBorders>
            <w:shd w:val="clear" w:color="auto" w:fill="F5F5F5"/>
          </w:tcPr>
          <w:p>
            <w:pPr>
              <w:spacing w:after="0"/>
              <w:rPr>
                <w:sz w:val="6"/>
                <w:szCs w:val="6"/>
                <w:color w:val="auto"/>
              </w:rPr>
            </w:pPr>
          </w:p>
        </w:tc>
        <w:tc>
          <w:tcPr>
            <w:tcW w:w="660" w:type="dxa"/>
            <w:vAlign w:val="bottom"/>
            <w:tcBorders>
              <w:bottom w:val="single" w:sz="8" w:color="auto"/>
            </w:tcBorders>
            <w:shd w:val="clear" w:color="auto" w:fill="F5F5F5"/>
          </w:tcPr>
          <w:p>
            <w:pPr>
              <w:spacing w:after="0"/>
              <w:rPr>
                <w:sz w:val="6"/>
                <w:szCs w:val="6"/>
                <w:color w:val="auto"/>
              </w:rPr>
            </w:pPr>
          </w:p>
        </w:tc>
        <w:tc>
          <w:tcPr>
            <w:tcW w:w="520" w:type="dxa"/>
            <w:vAlign w:val="bottom"/>
            <w:tcBorders>
              <w:bottom w:val="single" w:sz="8" w:color="auto"/>
            </w:tcBorders>
            <w:shd w:val="clear" w:color="auto" w:fill="F5F5F5"/>
          </w:tcPr>
          <w:p>
            <w:pPr>
              <w:spacing w:after="0"/>
              <w:rPr>
                <w:sz w:val="6"/>
                <w:szCs w:val="6"/>
                <w:color w:val="auto"/>
              </w:rPr>
            </w:pPr>
          </w:p>
        </w:tc>
        <w:tc>
          <w:tcPr>
            <w:tcW w:w="60" w:type="dxa"/>
            <w:vAlign w:val="bottom"/>
            <w:tcBorders>
              <w:bottom w:val="single" w:sz="8" w:color="auto"/>
            </w:tcBorders>
            <w:shd w:val="clear" w:color="auto" w:fill="F5F5F5"/>
          </w:tcPr>
          <w:p>
            <w:pPr>
              <w:spacing w:after="0"/>
              <w:rPr>
                <w:sz w:val="6"/>
                <w:szCs w:val="6"/>
                <w:color w:val="auto"/>
              </w:rPr>
            </w:pPr>
          </w:p>
        </w:tc>
        <w:tc>
          <w:tcPr>
            <w:tcW w:w="160" w:type="dxa"/>
            <w:vAlign w:val="bottom"/>
            <w:tcBorders>
              <w:bottom w:val="single" w:sz="8" w:color="auto"/>
            </w:tcBorders>
            <w:shd w:val="clear" w:color="auto" w:fill="F5F5F5"/>
          </w:tcPr>
          <w:p>
            <w:pPr>
              <w:spacing w:after="0"/>
              <w:rPr>
                <w:sz w:val="6"/>
                <w:szCs w:val="6"/>
                <w:color w:val="auto"/>
              </w:rPr>
            </w:pPr>
          </w:p>
        </w:tc>
        <w:tc>
          <w:tcPr>
            <w:tcW w:w="820" w:type="dxa"/>
            <w:vAlign w:val="bottom"/>
            <w:tcBorders>
              <w:bottom w:val="single" w:sz="8" w:color="auto"/>
            </w:tcBorders>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6400" w:type="dxa"/>
            <w:vAlign w:val="bottom"/>
          </w:tcPr>
          <w:p>
            <w:pPr>
              <w:ind w:left="60"/>
              <w:spacing w:after="0" w:line="195" w:lineRule="exact"/>
              <w:rPr>
                <w:sz w:val="20"/>
                <w:szCs w:val="20"/>
                <w:color w:val="auto"/>
              </w:rPr>
            </w:pPr>
            <w:r>
              <w:rPr>
                <w:rFonts w:ascii="Calibri" w:cs="Calibri" w:eastAsia="Calibri" w:hAnsi="Calibri"/>
                <w:sz w:val="18"/>
                <w:szCs w:val="18"/>
                <w:color w:val="auto"/>
              </w:rPr>
              <w:t>March 31, 2026</w:t>
            </w:r>
          </w:p>
        </w:tc>
        <w:tc>
          <w:tcPr>
            <w:tcW w:w="360" w:type="dxa"/>
            <w:vAlign w:val="bottom"/>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680" w:type="dxa"/>
            <w:vAlign w:val="bottom"/>
          </w:tcPr>
          <w:p>
            <w:pPr>
              <w:ind w:left="240"/>
              <w:spacing w:after="0" w:line="208" w:lineRule="exact"/>
              <w:rPr>
                <w:sz w:val="20"/>
                <w:szCs w:val="20"/>
                <w:color w:val="auto"/>
              </w:rPr>
            </w:pPr>
            <w:r>
              <w:rPr>
                <w:rFonts w:ascii="Calibri" w:cs="Calibri" w:eastAsia="Calibri" w:hAnsi="Calibri"/>
                <w:sz w:val="18"/>
                <w:szCs w:val="18"/>
                <w:color w:val="auto"/>
              </w:rPr>
              <w:t>20.93</w:t>
            </w:r>
          </w:p>
        </w:tc>
        <w:tc>
          <w:tcPr>
            <w:tcW w:w="660" w:type="dxa"/>
            <w:vAlign w:val="bottom"/>
          </w:tcPr>
          <w:p>
            <w:pPr>
              <w:jc w:val="right"/>
              <w:ind w:right="350"/>
              <w:spacing w:after="0" w:line="208"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08" w:lineRule="exact"/>
              <w:rPr>
                <w:sz w:val="20"/>
                <w:szCs w:val="20"/>
                <w:color w:val="auto"/>
              </w:rPr>
            </w:pPr>
            <w:r>
              <w:rPr>
                <w:rFonts w:ascii="Calibri" w:cs="Calibri" w:eastAsia="Calibri" w:hAnsi="Calibri"/>
                <w:sz w:val="18"/>
                <w:szCs w:val="18"/>
                <w:color w:val="auto"/>
              </w:rPr>
              <w:t>17.62</w:t>
            </w:r>
          </w:p>
        </w:tc>
        <w:tc>
          <w:tcPr>
            <w:tcW w:w="60" w:type="dxa"/>
            <w:vAlign w:val="bottom"/>
          </w:tcPr>
          <w:p>
            <w:pPr>
              <w:spacing w:after="0"/>
              <w:rPr>
                <w:sz w:val="18"/>
                <w:szCs w:val="18"/>
                <w:color w:val="auto"/>
              </w:rPr>
            </w:pPr>
          </w:p>
        </w:tc>
        <w:tc>
          <w:tcPr>
            <w:tcW w:w="16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ind w:right="6"/>
              <w:spacing w:after="0" w:line="208" w:lineRule="exact"/>
              <w:rPr>
                <w:sz w:val="20"/>
                <w:szCs w:val="20"/>
                <w:color w:val="auto"/>
              </w:rPr>
            </w:pPr>
            <w:r>
              <w:rPr>
                <w:rFonts w:ascii="Calibri" w:cs="Calibri" w:eastAsia="Calibri" w:hAnsi="Calibri"/>
                <w:sz w:val="18"/>
                <w:szCs w:val="18"/>
                <w:color w:val="auto"/>
              </w:rPr>
              <w:t>0.17</w:t>
            </w:r>
          </w:p>
        </w:tc>
        <w:tc>
          <w:tcPr>
            <w:tcW w:w="0" w:type="dxa"/>
            <w:vAlign w:val="bottom"/>
          </w:tcPr>
          <w:p>
            <w:pPr>
              <w:spacing w:after="0"/>
              <w:rPr>
                <w:sz w:val="1"/>
                <w:szCs w:val="1"/>
                <w:color w:val="auto"/>
              </w:rPr>
            </w:pPr>
          </w:p>
        </w:tc>
      </w:tr>
      <w:tr>
        <w:trPr>
          <w:trHeight w:val="28"/>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00" w:type="dxa"/>
            <w:vAlign w:val="bottom"/>
            <w:shd w:val="clear" w:color="auto" w:fill="F5F5F5"/>
          </w:tcPr>
          <w:p>
            <w:pPr>
              <w:spacing w:after="0"/>
              <w:rPr>
                <w:sz w:val="22"/>
                <w:szCs w:val="22"/>
                <w:color w:val="auto"/>
              </w:rPr>
            </w:pPr>
          </w:p>
        </w:tc>
        <w:tc>
          <w:tcPr>
            <w:tcW w:w="360" w:type="dxa"/>
            <w:vAlign w:val="bottom"/>
            <w:shd w:val="clear" w:color="auto" w:fill="F5F5F5"/>
          </w:tcPr>
          <w:p>
            <w:pPr>
              <w:spacing w:after="0"/>
              <w:rPr>
                <w:sz w:val="22"/>
                <w:szCs w:val="22"/>
                <w:color w:val="auto"/>
              </w:rPr>
            </w:pPr>
          </w:p>
        </w:tc>
        <w:tc>
          <w:tcPr>
            <w:tcW w:w="680" w:type="dxa"/>
            <w:vAlign w:val="bottom"/>
            <w:shd w:val="clear" w:color="auto" w:fill="F5F5F5"/>
          </w:tcPr>
          <w:p>
            <w:pPr>
              <w:spacing w:after="0"/>
              <w:rPr>
                <w:sz w:val="22"/>
                <w:szCs w:val="22"/>
                <w:color w:val="auto"/>
              </w:rPr>
            </w:pPr>
          </w:p>
        </w:tc>
        <w:tc>
          <w:tcPr>
            <w:tcW w:w="660" w:type="dxa"/>
            <w:vAlign w:val="bottom"/>
            <w:shd w:val="clear" w:color="auto" w:fill="F5F5F5"/>
          </w:tcPr>
          <w:p>
            <w:pPr>
              <w:spacing w:after="0"/>
              <w:rPr>
                <w:sz w:val="22"/>
                <w:szCs w:val="22"/>
                <w:color w:val="auto"/>
              </w:rPr>
            </w:pPr>
          </w:p>
        </w:tc>
        <w:tc>
          <w:tcPr>
            <w:tcW w:w="520" w:type="dxa"/>
            <w:vAlign w:val="bottom"/>
            <w:shd w:val="clear" w:color="auto" w:fill="F5F5F5"/>
          </w:tcPr>
          <w:p>
            <w:pPr>
              <w:spacing w:after="0"/>
              <w:rPr>
                <w:sz w:val="22"/>
                <w:szCs w:val="22"/>
                <w:color w:val="auto"/>
              </w:rPr>
            </w:pPr>
          </w:p>
        </w:tc>
        <w:tc>
          <w:tcPr>
            <w:tcW w:w="60" w:type="dxa"/>
            <w:vAlign w:val="bottom"/>
            <w:shd w:val="clear" w:color="auto" w:fill="F5F5F5"/>
          </w:tcPr>
          <w:p>
            <w:pPr>
              <w:spacing w:after="0"/>
              <w:rPr>
                <w:sz w:val="22"/>
                <w:szCs w:val="22"/>
                <w:color w:val="auto"/>
              </w:rPr>
            </w:pPr>
          </w:p>
        </w:tc>
        <w:tc>
          <w:tcPr>
            <w:tcW w:w="160" w:type="dxa"/>
            <w:vAlign w:val="bottom"/>
            <w:shd w:val="clear" w:color="auto" w:fill="F5F5F5"/>
          </w:tcPr>
          <w:p>
            <w:pPr>
              <w:spacing w:after="0"/>
              <w:rPr>
                <w:sz w:val="22"/>
                <w:szCs w:val="22"/>
                <w:color w:val="auto"/>
              </w:rPr>
            </w:pPr>
          </w:p>
        </w:tc>
        <w:tc>
          <w:tcPr>
            <w:tcW w:w="820" w:type="dxa"/>
            <w:vAlign w:val="bottom"/>
            <w:shd w:val="clear" w:color="auto" w:fill="F5F5F5"/>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-822325</wp:posOffset>
            </wp:positionV>
            <wp:extent cx="7132320" cy="6423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642302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007681"/>
        </w:rPr>
        <w:t>Dividend Reinvestment Plan</w:t>
      </w:r>
    </w:p>
    <w:p>
      <w:pPr>
        <w:spacing w:after="0" w:line="221" w:lineRule="exact"/>
        <w:rPr>
          <w:sz w:val="20"/>
          <w:szCs w:val="20"/>
          <w:color w:val="auto"/>
        </w:rPr>
      </w:pPr>
    </w:p>
    <w:p>
      <w:pPr>
        <w:ind w:right="100"/>
        <w:spacing w:after="0" w:line="239" w:lineRule="auto"/>
        <w:rPr>
          <w:sz w:val="20"/>
          <w:szCs w:val="20"/>
          <w:color w:val="auto"/>
        </w:rPr>
      </w:pPr>
      <w:r>
        <w:rPr>
          <w:rFonts w:ascii="Calibri" w:cs="Calibri" w:eastAsia="Calibri" w:hAnsi="Calibri"/>
          <w:sz w:val="16"/>
          <w:szCs w:val="16"/>
          <w:color w:val="auto"/>
        </w:rPr>
        <w:t>Stockholders may automatcally reinvest their dividends in additonal common stock of the Company through the Direct Investment Program, which also provides for purchase by voluntary cash contributons. For additonal informaton, please contact Computershare Trust Company, N.A. at 877-373-6374.</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337"/>
        </w:trPr>
        <w:tc>
          <w:tcPr>
            <w:tcW w:w="3340" w:type="dxa"/>
            <w:vAlign w:val="bottom"/>
          </w:tcPr>
          <w:p>
            <w:pPr>
              <w:ind w:left="80"/>
              <w:spacing w:after="0"/>
              <w:rPr>
                <w:sz w:val="20"/>
                <w:szCs w:val="20"/>
                <w:color w:val="auto"/>
              </w:rPr>
            </w:pPr>
            <w:r>
              <w:rPr>
                <w:rFonts w:ascii="Calibri" w:cs="Calibri" w:eastAsia="Calibri" w:hAnsi="Calibri"/>
                <w:sz w:val="16"/>
                <w:szCs w:val="16"/>
                <w:b w:val="1"/>
                <w:bCs w:val="1"/>
                <w:color w:val="007681"/>
              </w:rPr>
              <w:t>Headquarters</w:t>
            </w:r>
          </w:p>
        </w:tc>
        <w:tc>
          <w:tcPr>
            <w:tcW w:w="6400" w:type="dxa"/>
            <w:vAlign w:val="bottom"/>
            <w:gridSpan w:val="2"/>
          </w:tcPr>
          <w:p>
            <w:pPr>
              <w:spacing w:after="0"/>
              <w:rPr>
                <w:sz w:val="20"/>
                <w:szCs w:val="20"/>
                <w:color w:val="auto"/>
              </w:rPr>
            </w:pPr>
            <w:r>
              <w:rPr>
                <w:rFonts w:ascii="Calibri" w:cs="Calibri" w:eastAsia="Calibri" w:hAnsi="Calibri"/>
                <w:sz w:val="16"/>
                <w:szCs w:val="16"/>
                <w:b w:val="1"/>
                <w:bCs w:val="1"/>
                <w:color w:val="007681"/>
              </w:rPr>
              <w:t>Transfer Agent</w:t>
            </w:r>
          </w:p>
        </w:tc>
      </w:tr>
      <w:tr>
        <w:trPr>
          <w:trHeight w:val="243"/>
        </w:trPr>
        <w:tc>
          <w:tcPr>
            <w:tcW w:w="3340" w:type="dxa"/>
            <w:vAlign w:val="bottom"/>
          </w:tcPr>
          <w:p>
            <w:pPr>
              <w:ind w:left="20"/>
              <w:spacing w:after="0"/>
              <w:rPr>
                <w:sz w:val="20"/>
                <w:szCs w:val="20"/>
                <w:color w:val="auto"/>
              </w:rPr>
            </w:pPr>
            <w:r>
              <w:rPr>
                <w:rFonts w:ascii="Calibri" w:cs="Calibri" w:eastAsia="Calibri" w:hAnsi="Calibri"/>
                <w:sz w:val="16"/>
                <w:szCs w:val="16"/>
                <w:color w:val="auto"/>
              </w:rPr>
              <w:t>The Macerich Company</w:t>
            </w:r>
          </w:p>
        </w:tc>
        <w:tc>
          <w:tcPr>
            <w:tcW w:w="6400" w:type="dxa"/>
            <w:vAlign w:val="bottom"/>
            <w:gridSpan w:val="2"/>
          </w:tcPr>
          <w:p>
            <w:pPr>
              <w:spacing w:after="0"/>
              <w:rPr>
                <w:sz w:val="20"/>
                <w:szCs w:val="20"/>
                <w:color w:val="auto"/>
              </w:rPr>
            </w:pPr>
            <w:r>
              <w:rPr>
                <w:rFonts w:ascii="Calibri" w:cs="Calibri" w:eastAsia="Calibri" w:hAnsi="Calibri"/>
                <w:sz w:val="16"/>
                <w:szCs w:val="16"/>
                <w:color w:val="auto"/>
              </w:rPr>
              <w:t>Computershare</w:t>
            </w:r>
          </w:p>
        </w:tc>
      </w:tr>
      <w:tr>
        <w:trPr>
          <w:trHeight w:val="257"/>
        </w:trPr>
        <w:tc>
          <w:tcPr>
            <w:tcW w:w="3340" w:type="dxa"/>
            <w:vAlign w:val="bottom"/>
          </w:tcPr>
          <w:p>
            <w:pPr>
              <w:ind w:left="20"/>
              <w:spacing w:after="0"/>
              <w:rPr>
                <w:sz w:val="20"/>
                <w:szCs w:val="20"/>
                <w:color w:val="auto"/>
              </w:rPr>
            </w:pPr>
            <w:r>
              <w:rPr>
                <w:rFonts w:ascii="Calibri" w:cs="Calibri" w:eastAsia="Calibri" w:hAnsi="Calibri"/>
                <w:sz w:val="16"/>
                <w:szCs w:val="16"/>
                <w:color w:val="auto"/>
              </w:rPr>
              <w:t>401 Wilshire Boulevard, Suite 700</w:t>
            </w:r>
          </w:p>
        </w:tc>
        <w:tc>
          <w:tcPr>
            <w:tcW w:w="6400" w:type="dxa"/>
            <w:vAlign w:val="bottom"/>
            <w:gridSpan w:val="2"/>
          </w:tcPr>
          <w:p>
            <w:pPr>
              <w:spacing w:after="0"/>
              <w:rPr>
                <w:sz w:val="20"/>
                <w:szCs w:val="20"/>
                <w:color w:val="auto"/>
              </w:rPr>
            </w:pPr>
            <w:r>
              <w:rPr>
                <w:rFonts w:ascii="Calibri" w:cs="Calibri" w:eastAsia="Calibri" w:hAnsi="Calibri"/>
                <w:sz w:val="16"/>
                <w:szCs w:val="16"/>
                <w:color w:val="auto"/>
              </w:rPr>
              <w:t>P.O. Box 43006</w:t>
            </w:r>
          </w:p>
        </w:tc>
      </w:tr>
      <w:tr>
        <w:trPr>
          <w:trHeight w:val="257"/>
        </w:trPr>
        <w:tc>
          <w:tcPr>
            <w:tcW w:w="3340" w:type="dxa"/>
            <w:vAlign w:val="bottom"/>
          </w:tcPr>
          <w:p>
            <w:pPr>
              <w:ind w:left="20"/>
              <w:spacing w:after="0"/>
              <w:rPr>
                <w:sz w:val="20"/>
                <w:szCs w:val="20"/>
                <w:color w:val="auto"/>
              </w:rPr>
            </w:pPr>
            <w:r>
              <w:rPr>
                <w:rFonts w:ascii="Calibri" w:cs="Calibri" w:eastAsia="Calibri" w:hAnsi="Calibri"/>
                <w:sz w:val="16"/>
                <w:szCs w:val="16"/>
                <w:color w:val="auto"/>
              </w:rPr>
              <w:t>Santa Monica, California 90401</w:t>
            </w:r>
          </w:p>
        </w:tc>
        <w:tc>
          <w:tcPr>
            <w:tcW w:w="6400" w:type="dxa"/>
            <w:vAlign w:val="bottom"/>
            <w:gridSpan w:val="2"/>
          </w:tcPr>
          <w:p>
            <w:pPr>
              <w:spacing w:after="0"/>
              <w:rPr>
                <w:sz w:val="20"/>
                <w:szCs w:val="20"/>
                <w:color w:val="auto"/>
              </w:rPr>
            </w:pPr>
            <w:r>
              <w:rPr>
                <w:rFonts w:ascii="Calibri" w:cs="Calibri" w:eastAsia="Calibri" w:hAnsi="Calibri"/>
                <w:sz w:val="16"/>
                <w:szCs w:val="16"/>
                <w:color w:val="auto"/>
              </w:rPr>
              <w:t>Providence, RI 02940-3006</w:t>
            </w:r>
          </w:p>
        </w:tc>
      </w:tr>
      <w:tr>
        <w:trPr>
          <w:trHeight w:val="257"/>
        </w:trPr>
        <w:tc>
          <w:tcPr>
            <w:tcW w:w="3340" w:type="dxa"/>
            <w:vAlign w:val="bottom"/>
          </w:tcPr>
          <w:p>
            <w:pPr>
              <w:ind w:left="20"/>
              <w:spacing w:after="0"/>
              <w:rPr>
                <w:sz w:val="20"/>
                <w:szCs w:val="20"/>
                <w:color w:val="auto"/>
              </w:rPr>
            </w:pPr>
            <w:r>
              <w:rPr>
                <w:rFonts w:ascii="Calibri" w:cs="Calibri" w:eastAsia="Calibri" w:hAnsi="Calibri"/>
                <w:sz w:val="16"/>
                <w:szCs w:val="16"/>
                <w:color w:val="auto"/>
              </w:rPr>
              <w:t>310-394-6000</w:t>
            </w:r>
          </w:p>
        </w:tc>
        <w:tc>
          <w:tcPr>
            <w:tcW w:w="1700" w:type="dxa"/>
            <w:vAlign w:val="bottom"/>
          </w:tcPr>
          <w:p>
            <w:pPr>
              <w:spacing w:after="0"/>
              <w:rPr>
                <w:sz w:val="20"/>
                <w:szCs w:val="20"/>
                <w:color w:val="auto"/>
              </w:rPr>
            </w:pPr>
            <w:r>
              <w:rPr>
                <w:rFonts w:ascii="Calibri" w:cs="Calibri" w:eastAsia="Calibri" w:hAnsi="Calibri"/>
                <w:sz w:val="16"/>
                <w:szCs w:val="16"/>
                <w:color w:val="auto"/>
              </w:rPr>
              <w:t>877-373-6374</w:t>
            </w:r>
          </w:p>
        </w:tc>
        <w:tc>
          <w:tcPr>
            <w:tcW w:w="4700" w:type="dxa"/>
            <w:vAlign w:val="bottom"/>
          </w:tcPr>
          <w:p>
            <w:pPr>
              <w:spacing w:after="0"/>
              <w:rPr>
                <w:sz w:val="22"/>
                <w:szCs w:val="22"/>
                <w:color w:val="auto"/>
              </w:rPr>
            </w:pPr>
          </w:p>
        </w:tc>
      </w:tr>
      <w:tr>
        <w:trPr>
          <w:trHeight w:val="257"/>
        </w:trPr>
        <w:tc>
          <w:tcPr>
            <w:tcW w:w="3340" w:type="dxa"/>
            <w:vAlign w:val="bottom"/>
          </w:tcPr>
          <w:p>
            <w:pPr>
              <w:ind w:left="20"/>
              <w:spacing w:after="0"/>
              <w:rPr>
                <w:sz w:val="20"/>
                <w:szCs w:val="20"/>
                <w:color w:val="auto"/>
              </w:rPr>
            </w:pPr>
            <w:r>
              <w:rPr>
                <w:rFonts w:ascii="Calibri" w:cs="Calibri" w:eastAsia="Calibri" w:hAnsi="Calibri"/>
                <w:sz w:val="16"/>
                <w:szCs w:val="16"/>
                <w:color w:val="auto"/>
              </w:rPr>
              <w:t>www.macerich.com</w:t>
            </w:r>
          </w:p>
        </w:tc>
        <w:tc>
          <w:tcPr>
            <w:tcW w:w="6400" w:type="dxa"/>
            <w:vAlign w:val="bottom"/>
            <w:gridSpan w:val="2"/>
          </w:tcPr>
          <w:p>
            <w:pPr>
              <w:spacing w:after="0"/>
              <w:rPr>
                <w:sz w:val="20"/>
                <w:szCs w:val="20"/>
                <w:color w:val="auto"/>
              </w:rPr>
            </w:pPr>
            <w:r>
              <w:rPr>
                <w:rFonts w:ascii="Calibri" w:cs="Calibri" w:eastAsia="Calibri" w:hAnsi="Calibri"/>
                <w:sz w:val="16"/>
                <w:szCs w:val="16"/>
                <w:color w:val="auto"/>
              </w:rPr>
              <w:t>1-781-575-2879 Internatonal calls</w:t>
            </w:r>
          </w:p>
        </w:tc>
      </w:tr>
      <w:tr>
        <w:trPr>
          <w:trHeight w:val="230"/>
        </w:trPr>
        <w:tc>
          <w:tcPr>
            <w:tcW w:w="334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r>
              <w:rPr>
                <w:rFonts w:ascii="Calibri" w:cs="Calibri" w:eastAsia="Calibri" w:hAnsi="Calibri"/>
                <w:sz w:val="16"/>
                <w:szCs w:val="16"/>
                <w:color w:val="auto"/>
                <w:w w:val="98"/>
              </w:rPr>
              <w:t>www.computershare.com</w:t>
            </w:r>
          </w:p>
        </w:tc>
        <w:tc>
          <w:tcPr>
            <w:tcW w:w="4700" w:type="dxa"/>
            <w:vAlign w:val="bottom"/>
          </w:tcPr>
          <w:p>
            <w:pPr>
              <w:spacing w:after="0"/>
              <w:rPr>
                <w:sz w:val="20"/>
                <w:szCs w:val="20"/>
                <w:color w:val="auto"/>
              </w:rPr>
            </w:pPr>
          </w:p>
        </w:tc>
      </w:tr>
    </w:tbl>
    <w:p>
      <w:pPr>
        <w:spacing w:after="0" w:line="317"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007681"/>
        </w:rPr>
        <w:t>Macerich Website</w:t>
      </w:r>
    </w:p>
    <w:p>
      <w:pPr>
        <w:spacing w:after="0" w:line="210" w:lineRule="exact"/>
        <w:rPr>
          <w:sz w:val="20"/>
          <w:szCs w:val="20"/>
          <w:color w:val="auto"/>
        </w:rPr>
      </w:pPr>
    </w:p>
    <w:p>
      <w:pPr>
        <w:spacing w:after="0"/>
        <w:rPr>
          <w:sz w:val="20"/>
          <w:szCs w:val="20"/>
          <w:color w:val="auto"/>
        </w:rPr>
      </w:pPr>
      <w:r>
        <w:rPr>
          <w:rFonts w:ascii="Calibri" w:cs="Calibri" w:eastAsia="Calibri" w:hAnsi="Calibri"/>
          <w:sz w:val="16"/>
          <w:szCs w:val="16"/>
          <w:color w:val="auto"/>
        </w:rPr>
        <w:t>For an electronic version of our annual report, our SEC flings and documents relatng to Corporate Governance, please visit www.macerich.com.</w:t>
      </w:r>
    </w:p>
    <w:p>
      <w:pPr>
        <w:spacing w:after="0" w:line="39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007681"/>
        </w:rPr>
        <w:t>Investor Relatons</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color w:val="auto"/>
        </w:rPr>
        <w:t>Alexandra Johnstone</w:t>
      </w:r>
    </w:p>
    <w:p>
      <w:pPr>
        <w:spacing w:after="0" w:line="199" w:lineRule="auto"/>
        <w:rPr>
          <w:sz w:val="20"/>
          <w:szCs w:val="20"/>
          <w:color w:val="auto"/>
        </w:rPr>
      </w:pPr>
      <w:r>
        <w:rPr>
          <w:rFonts w:ascii="Calibri" w:cs="Calibri" w:eastAsia="Calibri" w:hAnsi="Calibri"/>
          <w:sz w:val="16"/>
          <w:szCs w:val="16"/>
          <w:color w:val="auto"/>
        </w:rPr>
        <w:t>Vice President, Finance</w:t>
      </w:r>
    </w:p>
    <w:p>
      <w:pPr>
        <w:spacing w:after="0" w:line="232" w:lineRule="auto"/>
        <w:rPr>
          <w:sz w:val="20"/>
          <w:szCs w:val="20"/>
          <w:color w:val="auto"/>
        </w:rPr>
      </w:pPr>
      <w:r>
        <w:rPr>
          <w:rFonts w:ascii="Calibri" w:cs="Calibri" w:eastAsia="Calibri" w:hAnsi="Calibri"/>
          <w:sz w:val="16"/>
          <w:szCs w:val="16"/>
          <w:color w:val="auto"/>
        </w:rPr>
        <w:t>Phone: 214-373-5252</w:t>
      </w:r>
    </w:p>
    <w:p>
      <w:pPr>
        <w:spacing w:after="0" w:line="225" w:lineRule="auto"/>
        <w:rPr>
          <w:sz w:val="20"/>
          <w:szCs w:val="20"/>
          <w:color w:val="auto"/>
        </w:rPr>
      </w:pPr>
      <w:r>
        <w:rPr>
          <w:rFonts w:ascii="Calibri" w:cs="Calibri" w:eastAsia="Calibri" w:hAnsi="Calibri"/>
          <w:sz w:val="18"/>
          <w:szCs w:val="18"/>
          <w:u w:val="single" w:color="auto"/>
          <w:color w:val="auto"/>
        </w:rPr>
        <w:t>IR@macerich.com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29</w:t>
      </w:r>
    </w:p>
    <w:sectPr>
      <w:pgSz w:w="11900" w:h="16838" w:orient="portrait"/>
      <w:cols w:equalWidth="0" w:num="1">
        <w:col w:w="9800"/>
      </w:cols>
      <w:pgMar w:left="980" w:top="85"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2"/>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5"/>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3"/>
    </w:lvl>
  </w:abstractNum>
  <w:abstractNum w:abstractNumId="12">
    <w:nsid w:val="519B500D"/>
    <w:multiLevelType w:val="hybridMultilevel"/>
    <w:lvl w:ilvl="0">
      <w:lvlJc w:val="left"/>
      <w:lvlText w:val="(%1)"/>
      <w:numFmt w:val="lowerLetter"/>
      <w:start w:val="4"/>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5"/>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2026-05-06T15:30:30Z</dcterms:created>
  <dcterms:modified xsi:type="dcterms:W3CDTF">2026-05-06T15:30:30Z</dcterms:modified>
</cp:coreProperties>
</file>