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390525</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348615</wp:posOffset>
            </wp:positionV>
            <wp:extent cx="711898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149" w:lineRule="exact"/>
        <w:rPr>
          <w:sz w:val="24"/>
          <w:szCs w:val="24"/>
          <w:color w:val="auto"/>
        </w:rPr>
      </w:pPr>
    </w:p>
    <w:p>
      <w:pPr>
        <w:ind w:left="2700" w:hanging="143"/>
        <w:spacing w:after="0"/>
        <w:tabs>
          <w:tab w:leader="none" w:pos="270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2023</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6" w:lineRule="exact"/>
        <w:rPr>
          <w:sz w:val="24"/>
          <w:szCs w:val="24"/>
          <w:color w:val="auto"/>
        </w:rPr>
      </w:pPr>
    </w:p>
    <w:p>
      <w:pPr>
        <w:jc w:val="center"/>
        <w:ind w:left="3860" w:right="2420" w:hanging="1431"/>
        <w:spacing w:after="0" w:line="361" w:lineRule="auto"/>
        <w:tabs>
          <w:tab w:leader="none" w:pos="2563"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 FOR THE TRANSITION PERIOD FROM ________ TO 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No. 1-12504</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48" w:lineRule="exact"/>
        <w:rPr>
          <w:sz w:val="24"/>
          <w:szCs w:val="24"/>
          <w:color w:val="auto"/>
        </w:rPr>
      </w:pPr>
    </w:p>
    <w:p>
      <w:pPr>
        <w:ind w:left="2560"/>
        <w:spacing w:after="0"/>
        <w:tabs>
          <w:tab w:leader="none" w:pos="8100" w:val="left"/>
        </w:tabs>
        <w:rPr>
          <w:sz w:val="20"/>
          <w:szCs w:val="20"/>
          <w:color w:val="auto"/>
        </w:rPr>
      </w:pPr>
      <w:r>
        <w:rPr>
          <w:rFonts w:ascii="Times New Roman" w:cs="Times New Roman" w:eastAsia="Times New Roman" w:hAnsi="Times New Roman"/>
          <w:sz w:val="14"/>
          <w:szCs w:val="14"/>
          <w:b w:val="1"/>
          <w:bCs w:val="1"/>
          <w:color w:val="auto"/>
        </w:rPr>
        <w:t>Maryland</w:t>
      </w:r>
      <w:r>
        <w:rPr>
          <w:sz w:val="20"/>
          <w:szCs w:val="20"/>
          <w:color w:val="auto"/>
        </w:rPr>
        <w:tab/>
      </w:r>
      <w:r>
        <w:rPr>
          <w:rFonts w:ascii="Times New Roman" w:cs="Times New Roman" w:eastAsia="Times New Roman" w:hAnsi="Times New Roman"/>
          <w:sz w:val="14"/>
          <w:szCs w:val="14"/>
          <w:b w:val="1"/>
          <w:bCs w:val="1"/>
          <w:color w:val="auto"/>
        </w:rPr>
        <w:t>95-4448705</w:t>
      </w:r>
    </w:p>
    <w:p>
      <w:pPr>
        <w:spacing w:after="0" w:line="39" w:lineRule="exact"/>
        <w:rPr>
          <w:sz w:val="24"/>
          <w:szCs w:val="24"/>
          <w:color w:val="auto"/>
        </w:rPr>
      </w:pPr>
    </w:p>
    <w:p>
      <w:pPr>
        <w:ind w:left="2040"/>
        <w:spacing w:after="0"/>
        <w:tabs>
          <w:tab w:leader="none" w:pos="7280" w:val="left"/>
        </w:tabs>
        <w:rPr>
          <w:sz w:val="20"/>
          <w:szCs w:val="20"/>
          <w:color w:val="auto"/>
        </w:rPr>
      </w:pPr>
      <w:r>
        <w:rPr>
          <w:rFonts w:ascii="Times New Roman" w:cs="Times New Roman" w:eastAsia="Times New Roman" w:hAnsi="Times New Roman"/>
          <w:sz w:val="14"/>
          <w:szCs w:val="14"/>
          <w:color w:val="auto"/>
        </w:rPr>
        <w:t>(State or other jurisdiction of</w:t>
      </w:r>
      <w:r>
        <w:rPr>
          <w:sz w:val="20"/>
          <w:szCs w:val="20"/>
          <w:color w:val="auto"/>
        </w:rPr>
        <w:tab/>
      </w:r>
      <w:r>
        <w:rPr>
          <w:rFonts w:ascii="Times New Roman" w:cs="Times New Roman" w:eastAsia="Times New Roman" w:hAnsi="Times New Roman"/>
          <w:sz w:val="14"/>
          <w:szCs w:val="14"/>
          <w:color w:val="auto"/>
        </w:rPr>
        <w:t>(I.R.S. Employer Identification Number)</w:t>
      </w:r>
    </w:p>
    <w:p>
      <w:pPr>
        <w:ind w:left="20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6" w:lineRule="exact"/>
        <w:rPr>
          <w:sz w:val="24"/>
          <w:szCs w:val="24"/>
          <w:color w:val="auto"/>
        </w:rPr>
      </w:pPr>
    </w:p>
    <w:p>
      <w:pPr>
        <w:ind w:left="780"/>
        <w:spacing w:after="0"/>
        <w:tabs>
          <w:tab w:leader="none" w:pos="2420" w:val="left"/>
          <w:tab w:leader="none" w:pos="3220" w:val="left"/>
          <w:tab w:leader="none" w:pos="4780" w:val="left"/>
          <w:tab w:leader="none" w:pos="8260" w:val="left"/>
        </w:tabs>
        <w:rPr>
          <w:sz w:val="20"/>
          <w:szCs w:val="20"/>
          <w:color w:val="auto"/>
        </w:rPr>
      </w:pPr>
      <w:r>
        <w:rPr>
          <w:rFonts w:ascii="Times New Roman" w:cs="Times New Roman" w:eastAsia="Times New Roman" w:hAnsi="Times New Roman"/>
          <w:sz w:val="14"/>
          <w:szCs w:val="14"/>
          <w:b w:val="1"/>
          <w:bCs w:val="1"/>
          <w:color w:val="auto"/>
        </w:rPr>
        <w:t>401 Wilshire Boulevard,</w:t>
        <w:tab/>
        <w:t>Suite 700,</w:t>
        <w:tab/>
        <w:t>Santa Monica,</w:t>
      </w:r>
      <w:r>
        <w:rPr>
          <w:sz w:val="20"/>
          <w:szCs w:val="20"/>
          <w:color w:val="auto"/>
        </w:rPr>
        <w:tab/>
      </w:r>
      <w:r>
        <w:rPr>
          <w:rFonts w:ascii="Times New Roman" w:cs="Times New Roman" w:eastAsia="Times New Roman" w:hAnsi="Times New Roman"/>
          <w:sz w:val="14"/>
          <w:szCs w:val="14"/>
          <w:b w:val="1"/>
          <w:bCs w:val="1"/>
          <w:color w:val="auto"/>
        </w:rPr>
        <w:t>California</w:t>
      </w:r>
      <w:r>
        <w:rPr>
          <w:sz w:val="20"/>
          <w:szCs w:val="20"/>
          <w:color w:val="auto"/>
        </w:rPr>
        <w:tab/>
      </w:r>
      <w:r>
        <w:rPr>
          <w:rFonts w:ascii="Times New Roman" w:cs="Times New Roman" w:eastAsia="Times New Roman" w:hAnsi="Times New Roman"/>
          <w:sz w:val="13"/>
          <w:szCs w:val="13"/>
          <w:b w:val="1"/>
          <w:bCs w:val="1"/>
          <w:color w:val="auto"/>
        </w:rPr>
        <w:t>90401</w:t>
      </w:r>
    </w:p>
    <w:p>
      <w:pPr>
        <w:spacing w:after="0" w:line="38" w:lineRule="exact"/>
        <w:rPr>
          <w:sz w:val="24"/>
          <w:szCs w:val="24"/>
          <w:color w:val="auto"/>
        </w:rPr>
      </w:pPr>
    </w:p>
    <w:p>
      <w:pPr>
        <w:ind w:left="1220"/>
        <w:spacing w:after="0"/>
        <w:tabs>
          <w:tab w:leader="none" w:pos="8120" w:val="left"/>
        </w:tabs>
        <w:rPr>
          <w:sz w:val="20"/>
          <w:szCs w:val="20"/>
          <w:color w:val="auto"/>
        </w:rPr>
      </w:pPr>
      <w:r>
        <w:rPr>
          <w:rFonts w:ascii="Times New Roman" w:cs="Times New Roman" w:eastAsia="Times New Roman" w:hAnsi="Times New Roman"/>
          <w:sz w:val="14"/>
          <w:szCs w:val="14"/>
          <w:color w:val="auto"/>
        </w:rPr>
        <w:t>(Address of principal executive office, including zip code)</w:t>
      </w:r>
      <w:r>
        <w:rPr>
          <w:sz w:val="20"/>
          <w:szCs w:val="20"/>
          <w:color w:val="auto"/>
        </w:rPr>
        <w:tab/>
      </w:r>
      <w:r>
        <w:rPr>
          <w:rFonts w:ascii="Times New Roman" w:cs="Times New Roman" w:eastAsia="Times New Roman" w:hAnsi="Times New Roman"/>
          <w:sz w:val="14"/>
          <w:szCs w:val="14"/>
          <w:color w:val="auto"/>
        </w:rPr>
        <w:t>(Zip Code)</w:t>
      </w:r>
    </w:p>
    <w:p>
      <w:pPr>
        <w:spacing w:after="0" w:line="35"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(310) 394-6000</w:t>
      </w:r>
    </w:p>
    <w:p>
      <w:pPr>
        <w:spacing w:after="0" w:line="3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5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0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20" w:type="dxa"/>
            <w:vAlign w:val="bottom"/>
            <w:tcBorders>
              <w:bottom w:val="single" w:sz="8" w:color="auto"/>
            </w:tcBorders>
            <w:gridSpan w:val="2"/>
          </w:tcPr>
          <w:p>
            <w:pPr>
              <w:spacing w:after="0"/>
              <w:rPr>
                <w:sz w:val="2"/>
                <w:szCs w:val="2"/>
                <w:color w:val="auto"/>
              </w:rPr>
            </w:pPr>
          </w:p>
        </w:tc>
      </w:tr>
      <w:tr>
        <w:trPr>
          <w:trHeight w:val="176"/>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Common Stock, $0.01 Par Value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MAC</w:t>
            </w:r>
          </w:p>
        </w:tc>
        <w:tc>
          <w:tcPr>
            <w:tcW w:w="80" w:type="dxa"/>
            <w:vAlign w:val="bottom"/>
          </w:tcPr>
          <w:p>
            <w:pPr>
              <w:spacing w:after="0"/>
              <w:rPr>
                <w:sz w:val="15"/>
                <w:szCs w:val="15"/>
                <w:color w:val="auto"/>
              </w:rPr>
            </w:pP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399"/>
        </w:trPr>
        <w:tc>
          <w:tcPr>
            <w:tcW w:w="40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38"/>
        </w:trPr>
        <w:tc>
          <w:tcPr>
            <w:tcW w:w="7540" w:type="dxa"/>
            <w:vAlign w:val="bottom"/>
            <w:gridSpan w:val="6"/>
          </w:tcPr>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92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329"/>
        </w:trPr>
        <w:tc>
          <w:tcPr>
            <w:tcW w:w="7540" w:type="dxa"/>
            <w:vAlign w:val="bottom"/>
            <w:gridSpan w:val="6"/>
          </w:tcPr>
          <w:p>
            <w:pPr>
              <w:ind w:left="440"/>
              <w:spacing w:after="0" w:line="161" w:lineRule="exact"/>
              <w:rPr>
                <w:sz w:val="20"/>
                <w:szCs w:val="20"/>
                <w:color w:val="auto"/>
              </w:rPr>
            </w:pPr>
            <w:r>
              <w:rPr>
                <w:rFonts w:ascii="Times New Roman" w:cs="Times New Roman" w:eastAsia="Times New Roman" w:hAnsi="Times New Roman"/>
                <w:sz w:val="14"/>
                <w:szCs w:val="14"/>
                <w:color w:val="auto"/>
                <w:w w:val="99"/>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9"/>
              </w:rPr>
              <w:t>☐</w:t>
            </w:r>
          </w:p>
        </w:tc>
        <w:tc>
          <w:tcPr>
            <w:tcW w:w="292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98" w:lineRule="exact"/>
        <w:rPr>
          <w:sz w:val="24"/>
          <w:szCs w:val="24"/>
          <w:color w:val="auto"/>
        </w:rPr>
      </w:pPr>
    </w:p>
    <w:p>
      <w:pPr>
        <w:ind w:right="40" w:firstLine="435"/>
        <w:spacing w:after="0" w:line="19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ind w:right="380" w:firstLine="43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2" w:lineRule="exact"/>
        <w:rPr>
          <w:sz w:val="24"/>
          <w:szCs w:val="24"/>
          <w:color w:val="auto"/>
        </w:rPr>
      </w:pPr>
    </w:p>
    <w:p>
      <w:pPr>
        <w:ind w:right="300" w:firstLine="435"/>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520"/>
        <w:spacing w:after="0" w:line="161" w:lineRule="exact"/>
        <w:tabs>
          <w:tab w:leader="none" w:pos="2340" w:val="left"/>
          <w:tab w:leader="none" w:pos="3060" w:val="left"/>
          <w:tab w:leader="none" w:pos="4560" w:val="left"/>
          <w:tab w:leader="none" w:pos="5340" w:val="left"/>
          <w:tab w:leader="none" w:pos="7260" w:val="left"/>
          <w:tab w:leader="none" w:pos="8740" w:val="left"/>
          <w:tab w:leader="none" w:pos="105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67" w:lineRule="exact"/>
        <w:rPr>
          <w:sz w:val="24"/>
          <w:szCs w:val="24"/>
          <w:color w:val="auto"/>
        </w:rPr>
      </w:pPr>
    </w:p>
    <w:p>
      <w:pPr>
        <w:ind w:left="8780"/>
        <w:spacing w:after="0" w:line="161" w:lineRule="exact"/>
        <w:tabs>
          <w:tab w:leader="none" w:pos="1050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45" w:lineRule="exact"/>
        <w:rPr>
          <w:sz w:val="24"/>
          <w:szCs w:val="24"/>
          <w:color w:val="auto"/>
        </w:rPr>
      </w:pPr>
    </w:p>
    <w:p>
      <w:pPr>
        <w:ind w:right="400" w:firstLine="435"/>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4"/>
          <w:szCs w:val="14"/>
          <w:color w:val="auto"/>
        </w:rPr>
        <w:t>☐</w:t>
      </w:r>
    </w:p>
    <w:p>
      <w:pPr>
        <w:spacing w:after="0" w:line="112" w:lineRule="exact"/>
        <w:rPr>
          <w:sz w:val="24"/>
          <w:szCs w:val="24"/>
          <w:color w:val="auto"/>
        </w:rPr>
      </w:pPr>
    </w:p>
    <w:p>
      <w:pPr>
        <w:ind w:firstLine="435"/>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1" w:lineRule="exact"/>
        <w:rPr>
          <w:sz w:val="24"/>
          <w:szCs w:val="24"/>
          <w:color w:val="auto"/>
        </w:rPr>
      </w:pPr>
    </w:p>
    <w:p>
      <w:pPr>
        <w:ind w:firstLine="435"/>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1" w:lineRule="exact"/>
        <w:rPr>
          <w:sz w:val="24"/>
          <w:szCs w:val="24"/>
          <w:color w:val="auto"/>
        </w:rPr>
      </w:pPr>
    </w:p>
    <w:p>
      <w:pPr>
        <w:ind w:firstLine="435"/>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81" w:lineRule="exact"/>
        <w:rPr>
          <w:sz w:val="24"/>
          <w:szCs w:val="24"/>
          <w:color w:val="auto"/>
        </w:rPr>
      </w:pPr>
    </w:p>
    <w:p>
      <w:pPr>
        <w:ind w:left="440"/>
        <w:spacing w:after="0" w:line="161" w:lineRule="exact"/>
        <w:tabs>
          <w:tab w:leader="none" w:pos="73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86" w:lineRule="exact"/>
        <w:rPr>
          <w:sz w:val="24"/>
          <w:szCs w:val="24"/>
          <w:color w:val="auto"/>
        </w:rPr>
      </w:pPr>
    </w:p>
    <w:p>
      <w:pPr>
        <w:ind w:right="140" w:firstLine="435"/>
        <w:spacing w:after="0" w:line="268" w:lineRule="auto"/>
        <w:rPr>
          <w:sz w:val="20"/>
          <w:szCs w:val="20"/>
          <w:color w:val="auto"/>
        </w:rPr>
      </w:pPr>
      <w:r>
        <w:rPr>
          <w:rFonts w:ascii="Times New Roman" w:cs="Times New Roman" w:eastAsia="Times New Roman" w:hAnsi="Times New Roman"/>
          <w:sz w:val="14"/>
          <w:szCs w:val="14"/>
          <w:color w:val="auto"/>
        </w:rPr>
        <w:t>The aggregate market value of voting and non-voting common equity held by non-affiliates of the registrant was approximately $2.4 billion as of the last business day of the registrant's most recently completed second fiscal quarter based upon the price at which the common stock was last sold on that day.</w:t>
      </w:r>
    </w:p>
    <w:p>
      <w:pPr>
        <w:spacing w:after="0" w:line="11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color w:val="auto"/>
        </w:rPr>
        <w:t>Number of shares outstanding of the registrant's common stock, as of February 22, 2024: 215,720,093 shares</w:t>
      </w:r>
    </w:p>
    <w:p>
      <w:pPr>
        <w:spacing w:after="0" w:line="14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5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color w:val="auto"/>
        </w:rPr>
        <w:t>Portions of the proxy statement for the annual stockholders meeting to be held in 2024 are incorporated by reference into Part III of this Form 10-K.</w:t>
      </w:r>
    </w:p>
    <w:p>
      <w:pPr>
        <w:sectPr>
          <w:pgSz w:w="11900" w:h="16838" w:orient="portrait"/>
          <w:cols w:equalWidth="0" w:num="1">
            <w:col w:w="11240"/>
          </w:cols>
          <w:pgMar w:left="320" w:top="22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60" w:type="dxa"/>
            <w:vAlign w:val="bottom"/>
            <w:gridSpan w:val="11"/>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7"/>
              </w:rPr>
              <w:t>THE MACERICH COMPANY</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60" w:type="dxa"/>
            <w:vAlign w:val="bottom"/>
            <w:gridSpan w:val="11"/>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7"/>
              </w:rPr>
              <w:t>ANNUAL REPORT ON FORM 10-K</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60" w:type="dxa"/>
            <w:vAlign w:val="bottom"/>
            <w:gridSpan w:val="12"/>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7"/>
              </w:rPr>
              <w:t>FOR THE YEAR ENDED DECEMBER 31, 2023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9"/>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920" w:type="dxa"/>
            <w:vAlign w:val="bottom"/>
            <w:gridSpan w:val="6"/>
            <w:vMerge w:val="restart"/>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0" w:type="dxa"/>
            <w:vAlign w:val="bottom"/>
            <w:tcBorders>
              <w:bottom w:val="single" w:sz="8" w:color="0000FF"/>
            </w:tcBorders>
            <w:vMerge w:val="continue"/>
          </w:tcPr>
          <w:p>
            <w:pPr>
              <w:spacing w:after="0"/>
              <w:rPr>
                <w:sz w:val="14"/>
                <w:szCs w:val="14"/>
                <w:color w:val="auto"/>
              </w:rPr>
            </w:pPr>
          </w:p>
        </w:tc>
        <w:tc>
          <w:tcPr>
            <w:tcW w:w="92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860" w:type="dxa"/>
            <w:vAlign w:val="bottom"/>
            <w:gridSpan w:val="5"/>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420" w:type="dxa"/>
            <w:vAlign w:val="bottom"/>
            <w:gridSpan w:val="20"/>
          </w:tcPr>
          <w:p>
            <w:pPr>
              <w:spacing w:after="0"/>
              <w:rPr>
                <w:sz w:val="18"/>
                <w:szCs w:val="18"/>
                <w:color w:val="auto"/>
              </w:rPr>
            </w:pPr>
          </w:p>
        </w:tc>
        <w:tc>
          <w:tcPr>
            <w:tcW w:w="66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3"/>
              </w:rPr>
              <w:t>Item 1A.</w:t>
            </w:r>
          </w:p>
        </w:tc>
        <w:tc>
          <w:tcPr>
            <w:tcW w:w="720" w:type="dxa"/>
            <w:vAlign w:val="bottom"/>
            <w:gridSpan w:val="2"/>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16</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5"/>
              </w:rPr>
              <w:t>Item 1B.</w:t>
            </w:r>
          </w:p>
        </w:tc>
        <w:tc>
          <w:tcPr>
            <w:tcW w:w="720" w:type="dxa"/>
            <w:vAlign w:val="bottom"/>
            <w:gridSpan w:val="2"/>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2"/>
              </w:rPr>
              <w:t>Item 1C.</w:t>
            </w: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00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96"/>
              </w:rPr>
              <w:t>Cybersecurity</w:t>
            </w:r>
          </w:p>
        </w:tc>
        <w:tc>
          <w:tcPr>
            <w:tcW w:w="1000" w:type="dxa"/>
            <w:vAlign w:val="bottom"/>
            <w:gridSpan w:val="5"/>
          </w:tcPr>
          <w:p>
            <w:pPr>
              <w:spacing w:after="0"/>
              <w:rPr>
                <w:sz w:val="17"/>
                <w:szCs w:val="17"/>
                <w:color w:val="auto"/>
              </w:rPr>
            </w:pPr>
          </w:p>
        </w:tc>
        <w:tc>
          <w:tcPr>
            <w:tcW w:w="7060" w:type="dxa"/>
            <w:vAlign w:val="bottom"/>
            <w:gridSpan w:val="12"/>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2.</w:t>
            </w:r>
          </w:p>
        </w:tc>
        <w:tc>
          <w:tcPr>
            <w:tcW w:w="60" w:type="dxa"/>
            <w:vAlign w:val="bottom"/>
            <w:gridSpan w:val="2"/>
          </w:tcPr>
          <w:p>
            <w:pPr>
              <w:spacing w:after="0"/>
              <w:rPr>
                <w:sz w:val="17"/>
                <w:szCs w:val="17"/>
                <w:color w:val="auto"/>
              </w:rPr>
            </w:pPr>
          </w:p>
        </w:tc>
        <w:tc>
          <w:tcPr>
            <w:tcW w:w="800" w:type="dxa"/>
            <w:vAlign w:val="bottom"/>
            <w:gridSpan w:val="3"/>
          </w:tcPr>
          <w:p>
            <w:pPr>
              <w:spacing w:after="0"/>
              <w:rPr>
                <w:sz w:val="17"/>
                <w:szCs w:val="17"/>
                <w:color w:val="auto"/>
              </w:rPr>
            </w:pPr>
          </w:p>
        </w:tc>
        <w:tc>
          <w:tcPr>
            <w:tcW w:w="6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4"/>
              </w:rPr>
              <w:t>Properties</w:t>
            </w:r>
          </w:p>
        </w:tc>
        <w:tc>
          <w:tcPr>
            <w:tcW w:w="340" w:type="dxa"/>
            <w:vAlign w:val="bottom"/>
            <w:gridSpan w:val="2"/>
          </w:tcPr>
          <w:p>
            <w:pPr>
              <w:spacing w:after="0"/>
              <w:rPr>
                <w:sz w:val="17"/>
                <w:szCs w:val="17"/>
                <w:color w:val="auto"/>
              </w:rPr>
            </w:pPr>
          </w:p>
        </w:tc>
        <w:tc>
          <w:tcPr>
            <w:tcW w:w="8060" w:type="dxa"/>
            <w:vAlign w:val="bottom"/>
            <w:gridSpan w:val="17"/>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3.</w:t>
            </w:r>
          </w:p>
        </w:tc>
        <w:tc>
          <w:tcPr>
            <w:tcW w:w="860" w:type="dxa"/>
            <w:vAlign w:val="bottom"/>
            <w:gridSpan w:val="5"/>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4.</w:t>
            </w:r>
          </w:p>
        </w:tc>
        <w:tc>
          <w:tcPr>
            <w:tcW w:w="860" w:type="dxa"/>
            <w:vAlign w:val="bottom"/>
            <w:gridSpan w:val="5"/>
          </w:tcPr>
          <w:p>
            <w:pPr>
              <w:spacing w:after="0"/>
              <w:rPr>
                <w:sz w:val="17"/>
                <w:szCs w:val="17"/>
                <w:color w:val="auto"/>
              </w:rPr>
            </w:pPr>
          </w:p>
        </w:tc>
        <w:tc>
          <w:tcPr>
            <w:tcW w:w="174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7"/>
              </w:rPr>
              <w:t>Mine Safety Disclosures</w:t>
            </w:r>
          </w:p>
        </w:tc>
        <w:tc>
          <w:tcPr>
            <w:tcW w:w="7320" w:type="dxa"/>
            <w:vAlign w:val="bottom"/>
            <w:gridSpan w:val="14"/>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5"/>
              </w:rPr>
              <w:t>Part II</w:t>
            </w:r>
          </w:p>
        </w:tc>
        <w:tc>
          <w:tcPr>
            <w:tcW w:w="84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5.</w:t>
            </w:r>
          </w:p>
        </w:tc>
        <w:tc>
          <w:tcPr>
            <w:tcW w:w="860" w:type="dxa"/>
            <w:vAlign w:val="bottom"/>
            <w:gridSpan w:val="5"/>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6.</w:t>
            </w:r>
          </w:p>
        </w:tc>
        <w:tc>
          <w:tcPr>
            <w:tcW w:w="860" w:type="dxa"/>
            <w:vAlign w:val="bottom"/>
            <w:gridSpan w:val="5"/>
          </w:tcPr>
          <w:p>
            <w:pPr>
              <w:spacing w:after="0"/>
              <w:rPr>
                <w:sz w:val="17"/>
                <w:szCs w:val="17"/>
                <w:color w:val="auto"/>
              </w:rPr>
            </w:pPr>
          </w:p>
        </w:tc>
        <w:tc>
          <w:tcPr>
            <w:tcW w:w="6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2"/>
              </w:rPr>
              <w:t>Reserved</w:t>
            </w:r>
          </w:p>
        </w:tc>
        <w:tc>
          <w:tcPr>
            <w:tcW w:w="7200" w:type="dxa"/>
            <w:vAlign w:val="bottom"/>
            <w:gridSpan w:val="18"/>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7.</w:t>
            </w:r>
          </w:p>
        </w:tc>
        <w:tc>
          <w:tcPr>
            <w:tcW w:w="860" w:type="dxa"/>
            <w:vAlign w:val="bottom"/>
            <w:gridSpan w:val="5"/>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40</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3"/>
              </w:rPr>
              <w:t>Item 7A.</w:t>
            </w:r>
          </w:p>
        </w:tc>
        <w:tc>
          <w:tcPr>
            <w:tcW w:w="720" w:type="dxa"/>
            <w:vAlign w:val="bottom"/>
            <w:gridSpan w:val="2"/>
          </w:tcPr>
          <w:p>
            <w:pPr>
              <w:spacing w:after="0"/>
              <w:rPr>
                <w:sz w:val="17"/>
                <w:szCs w:val="17"/>
                <w:color w:val="auto"/>
              </w:rPr>
            </w:pPr>
          </w:p>
        </w:tc>
        <w:tc>
          <w:tcPr>
            <w:tcW w:w="426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800" w:type="dxa"/>
            <w:vAlign w:val="bottom"/>
            <w:gridSpan w:val="7"/>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55</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8.</w:t>
            </w:r>
          </w:p>
        </w:tc>
        <w:tc>
          <w:tcPr>
            <w:tcW w:w="140" w:type="dxa"/>
            <w:vAlign w:val="bottom"/>
            <w:gridSpan w:val="3"/>
          </w:tcPr>
          <w:p>
            <w:pPr>
              <w:spacing w:after="0"/>
              <w:rPr>
                <w:sz w:val="17"/>
                <w:szCs w:val="17"/>
                <w:color w:val="auto"/>
              </w:rPr>
            </w:pPr>
          </w:p>
        </w:tc>
        <w:tc>
          <w:tcPr>
            <w:tcW w:w="720" w:type="dxa"/>
            <w:vAlign w:val="bottom"/>
            <w:gridSpan w:val="2"/>
          </w:tcPr>
          <w:p>
            <w:pPr>
              <w:spacing w:after="0"/>
              <w:rPr>
                <w:sz w:val="17"/>
                <w:szCs w:val="17"/>
                <w:color w:val="auto"/>
              </w:rPr>
            </w:pPr>
          </w:p>
        </w:tc>
        <w:tc>
          <w:tcPr>
            <w:tcW w:w="326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00" w:type="dxa"/>
            <w:vAlign w:val="bottom"/>
            <w:gridSpan w:val="2"/>
          </w:tcPr>
          <w:p>
            <w:pPr>
              <w:spacing w:after="0"/>
              <w:rPr>
                <w:sz w:val="17"/>
                <w:szCs w:val="17"/>
                <w:color w:val="auto"/>
              </w:rPr>
            </w:pPr>
          </w:p>
        </w:tc>
        <w:tc>
          <w:tcPr>
            <w:tcW w:w="4800" w:type="dxa"/>
            <w:vAlign w:val="bottom"/>
            <w:gridSpan w:val="7"/>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4"/>
              </w:rPr>
              <w:t>Item 9.</w:t>
            </w:r>
          </w:p>
        </w:tc>
        <w:tc>
          <w:tcPr>
            <w:tcW w:w="860" w:type="dxa"/>
            <w:vAlign w:val="bottom"/>
            <w:gridSpan w:val="5"/>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3"/>
              </w:rPr>
              <w:t>Item 9A.</w:t>
            </w:r>
          </w:p>
        </w:tc>
        <w:tc>
          <w:tcPr>
            <w:tcW w:w="720" w:type="dxa"/>
            <w:vAlign w:val="bottom"/>
            <w:gridSpan w:val="2"/>
          </w:tcPr>
          <w:p>
            <w:pPr>
              <w:spacing w:after="0"/>
              <w:rPr>
                <w:sz w:val="17"/>
                <w:szCs w:val="17"/>
                <w:color w:val="auto"/>
              </w:rPr>
            </w:pPr>
          </w:p>
        </w:tc>
        <w:tc>
          <w:tcPr>
            <w:tcW w:w="174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7320" w:type="dxa"/>
            <w:vAlign w:val="bottom"/>
            <w:gridSpan w:val="14"/>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5"/>
              </w:rPr>
              <w:t>Item 9B.</w:t>
            </w:r>
          </w:p>
        </w:tc>
        <w:tc>
          <w:tcPr>
            <w:tcW w:w="720" w:type="dxa"/>
            <w:vAlign w:val="bottom"/>
            <w:gridSpan w:val="2"/>
          </w:tcPr>
          <w:p>
            <w:pPr>
              <w:spacing w:after="0"/>
              <w:rPr>
                <w:sz w:val="17"/>
                <w:szCs w:val="17"/>
                <w:color w:val="auto"/>
              </w:rPr>
            </w:pPr>
          </w:p>
        </w:tc>
        <w:tc>
          <w:tcPr>
            <w:tcW w:w="174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Other Information</w:t>
            </w:r>
          </w:p>
        </w:tc>
        <w:tc>
          <w:tcPr>
            <w:tcW w:w="7320" w:type="dxa"/>
            <w:vAlign w:val="bottom"/>
            <w:gridSpan w:val="14"/>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2"/>
              </w:rPr>
              <w:t>Item 9C.</w:t>
            </w: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4"/>
        </w:trPr>
        <w:tc>
          <w:tcPr>
            <w:tcW w:w="560" w:type="dxa"/>
            <w:vAlign w:val="bottom"/>
            <w:tcBorders>
              <w:top w:val="single" w:sz="8" w:color="0000FF"/>
              <w:bottom w:val="single" w:sz="8" w:color="0000FF"/>
            </w:tcBorders>
            <w:gridSpan w:val="4"/>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87"/>
              </w:rPr>
              <w:t>Part III</w:t>
            </w:r>
          </w:p>
        </w:tc>
        <w:tc>
          <w:tcPr>
            <w:tcW w:w="800" w:type="dxa"/>
            <w:vAlign w:val="bottom"/>
            <w:gridSpan w:val="3"/>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Item 10.</w:t>
            </w: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11.</w:t>
            </w:r>
          </w:p>
        </w:tc>
        <w:tc>
          <w:tcPr>
            <w:tcW w:w="800" w:type="dxa"/>
            <w:vAlign w:val="bottom"/>
            <w:gridSpan w:val="3"/>
          </w:tcPr>
          <w:p>
            <w:pPr>
              <w:spacing w:after="0"/>
              <w:rPr>
                <w:sz w:val="17"/>
                <w:szCs w:val="17"/>
                <w:color w:val="auto"/>
              </w:rPr>
            </w:pPr>
          </w:p>
        </w:tc>
        <w:tc>
          <w:tcPr>
            <w:tcW w:w="400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rPr>
              <w:t>Executive Compensation</w:t>
            </w:r>
          </w:p>
        </w:tc>
        <w:tc>
          <w:tcPr>
            <w:tcW w:w="5060" w:type="dxa"/>
            <w:vAlign w:val="bottom"/>
            <w:gridSpan w:val="8"/>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12.</w:t>
            </w:r>
          </w:p>
        </w:tc>
        <w:tc>
          <w:tcPr>
            <w:tcW w:w="800" w:type="dxa"/>
            <w:vAlign w:val="bottom"/>
            <w:gridSpan w:val="3"/>
          </w:tcPr>
          <w:p>
            <w:pPr>
              <w:spacing w:after="0"/>
              <w:rPr>
                <w:sz w:val="17"/>
                <w:szCs w:val="17"/>
                <w:color w:val="auto"/>
              </w:rPr>
            </w:pPr>
          </w:p>
        </w:tc>
        <w:tc>
          <w:tcPr>
            <w:tcW w:w="712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1940" w:type="dxa"/>
            <w:vAlign w:val="bottom"/>
            <w:gridSpan w:val="2"/>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13.</w:t>
            </w:r>
          </w:p>
        </w:tc>
        <w:tc>
          <w:tcPr>
            <w:tcW w:w="800" w:type="dxa"/>
            <w:vAlign w:val="bottom"/>
            <w:gridSpan w:val="3"/>
          </w:tcPr>
          <w:p>
            <w:pPr>
              <w:spacing w:after="0"/>
              <w:rPr>
                <w:sz w:val="17"/>
                <w:szCs w:val="17"/>
                <w:color w:val="auto"/>
              </w:rPr>
            </w:pPr>
          </w:p>
        </w:tc>
        <w:tc>
          <w:tcPr>
            <w:tcW w:w="712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40" w:type="dxa"/>
            <w:vAlign w:val="bottom"/>
            <w:gridSpan w:val="2"/>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14.</w:t>
            </w:r>
          </w:p>
        </w:tc>
        <w:tc>
          <w:tcPr>
            <w:tcW w:w="800" w:type="dxa"/>
            <w:vAlign w:val="bottom"/>
            <w:gridSpan w:val="3"/>
          </w:tcPr>
          <w:p>
            <w:pPr>
              <w:spacing w:after="0"/>
              <w:rPr>
                <w:sz w:val="17"/>
                <w:szCs w:val="17"/>
                <w:color w:val="auto"/>
              </w:rPr>
            </w:pPr>
          </w:p>
        </w:tc>
        <w:tc>
          <w:tcPr>
            <w:tcW w:w="532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740" w:type="dxa"/>
            <w:vAlign w:val="bottom"/>
            <w:gridSpan w:val="5"/>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58</w:t>
            </w:r>
          </w:p>
        </w:tc>
        <w:tc>
          <w:tcPr>
            <w:tcW w:w="0" w:type="dxa"/>
            <w:vAlign w:val="bottom"/>
          </w:tcPr>
          <w:p>
            <w:pPr>
              <w:spacing w:after="0"/>
              <w:rPr>
                <w:sz w:val="1"/>
                <w:szCs w:val="1"/>
                <w:color w:val="auto"/>
              </w:rPr>
            </w:pPr>
          </w:p>
        </w:tc>
      </w:tr>
      <w:tr>
        <w:trPr>
          <w:trHeight w:val="204"/>
        </w:trPr>
        <w:tc>
          <w:tcPr>
            <w:tcW w:w="560" w:type="dxa"/>
            <w:vAlign w:val="bottom"/>
            <w:tcBorders>
              <w:top w:val="single" w:sz="8" w:color="0000FF"/>
            </w:tcBorders>
            <w:gridSpan w:val="4"/>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88"/>
              </w:rPr>
              <w:t>Part IV</w:t>
            </w:r>
          </w:p>
        </w:tc>
        <w:tc>
          <w:tcPr>
            <w:tcW w:w="800" w:type="dxa"/>
            <w:vAlign w:val="bottom"/>
            <w:gridSpan w:val="3"/>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15.</w:t>
            </w:r>
          </w:p>
        </w:tc>
        <w:tc>
          <w:tcPr>
            <w:tcW w:w="800" w:type="dxa"/>
            <w:vAlign w:val="bottom"/>
            <w:gridSpan w:val="3"/>
          </w:tcPr>
          <w:p>
            <w:pPr>
              <w:spacing w:after="0"/>
              <w:rPr>
                <w:sz w:val="17"/>
                <w:szCs w:val="17"/>
                <w:color w:val="auto"/>
              </w:rPr>
            </w:pPr>
          </w:p>
        </w:tc>
        <w:tc>
          <w:tcPr>
            <w:tcW w:w="9060" w:type="dxa"/>
            <w:vAlign w:val="bottom"/>
            <w:gridSpan w:val="21"/>
          </w:tcPr>
          <w:p>
            <w:pPr>
              <w:spacing w:after="0" w:line="20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86"/>
              </w:rPr>
              <w:t>Item 16.</w:t>
            </w:r>
          </w:p>
        </w:tc>
        <w:tc>
          <w:tcPr>
            <w:tcW w:w="800" w:type="dxa"/>
            <w:vAlign w:val="bottom"/>
            <w:gridSpan w:val="3"/>
          </w:tcPr>
          <w:p>
            <w:pPr>
              <w:spacing w:after="0"/>
              <w:rPr>
                <w:sz w:val="17"/>
                <w:szCs w:val="17"/>
                <w:color w:val="auto"/>
              </w:rPr>
            </w:pPr>
          </w:p>
        </w:tc>
        <w:tc>
          <w:tcPr>
            <w:tcW w:w="152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1560" w:type="dxa"/>
            <w:vAlign w:val="bottom"/>
            <w:gridSpan w:val="5"/>
          </w:tcPr>
          <w:p>
            <w:pPr>
              <w:spacing w:after="0"/>
              <w:rPr>
                <w:sz w:val="17"/>
                <w:szCs w:val="17"/>
                <w:color w:val="auto"/>
              </w:rPr>
            </w:pPr>
          </w:p>
        </w:tc>
        <w:tc>
          <w:tcPr>
            <w:tcW w:w="5980" w:type="dxa"/>
            <w:vAlign w:val="bottom"/>
            <w:gridSpan w:val="10"/>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0000FF"/>
              </w:rPr>
              <w:t>59</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b w:val="1"/>
                <w:bCs w:val="1"/>
                <w:color w:val="0000FF"/>
                <w:w w:val="95"/>
              </w:rPr>
              <w:t>Signatures</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8"/>
                <w:szCs w:val="18"/>
                <w:color w:val="0000FF"/>
              </w:rPr>
              <w:t>110</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68580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0"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FACTORS RELATED TO FORWARD-LOOKING STATEMENTS</w:t>
      </w:r>
    </w:p>
    <w:p>
      <w:pPr>
        <w:spacing w:after="0" w:line="151" w:lineRule="exact"/>
        <w:rPr>
          <w:sz w:val="20"/>
          <w:szCs w:val="20"/>
          <w:color w:val="auto"/>
        </w:rPr>
      </w:pPr>
    </w:p>
    <w:p>
      <w:pPr>
        <w:ind w:right="80" w:firstLine="435"/>
        <w:spacing w:after="0" w:line="249" w:lineRule="auto"/>
        <w:rPr>
          <w:sz w:val="20"/>
          <w:szCs w:val="20"/>
          <w:color w:val="auto"/>
        </w:rPr>
      </w:pPr>
      <w:r>
        <w:rPr>
          <w:rFonts w:ascii="Times New Roman" w:cs="Times New Roman" w:eastAsia="Times New Roman" w:hAnsi="Times New Roman"/>
          <w:sz w:val="18"/>
          <w:szCs w:val="18"/>
          <w:color w:val="auto"/>
        </w:rPr>
        <w:t>This Annual Report on Form 10-K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10-K and include statements regarding, among other matters:</w:t>
      </w:r>
    </w:p>
    <w:p>
      <w:pPr>
        <w:spacing w:after="0" w:line="121" w:lineRule="exact"/>
        <w:rPr>
          <w:sz w:val="20"/>
          <w:szCs w:val="20"/>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growth;</w:t>
      </w:r>
    </w:p>
    <w:p>
      <w:pPr>
        <w:spacing w:after="0" w:line="135" w:lineRule="exact"/>
        <w:rPr>
          <w:rFonts w:ascii="Times New Roman" w:cs="Times New Roman" w:eastAsia="Times New Roman" w:hAnsi="Times New Roman"/>
          <w:sz w:val="18"/>
          <w:szCs w:val="18"/>
          <w:color w:val="auto"/>
        </w:rPr>
      </w:pPr>
    </w:p>
    <w:p>
      <w:pPr>
        <w:ind w:left="1280" w:right="140" w:hanging="642"/>
        <w:spacing w:after="0" w:line="269" w:lineRule="auto"/>
        <w:tabs>
          <w:tab w:leader="none" w:pos="1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02" w:lineRule="exact"/>
        <w:rPr>
          <w:rFonts w:ascii="Times New Roman" w:cs="Times New Roman" w:eastAsia="Times New Roman" w:hAnsi="Times New Roman"/>
          <w:sz w:val="18"/>
          <w:szCs w:val="18"/>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acquisition, disposition and other strategies;</w:t>
      </w:r>
    </w:p>
    <w:p>
      <w:pPr>
        <w:spacing w:after="0" w:line="148" w:lineRule="exact"/>
        <w:rPr>
          <w:rFonts w:ascii="Times New Roman" w:cs="Times New Roman" w:eastAsia="Times New Roman" w:hAnsi="Times New Roman"/>
          <w:sz w:val="18"/>
          <w:szCs w:val="18"/>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pertaining to compliance with governmental regulations;</w:t>
      </w:r>
    </w:p>
    <w:p>
      <w:pPr>
        <w:spacing w:after="0" w:line="135" w:lineRule="exact"/>
        <w:rPr>
          <w:rFonts w:ascii="Times New Roman" w:cs="Times New Roman" w:eastAsia="Times New Roman" w:hAnsi="Times New Roman"/>
          <w:sz w:val="18"/>
          <w:szCs w:val="18"/>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 plans and expectations for obtaining capital for expenditures;</w:t>
      </w:r>
    </w:p>
    <w:p>
      <w:pPr>
        <w:spacing w:after="0" w:line="148" w:lineRule="exact"/>
        <w:rPr>
          <w:rFonts w:ascii="Times New Roman" w:cs="Times New Roman" w:eastAsia="Times New Roman" w:hAnsi="Times New Roman"/>
          <w:sz w:val="18"/>
          <w:szCs w:val="18"/>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income tax benefits;</w:t>
      </w:r>
    </w:p>
    <w:p>
      <w:pPr>
        <w:spacing w:after="0" w:line="148" w:lineRule="exact"/>
        <w:rPr>
          <w:rFonts w:ascii="Times New Roman" w:cs="Times New Roman" w:eastAsia="Times New Roman" w:hAnsi="Times New Roman"/>
          <w:sz w:val="18"/>
          <w:szCs w:val="18"/>
          <w:color w:val="auto"/>
        </w:rPr>
      </w:pPr>
    </w:p>
    <w:p>
      <w:pPr>
        <w:ind w:left="1260" w:hanging="62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its financial condition or results of operations; and</w:t>
      </w:r>
    </w:p>
    <w:p>
      <w:pPr>
        <w:spacing w:after="0" w:line="135" w:lineRule="exact"/>
        <w:rPr>
          <w:rFonts w:ascii="Times New Roman" w:cs="Times New Roman" w:eastAsia="Times New Roman" w:hAnsi="Times New Roman"/>
          <w:sz w:val="18"/>
          <w:szCs w:val="18"/>
          <w:color w:val="auto"/>
        </w:rPr>
      </w:pPr>
    </w:p>
    <w:p>
      <w:pPr>
        <w:ind w:left="1280" w:right="460" w:hanging="642"/>
        <w:spacing w:after="0" w:line="269" w:lineRule="auto"/>
        <w:tabs>
          <w:tab w:leader="none" w:pos="1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for refinancing its indebtedness, entering into and servicing debt obligations and entering into joint venture arrangements.</w:t>
      </w:r>
    </w:p>
    <w:p>
      <w:pPr>
        <w:spacing w:after="0" w:line="102" w:lineRule="exact"/>
        <w:rPr>
          <w:sz w:val="20"/>
          <w:szCs w:val="20"/>
          <w:color w:val="auto"/>
        </w:rPr>
      </w:pPr>
    </w:p>
    <w:p>
      <w:pPr>
        <w:ind w:right="20" w:firstLine="435"/>
        <w:spacing w:after="0" w:line="235" w:lineRule="auto"/>
        <w:rPr>
          <w:sz w:val="20"/>
          <w:szCs w:val="20"/>
          <w:color w:val="auto"/>
        </w:rPr>
      </w:pPr>
      <w:r>
        <w:rPr>
          <w:rFonts w:ascii="Times New Roman" w:cs="Times New Roman" w:eastAsia="Times New Roman" w:hAnsi="Times New Roman"/>
          <w:sz w:val="18"/>
          <w:szCs w:val="18"/>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elevated interest rates and inflation and its impact on the financial condition and results of operation of the Company and its tenants, availability, terms and cost of financing and operating expenses; adverse changes in the real estate markets including, among other things, competition from other companies, retail formats and technology, risks of real estate development and redevelopment (including rising inflation, supply chain disruptions and construction delays), acquisitions and dispositions; adverse impacts from any future pandemic, epidemic or outbreak of any highly infectious disease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of this Annual Report on Form 10-K,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1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4" w:lineRule="exact"/>
        <w:rPr>
          <w:sz w:val="20"/>
          <w:szCs w:val="20"/>
          <w:color w:val="auto"/>
        </w:rPr>
      </w:pPr>
    </w:p>
    <w:p>
      <w:pPr>
        <w:ind w:firstLine="435"/>
        <w:spacing w:after="0" w:line="249" w:lineRule="auto"/>
        <w:rPr>
          <w:sz w:val="20"/>
          <w:szCs w:val="20"/>
          <w:color w:val="auto"/>
        </w:rPr>
      </w:pPr>
      <w:r>
        <w:rPr>
          <w:rFonts w:ascii="Times New Roman" w:cs="Times New Roman" w:eastAsia="Times New Roman" w:hAnsi="Times New Roman"/>
          <w:sz w:val="18"/>
          <w:szCs w:val="18"/>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a Delaware limited partnership (the "Operating Partnership"). As of December 31, 2023, the Operating Partnership owned or had an ownership interest in 43 regional town centers (including office, hotel and residential space adjacent to these shopping centers), three community/power shopping centers and one redevelopment property. These 47 regional town centers, community/power shopping centers and one redevelopment property consist of approximately 46 million square feet of gross leasable area (“GLA”) and are referred to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 w:name="page4"/>
    <w:bookmarkEnd w:id="3"/>
    <w:p>
      <w:pPr>
        <w:ind w:right="20"/>
        <w:spacing w:after="0" w:line="269" w:lineRule="auto"/>
        <w:rPr>
          <w:sz w:val="20"/>
          <w:szCs w:val="20"/>
          <w:color w:val="auto"/>
        </w:rPr>
      </w:pPr>
      <w:r>
        <w:rPr>
          <w:rFonts w:ascii="Times New Roman" w:cs="Times New Roman" w:eastAsia="Times New Roman" w:hAnsi="Times New Roman"/>
          <w:sz w:val="18"/>
          <w:szCs w:val="18"/>
          <w:color w:val="auto"/>
        </w:rPr>
        <w:t>herein as the “Centers”. The Centers consist of consolidated Centers (“Consolidated Centers”) and unconsolidated joint venture Centers (“Unconsolidated Joint Venture Centers”), as set forth in “Item 2. Properties,” unless the context otherwise requires.</w:t>
      </w:r>
    </w:p>
    <w:p>
      <w:pPr>
        <w:spacing w:after="0" w:line="89" w:lineRule="exact"/>
        <w:rPr>
          <w:sz w:val="20"/>
          <w:szCs w:val="20"/>
          <w:color w:val="auto"/>
        </w:rPr>
      </w:pPr>
    </w:p>
    <w:p>
      <w:pPr>
        <w:ind w:firstLine="435"/>
        <w:spacing w:after="0" w:line="248" w:lineRule="auto"/>
        <w:rPr>
          <w:sz w:val="20"/>
          <w:szCs w:val="20"/>
          <w:color w:val="auto"/>
        </w:rPr>
      </w:pPr>
      <w:r>
        <w:rPr>
          <w:rFonts w:ascii="Times New Roman" w:cs="Times New Roman" w:eastAsia="Times New Roman" w:hAnsi="Times New Roman"/>
          <w:sz w:val="18"/>
          <w:szCs w:val="18"/>
          <w:color w:val="auto"/>
        </w:rPr>
        <w:t>The Company is a self-administered and self-managed real estate investment trust ("REIT") and conducts all of its operations through the Operating Partnership and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123" w:lineRule="exact"/>
        <w:rPr>
          <w:sz w:val="20"/>
          <w:szCs w:val="20"/>
          <w:color w:val="auto"/>
        </w:rPr>
      </w:pPr>
    </w:p>
    <w:p>
      <w:pPr>
        <w:ind w:right="80" w:firstLine="435"/>
        <w:spacing w:after="0" w:line="269" w:lineRule="auto"/>
        <w:rPr>
          <w:sz w:val="20"/>
          <w:szCs w:val="20"/>
          <w:color w:val="auto"/>
        </w:rPr>
      </w:pPr>
      <w:r>
        <w:rPr>
          <w:rFonts w:ascii="Times New Roman" w:cs="Times New Roman" w:eastAsia="Times New Roman" w:hAnsi="Times New Roman"/>
          <w:sz w:val="18"/>
          <w:szCs w:val="18"/>
          <w:color w:val="auto"/>
        </w:rPr>
        <w:t>The Company was organized as a Maryland corporation in September 1993. All references to the Company in this Annual Report on Form 10-K include the Company, those entities owned or controlled by the Company and predecessors of the Company, unless the context indicates otherwise.</w:t>
      </w:r>
    </w:p>
    <w:p>
      <w:pPr>
        <w:spacing w:after="0" w:line="102" w:lineRule="exact"/>
        <w:rPr>
          <w:sz w:val="20"/>
          <w:szCs w:val="20"/>
          <w:color w:val="auto"/>
        </w:rPr>
      </w:pPr>
    </w:p>
    <w:p>
      <w:pPr>
        <w:ind w:right="360" w:firstLine="435"/>
        <w:spacing w:after="0" w:line="269" w:lineRule="auto"/>
        <w:rPr>
          <w:sz w:val="20"/>
          <w:szCs w:val="20"/>
          <w:color w:val="auto"/>
        </w:rPr>
      </w:pPr>
      <w:r>
        <w:rPr>
          <w:rFonts w:ascii="Times New Roman" w:cs="Times New Roman" w:eastAsia="Times New Roman" w:hAnsi="Times New Roman"/>
          <w:sz w:val="18"/>
          <w:szCs w:val="18"/>
          <w:color w:val="auto"/>
        </w:rPr>
        <w:t>Financial information regarding the Company for each of the last three fiscal years is contained in the Company's Consolidated Financial Statements included in "Item 15. Exhibits and Financial Statement Schedules."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51" w:lineRule="exact"/>
        <w:rPr>
          <w:sz w:val="20"/>
          <w:szCs w:val="20"/>
          <w:color w:val="auto"/>
        </w:rPr>
      </w:pPr>
    </w:p>
    <w:p>
      <w:pPr>
        <w:ind w:right="240" w:firstLine="435"/>
        <w:spacing w:after="0" w:line="252" w:lineRule="auto"/>
        <w:rPr>
          <w:sz w:val="20"/>
          <w:szCs w:val="20"/>
          <w:color w:val="auto"/>
        </w:rPr>
      </w:pPr>
      <w:r>
        <w:rPr>
          <w:rFonts w:ascii="Times New Roman" w:cs="Times New Roman" w:eastAsia="Times New Roman" w:hAnsi="Times New Roman"/>
          <w:sz w:val="18"/>
          <w:szCs w:val="18"/>
          <w:color w:val="auto"/>
        </w:rPr>
        <w:t>On May 18, 2023, the Company acquired Seritage Growth Properties' ("Seritage") remaining 50% ownership interest in the MS Portfolio LLC joint venture that owns five former Sears parcels, for a total purchase price of approximately $46.7 million.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w:t>
      </w:r>
    </w:p>
    <w:p>
      <w:pPr>
        <w:spacing w:after="0" w:line="106" w:lineRule="exact"/>
        <w:rPr>
          <w:sz w:val="20"/>
          <w:szCs w:val="20"/>
          <w:color w:val="auto"/>
        </w:rPr>
      </w:pPr>
    </w:p>
    <w:p>
      <w:pPr>
        <w:jc w:val="both"/>
        <w:ind w:right="120" w:firstLine="435"/>
        <w:spacing w:after="0" w:line="252" w:lineRule="auto"/>
        <w:rPr>
          <w:sz w:val="20"/>
          <w:szCs w:val="20"/>
          <w:color w:val="auto"/>
        </w:rPr>
      </w:pPr>
      <w:r>
        <w:rPr>
          <w:rFonts w:ascii="Times New Roman" w:cs="Times New Roman" w:eastAsia="Times New Roman" w:hAnsi="Times New Roman"/>
          <w:sz w:val="18"/>
          <w:szCs w:val="18"/>
          <w:color w:val="auto"/>
        </w:rPr>
        <w:t>On November 16, 2023, the Company acquired its joint venture partner’s 49.9% ownership interest in Freehold Raceway Mall for $5.6 million and the assumption of its joint venture partner’s share of debt. The Company now owns 100% of Freehold Raceway Mall. Prior to November 16, 2023, the Company accounted for its investment in Freehold Raceway Mall as part of a financing arrangement (See Note 12 – Financing Arrangement and Note 15 – Acquisitions in the Notes to the Consolidated Financial Statements).</w:t>
      </w:r>
    </w:p>
    <w:p>
      <w:pPr>
        <w:spacing w:after="0" w:line="119" w:lineRule="exact"/>
        <w:rPr>
          <w:sz w:val="20"/>
          <w:szCs w:val="20"/>
          <w:color w:val="auto"/>
        </w:rPr>
      </w:pPr>
    </w:p>
    <w:p>
      <w:pPr>
        <w:ind w:right="100" w:firstLine="435"/>
        <w:spacing w:after="0" w:line="252" w:lineRule="auto"/>
        <w:rPr>
          <w:sz w:val="20"/>
          <w:szCs w:val="20"/>
          <w:color w:val="auto"/>
        </w:rPr>
      </w:pPr>
      <w:r>
        <w:rPr>
          <w:rFonts w:ascii="Times New Roman" w:cs="Times New Roman" w:eastAsia="Times New Roman" w:hAnsi="Times New Roman"/>
          <w:sz w:val="18"/>
          <w:szCs w:val="18"/>
          <w:color w:val="auto"/>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consolidated variable interest entity (“VIE”) in its consolidated financial statements (See Note 2 – Summary of Significant Accounting Policies and Note 15 – Acquisitions in the Notes to the Consolidated Financial Statements).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38" w:lineRule="exact"/>
        <w:rPr>
          <w:sz w:val="20"/>
          <w:szCs w:val="20"/>
          <w:color w:val="auto"/>
        </w:rPr>
      </w:pPr>
    </w:p>
    <w:p>
      <w:pPr>
        <w:ind w:right="340" w:firstLine="435"/>
        <w:spacing w:after="0" w:line="269" w:lineRule="auto"/>
        <w:rPr>
          <w:sz w:val="20"/>
          <w:szCs w:val="20"/>
          <w:color w:val="auto"/>
        </w:rPr>
      </w:pPr>
      <w:r>
        <w:rPr>
          <w:rFonts w:ascii="Times New Roman" w:cs="Times New Roman" w:eastAsia="Times New Roman" w:hAnsi="Times New Roman"/>
          <w:sz w:val="18"/>
          <w:szCs w:val="18"/>
          <w:color w:val="auto"/>
        </w:rPr>
        <w:t>On May 2, 2023, the Company sold The Marketplace at Flagstaff, a 268,000 square foot power center in Flagstaff, Arizona, for $23.5 million, which resulted in a gain on sale of assets of $10.3 million. The Company used the net proceeds to pay down debt.</w:t>
      </w:r>
    </w:p>
    <w:p>
      <w:pPr>
        <w:spacing w:after="0" w:line="89" w:lineRule="exact"/>
        <w:rPr>
          <w:sz w:val="20"/>
          <w:szCs w:val="20"/>
          <w:color w:val="auto"/>
        </w:rPr>
      </w:pPr>
    </w:p>
    <w:p>
      <w:pPr>
        <w:ind w:right="220" w:firstLine="435"/>
        <w:spacing w:after="0" w:line="254" w:lineRule="auto"/>
        <w:rPr>
          <w:sz w:val="20"/>
          <w:szCs w:val="20"/>
          <w:color w:val="auto"/>
        </w:rPr>
      </w:pPr>
      <w:r>
        <w:rPr>
          <w:rFonts w:ascii="Times New Roman" w:cs="Times New Roman" w:eastAsia="Times New Roman" w:hAnsi="Times New Roman"/>
          <w:sz w:val="18"/>
          <w:szCs w:val="18"/>
          <w:color w:val="auto"/>
        </w:rPr>
        <w:t>On July 17, 2023, the Company sold Superstition Springs Power Center, a 204,000 square foot power center in Mesa, Arizona, for $5.6 million, which resulted in a gain on sale of assets of $1.9 million. The Company used the net proceeds to pay down debt.</w:t>
      </w:r>
    </w:p>
    <w:p>
      <w:pPr>
        <w:spacing w:after="0" w:line="194" w:lineRule="exact"/>
        <w:rPr>
          <w:sz w:val="20"/>
          <w:szCs w:val="20"/>
          <w:color w:val="auto"/>
        </w:rPr>
      </w:pPr>
    </w:p>
    <w:p>
      <w:pPr>
        <w:ind w:right="40" w:firstLine="435"/>
        <w:spacing w:after="0" w:line="254" w:lineRule="auto"/>
        <w:rPr>
          <w:sz w:val="20"/>
          <w:szCs w:val="20"/>
          <w:color w:val="auto"/>
        </w:rPr>
      </w:pPr>
      <w:r>
        <w:rPr>
          <w:rFonts w:ascii="Times New Roman" w:cs="Times New Roman" w:eastAsia="Times New Roman" w:hAnsi="Times New Roman"/>
          <w:sz w:val="18"/>
          <w:szCs w:val="18"/>
          <w:color w:val="auto"/>
        </w:rPr>
        <w:t>The Company did not repay the loan on Towne Mall on its maturity date of November 1, 2022, and completed transition of the property to a receiver. On December 4, 2023, Towne Mall was sold by the receiver for $9.5 million, resulting in a gain on extinguishment of debt of $8.2 million.</w:t>
      </w:r>
    </w:p>
    <w:p>
      <w:pPr>
        <w:spacing w:after="0" w:line="194" w:lineRule="exact"/>
        <w:rPr>
          <w:sz w:val="20"/>
          <w:szCs w:val="20"/>
          <w:color w:val="auto"/>
        </w:rPr>
      </w:pPr>
    </w:p>
    <w:p>
      <w:pPr>
        <w:ind w:right="20" w:firstLine="435"/>
        <w:spacing w:after="0" w:line="226" w:lineRule="auto"/>
        <w:rPr>
          <w:sz w:val="20"/>
          <w:szCs w:val="20"/>
          <w:color w:val="auto"/>
        </w:rPr>
      </w:pPr>
      <w:r>
        <w:rPr>
          <w:rFonts w:ascii="Times New Roman" w:cs="Times New Roman" w:eastAsia="Times New Roman" w:hAnsi="Times New Roman"/>
          <w:sz w:val="18"/>
          <w:szCs w:val="18"/>
          <w:color w:val="auto"/>
        </w:rPr>
        <w:t>On December 27, 2023, the Company’s joint venture in One Westside sold the property, a 680,000 square foot office property in Los Angeles, California, for $700 million. The existing $325 million loan on the property was repaid, and $77.6 million of net proceeds were generated at the Company’s 25% ownership share, which were used to reduce the Company’s revolving loan facility. As a result of this transaction, the Company recognized its share of gain on sale of assets of $8.1 million.</w:t>
      </w:r>
    </w:p>
    <w:p>
      <w:pPr>
        <w:spacing w:after="0" w:line="208" w:lineRule="exact"/>
        <w:rPr>
          <w:sz w:val="20"/>
          <w:szCs w:val="20"/>
          <w:color w:val="auto"/>
        </w:rPr>
      </w:pPr>
    </w:p>
    <w:p>
      <w:pPr>
        <w:ind w:right="140" w:firstLine="435"/>
        <w:spacing w:after="0" w:line="235" w:lineRule="auto"/>
        <w:rPr>
          <w:sz w:val="20"/>
          <w:szCs w:val="20"/>
          <w:color w:val="auto"/>
        </w:rPr>
      </w:pPr>
      <w:r>
        <w:rPr>
          <w:rFonts w:ascii="Times New Roman" w:cs="Times New Roman" w:eastAsia="Times New Roman" w:hAnsi="Times New Roman"/>
          <w:sz w:val="18"/>
          <w:szCs w:val="18"/>
          <w:color w:val="auto"/>
        </w:rPr>
        <w:t>For the twelve months ended December 31, 2023, the Company and certain joint venture partners sold various land parcels in separate transactions, resulting in the Company’s share of the gain on sale of land of $10.8 million. The Company used its share of the proceeds from these sales of $16.4 million to pay down debt and for other general corporate purposes.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38" w:lineRule="exact"/>
        <w:rPr>
          <w:sz w:val="20"/>
          <w:szCs w:val="20"/>
          <w:color w:val="auto"/>
        </w:rPr>
      </w:pPr>
    </w:p>
    <w:p>
      <w:pPr>
        <w:ind w:right="160" w:firstLine="435"/>
        <w:spacing w:after="0" w:line="256" w:lineRule="auto"/>
        <w:rPr>
          <w:sz w:val="20"/>
          <w:szCs w:val="20"/>
          <w:color w:val="auto"/>
        </w:rPr>
      </w:pPr>
      <w:r>
        <w:rPr>
          <w:rFonts w:ascii="Times New Roman" w:cs="Times New Roman" w:eastAsia="Times New Roman" w:hAnsi="Times New Roman"/>
          <w:sz w:val="18"/>
          <w:szCs w:val="18"/>
          <w:color w:val="auto"/>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spacing w:after="0" w:line="115" w:lineRule="exact"/>
        <w:rPr>
          <w:sz w:val="20"/>
          <w:szCs w:val="20"/>
          <w:color w:val="auto"/>
        </w:rPr>
      </w:pPr>
    </w:p>
    <w:p>
      <w:pPr>
        <w:ind w:right="20" w:firstLine="435"/>
        <w:spacing w:after="0" w:line="269" w:lineRule="auto"/>
        <w:rPr>
          <w:sz w:val="20"/>
          <w:szCs w:val="20"/>
          <w:color w:val="auto"/>
        </w:rPr>
      </w:pPr>
      <w:r>
        <w:rPr>
          <w:rFonts w:ascii="Times New Roman" w:cs="Times New Roman" w:eastAsia="Times New Roman" w:hAnsi="Times New Roman"/>
          <w:sz w:val="18"/>
          <w:szCs w:val="18"/>
          <w:color w:val="auto"/>
        </w:rPr>
        <w:t>On January 20, 2023, the Company exercised its one-year extension option of the loan on Fashion District Philadelphia to January 22, 2024. The interest rate is SOFR plus 3.60% and the Company repaid $26.1 million of the outstanding loan balance at closing.</w:t>
      </w:r>
    </w:p>
    <w:p>
      <w:pPr>
        <w:spacing w:after="0" w:line="102" w:lineRule="exact"/>
        <w:rPr>
          <w:sz w:val="20"/>
          <w:szCs w:val="20"/>
          <w:color w:val="auto"/>
        </w:rPr>
      </w:pPr>
    </w:p>
    <w:p>
      <w:pPr>
        <w:ind w:right="100" w:firstLine="435"/>
        <w:spacing w:after="0" w:line="269" w:lineRule="auto"/>
        <w:rPr>
          <w:sz w:val="20"/>
          <w:szCs w:val="20"/>
          <w:color w:val="auto"/>
        </w:rPr>
      </w:pPr>
      <w:r>
        <w:rPr>
          <w:rFonts w:ascii="Times New Roman" w:cs="Times New Roman" w:eastAsia="Times New Roman" w:hAnsi="Times New Roman"/>
          <w:sz w:val="18"/>
          <w:szCs w:val="18"/>
          <w:color w:val="auto"/>
        </w:rPr>
        <w:t>On March 3, 2023, the Company’s joint venture in Scottsdale Fashion Square replaced the existing $403.9 million mortgage loan on the property with a new $700.0 million loan that bears interest at a fixed rate of 6.21%, is interest only during the entire loan term and matures on March 6, 2028.</w:t>
      </w:r>
    </w:p>
    <w:p>
      <w:pPr>
        <w:spacing w:after="0" w:line="89" w:lineRule="exact"/>
        <w:rPr>
          <w:sz w:val="20"/>
          <w:szCs w:val="20"/>
          <w:color w:val="auto"/>
        </w:rPr>
      </w:pPr>
    </w:p>
    <w:p>
      <w:pPr>
        <w:ind w:right="260" w:firstLine="435"/>
        <w:spacing w:after="0" w:line="269" w:lineRule="auto"/>
        <w:rPr>
          <w:sz w:val="20"/>
          <w:szCs w:val="20"/>
          <w:color w:val="auto"/>
        </w:rPr>
      </w:pPr>
      <w:r>
        <w:rPr>
          <w:rFonts w:ascii="Times New Roman" w:cs="Times New Roman" w:eastAsia="Times New Roman" w:hAnsi="Times New Roman"/>
          <w:sz w:val="18"/>
          <w:szCs w:val="18"/>
          <w:color w:val="auto"/>
        </w:rPr>
        <w:t>On March 22, 2023, the Company executed the one-year extension option on its credit facility to April 14, 2024. Effective March 13, 2023, the credit facility converted from LIBOR to 1-month Term SOFR.</w:t>
      </w:r>
    </w:p>
    <w:p>
      <w:pPr>
        <w:spacing w:after="0" w:line="102" w:lineRule="exact"/>
        <w:rPr>
          <w:sz w:val="20"/>
          <w:szCs w:val="20"/>
          <w:color w:val="auto"/>
        </w:rPr>
      </w:pPr>
    </w:p>
    <w:p>
      <w:pPr>
        <w:jc w:val="both"/>
        <w:ind w:firstLine="435"/>
        <w:spacing w:after="0" w:line="256" w:lineRule="auto"/>
        <w:rPr>
          <w:sz w:val="20"/>
          <w:szCs w:val="20"/>
          <w:color w:val="auto"/>
        </w:rPr>
      </w:pPr>
      <w:r>
        <w:rPr>
          <w:rFonts w:ascii="Times New Roman" w:cs="Times New Roman" w:eastAsia="Times New Roman" w:hAnsi="Times New Roman"/>
          <w:sz w:val="18"/>
          <w:szCs w:val="18"/>
          <w:color w:val="auto"/>
        </w:rPr>
        <w:t>On April 25, 2023, the Company's joint venture in Deptford Mall closed on a three-year maturity date extension for the existing loan of $159.9 million to April 3, 2026, including extension options. The Company's joint venture repaid $10.0 million ($5.1 million at the Company's pro rata share) of the outstanding loan balance at closing. The interest rate on the loan remains unchanged at 3.73%.</w:t>
      </w:r>
    </w:p>
    <w:p>
      <w:pPr>
        <w:spacing w:after="0" w:line="115" w:lineRule="exact"/>
        <w:rPr>
          <w:sz w:val="20"/>
          <w:szCs w:val="20"/>
          <w:color w:val="auto"/>
        </w:rPr>
      </w:pPr>
    </w:p>
    <w:p>
      <w:pPr>
        <w:ind w:right="260" w:firstLine="435"/>
        <w:spacing w:after="0" w:line="269" w:lineRule="auto"/>
        <w:rPr>
          <w:sz w:val="20"/>
          <w:szCs w:val="20"/>
          <w:color w:val="auto"/>
        </w:rPr>
      </w:pPr>
      <w:r>
        <w:rPr>
          <w:rFonts w:ascii="Times New Roman" w:cs="Times New Roman" w:eastAsia="Times New Roman" w:hAnsi="Times New Roman"/>
          <w:sz w:val="18"/>
          <w:szCs w:val="18"/>
          <w:color w:val="auto"/>
        </w:rPr>
        <w:t>Effective May 9, 2023, the Company’s joint venture in Country Club Plaza defaulted on the $295.2 million ($147.6 million at the Company's pro rata share) non-recourse loan on the property. The Company’s joint venture is in negotiations with the lender on the terms of this non-recourse loan.</w:t>
      </w:r>
    </w:p>
    <w:p>
      <w:pPr>
        <w:spacing w:after="0" w:line="89" w:lineRule="exact"/>
        <w:rPr>
          <w:sz w:val="20"/>
          <w:szCs w:val="20"/>
          <w:color w:val="auto"/>
        </w:rPr>
      </w:pPr>
    </w:p>
    <w:p>
      <w:pPr>
        <w:jc w:val="both"/>
        <w:ind w:right="140" w:firstLine="435"/>
        <w:spacing w:after="0" w:line="256" w:lineRule="auto"/>
        <w:rPr>
          <w:sz w:val="20"/>
          <w:szCs w:val="20"/>
          <w:color w:val="auto"/>
        </w:rPr>
      </w:pPr>
      <w:r>
        <w:rPr>
          <w:rFonts w:ascii="Times New Roman" w:cs="Times New Roman" w:eastAsia="Times New Roman" w:hAnsi="Times New Roman"/>
          <w:sz w:val="18"/>
          <w:szCs w:val="18"/>
          <w:color w:val="auto"/>
        </w:rPr>
        <w:t>On June 27, 2023, the Company closed on a one-year extension on the $133.5 million loan on Danbury Fair Mall to July 1, 2024. The Company repaid $10.0 million of the outstanding loan balance at closing and the amended interest rate was 7.5% as of July 1, 2023 and incrementally increased to 8.0% as of October 1, 2023, 8.5% as of January 1, 2024 and 9.0% as of April 1, 2024.</w:t>
      </w:r>
    </w:p>
    <w:p>
      <w:pPr>
        <w:spacing w:after="0" w:line="115" w:lineRule="exact"/>
        <w:rPr>
          <w:sz w:val="20"/>
          <w:szCs w:val="20"/>
          <w:color w:val="auto"/>
        </w:rPr>
      </w:pPr>
    </w:p>
    <w:p>
      <w:pPr>
        <w:ind w:right="240" w:firstLine="435"/>
        <w:spacing w:after="0" w:line="252" w:lineRule="auto"/>
        <w:rPr>
          <w:sz w:val="20"/>
          <w:szCs w:val="20"/>
          <w:color w:val="auto"/>
        </w:rPr>
      </w:pPr>
      <w:r>
        <w:rPr>
          <w:rFonts w:ascii="Times New Roman" w:cs="Times New Roman" w:eastAsia="Times New Roman" w:hAnsi="Times New Roman"/>
          <w:sz w:val="18"/>
          <w:szCs w:val="18"/>
          <w:color w:val="auto"/>
        </w:rPr>
        <w:t>On September 11, 2023, the Company and Operating Partnership entered into an amended and restated credit agreement, which amended and restated their prior credit agreement, and provides for an aggregate $650 million revolving loan facility that matures on February 1, 2027, with a one-year extension option. Concurrently with the entry into the amended and restated credit agreement, the Company drew $152 million of the amount available under the revolving loan facility and used the proceeds to repay in full amounts outstanding under the Company’s prior credit facility.</w:t>
      </w:r>
    </w:p>
    <w:p>
      <w:pPr>
        <w:spacing w:after="0" w:line="119" w:lineRule="exact"/>
        <w:rPr>
          <w:sz w:val="20"/>
          <w:szCs w:val="20"/>
          <w:color w:val="auto"/>
        </w:rPr>
      </w:pPr>
    </w:p>
    <w:p>
      <w:pPr>
        <w:ind w:right="120" w:firstLine="435"/>
        <w:spacing w:after="0" w:line="269" w:lineRule="auto"/>
        <w:rPr>
          <w:sz w:val="20"/>
          <w:szCs w:val="20"/>
          <w:color w:val="auto"/>
        </w:rPr>
      </w:pPr>
      <w:r>
        <w:rPr>
          <w:rFonts w:ascii="Times New Roman" w:cs="Times New Roman" w:eastAsia="Times New Roman" w:hAnsi="Times New Roman"/>
          <w:sz w:val="18"/>
          <w:szCs w:val="18"/>
          <w:color w:val="auto"/>
        </w:rPr>
        <w:t>Effective October 6, 2023, the Company's $86.5 million loan on Fashion Outlets of Niagara Falls is in default. The Company is in negotiations with the lender on the terms of this non-recourse loan.</w:t>
      </w:r>
    </w:p>
    <w:p>
      <w:pPr>
        <w:spacing w:after="0" w:line="89" w:lineRule="exact"/>
        <w:rPr>
          <w:sz w:val="20"/>
          <w:szCs w:val="20"/>
          <w:color w:val="auto"/>
        </w:rPr>
      </w:pPr>
    </w:p>
    <w:p>
      <w:pPr>
        <w:ind w:right="160" w:firstLine="435"/>
        <w:spacing w:after="0" w:line="269" w:lineRule="auto"/>
        <w:rPr>
          <w:sz w:val="20"/>
          <w:szCs w:val="20"/>
          <w:color w:val="auto"/>
        </w:rPr>
      </w:pPr>
      <w:r>
        <w:rPr>
          <w:rFonts w:ascii="Times New Roman" w:cs="Times New Roman" w:eastAsia="Times New Roman" w:hAnsi="Times New Roman"/>
          <w:sz w:val="18"/>
          <w:szCs w:val="18"/>
          <w:color w:val="auto"/>
        </w:rPr>
        <w:t>On December 4, 2023, the Company's joint venture in Tysons Corner Center replaced the existing $666.5 million mortgage loan on the property with a new $710.0 million loan that bears interest at a fixed rate of 6.60%, is interest only during the entire loan term and matures on December 6, 2028.</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 million mortgage loan on the property with a new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$24.0 million loan that bears interest at a variable rate of SOFR plus 2.50%, is interest only during the entire loan term and matures on December 5, 2028.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loan has a required interest rate cap throughout the term of the loan at a strike rate of 7.5%.</w:t>
      </w:r>
    </w:p>
    <w:p>
      <w:pPr>
        <w:spacing w:after="0" w:line="131" w:lineRule="exact"/>
        <w:rPr>
          <w:sz w:val="20"/>
          <w:szCs w:val="20"/>
          <w:color w:val="auto"/>
        </w:rPr>
      </w:pPr>
    </w:p>
    <w:p>
      <w:pPr>
        <w:ind w:right="240" w:firstLine="435"/>
        <w:spacing w:after="0" w:line="269" w:lineRule="auto"/>
        <w:rPr>
          <w:sz w:val="20"/>
          <w:szCs w:val="20"/>
          <w:color w:val="auto"/>
        </w:rPr>
      </w:pPr>
      <w:r>
        <w:rPr>
          <w:rFonts w:ascii="Times New Roman" w:cs="Times New Roman" w:eastAsia="Times New Roman" w:hAnsi="Times New Roman"/>
          <w:sz w:val="18"/>
          <w:szCs w:val="18"/>
          <w:color w:val="auto"/>
        </w:rPr>
        <w:t>On January 22, 2024, the Company repaid the majority of the mortgage loan on Fashion District Philadelphia. The remaining $8.2 million matures on April 21, 2024.</w:t>
      </w:r>
    </w:p>
    <w:p>
      <w:pPr>
        <w:spacing w:after="0" w:line="89" w:lineRule="exact"/>
        <w:rPr>
          <w:sz w:val="20"/>
          <w:szCs w:val="20"/>
          <w:color w:val="auto"/>
        </w:rPr>
      </w:pPr>
    </w:p>
    <w:p>
      <w:pPr>
        <w:ind w:right="100" w:firstLine="435"/>
        <w:spacing w:after="0" w:line="269" w:lineRule="auto"/>
        <w:rPr>
          <w:sz w:val="20"/>
          <w:szCs w:val="20"/>
          <w:color w:val="auto"/>
        </w:rPr>
      </w:pPr>
      <w:r>
        <w:rPr>
          <w:rFonts w:ascii="Times New Roman" w:cs="Times New Roman" w:eastAsia="Times New Roman" w:hAnsi="Times New Roman"/>
          <w:sz w:val="18"/>
          <w:szCs w:val="18"/>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51" w:lineRule="exact"/>
        <w:rPr>
          <w:sz w:val="20"/>
          <w:szCs w:val="20"/>
          <w:color w:val="auto"/>
        </w:rPr>
      </w:pPr>
    </w:p>
    <w:p>
      <w:pPr>
        <w:jc w:val="both"/>
        <w:ind w:right="220" w:firstLine="435"/>
        <w:spacing w:after="0" w:line="332" w:lineRule="auto"/>
        <w:rPr>
          <w:sz w:val="20"/>
          <w:szCs w:val="20"/>
          <w:color w:val="auto"/>
        </w:rPr>
      </w:pPr>
      <w:r>
        <w:rPr>
          <w:rFonts w:ascii="Times New Roman" w:cs="Times New Roman" w:eastAsia="Times New Roman" w:hAnsi="Times New Roman"/>
          <w:sz w:val="16"/>
          <w:szCs w:val="16"/>
          <w:color w:val="auto"/>
        </w:rPr>
        <w:t>The Company has a 50/50 joint venture with Simon Property Group, which was initially formed to develop Los Angeles Premium Outlets, a premium outlet center in Carson, California. The Company has funded $39.5 million of the total $78.9 million incurred by the joint venture as of December 31, 2023.</w:t>
      </w:r>
    </w:p>
    <w:p>
      <w:pPr>
        <w:spacing w:after="0" w:line="44" w:lineRule="exact"/>
        <w:rPr>
          <w:sz w:val="20"/>
          <w:szCs w:val="20"/>
          <w:color w:val="auto"/>
        </w:rPr>
      </w:pPr>
    </w:p>
    <w:p>
      <w:pPr>
        <w:ind w:right="160" w:firstLine="435"/>
        <w:spacing w:after="0" w:line="269" w:lineRule="auto"/>
        <w:rPr>
          <w:sz w:val="20"/>
          <w:szCs w:val="20"/>
          <w:color w:val="auto"/>
        </w:rPr>
      </w:pPr>
      <w:r>
        <w:rPr>
          <w:rFonts w:ascii="Times New Roman" w:cs="Times New Roman" w:eastAsia="Times New Roman" w:hAnsi="Times New Roman"/>
          <w:sz w:val="18"/>
          <w:szCs w:val="18"/>
          <w:color w:val="auto"/>
        </w:rPr>
        <w:t>The Company is redeveloping an approximately 150,000 square foot, three-level space (formerly occupied by Bloomingdale’s and Arclight Theatre) at Santa Monica Place, a 534,000 square foot regional town center in Santa Monica,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75" w:right="379" w:bottom="1440" w:gutter="0" w:footer="0" w:header="0"/>
        </w:sectPr>
      </w:pPr>
    </w:p>
    <w:bookmarkStart w:id="5" w:name="page6"/>
    <w:bookmarkEnd w:id="5"/>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California, with an entertainment destination use, high-end fitness, and other retail uses. The total cost of the project is estimated to be between $35.0 million and $40.0 million. The Company has incurred approximately $5.2 million as of December 31, 2023. The anticipated opening will happen in phases beginning in 2024 through 2025.</w:t>
      </w:r>
    </w:p>
    <w:p>
      <w:pPr>
        <w:spacing w:after="0" w:line="102" w:lineRule="exact"/>
        <w:rPr>
          <w:sz w:val="20"/>
          <w:szCs w:val="20"/>
          <w:color w:val="auto"/>
        </w:rPr>
      </w:pPr>
    </w:p>
    <w:p>
      <w:pPr>
        <w:ind w:right="140" w:firstLine="435"/>
        <w:spacing w:after="0" w:line="252" w:lineRule="auto"/>
        <w:rPr>
          <w:sz w:val="20"/>
          <w:szCs w:val="20"/>
          <w:color w:val="auto"/>
        </w:rPr>
      </w:pPr>
      <w:r>
        <w:rPr>
          <w:rFonts w:ascii="Times New Roman" w:cs="Times New Roman" w:eastAsia="Times New Roman" w:hAnsi="Times New Roman"/>
          <w:sz w:val="18"/>
          <w:szCs w:val="18"/>
          <w:color w:val="auto"/>
        </w:rPr>
        <w:t>The Company’s joint venture in Scottsdale Fashion Square, an approximately 1,871,000 square foot regional town center in Scottsdale, Arizona, is redeveloping a two-level Nordstrom wing with luxury-focused retail and restaurant uses. The total cost of the project is estimated to be between $80.0 million and $86.0 million, with $40.0 million and $43.0 million estimated to be the Company’s pro rata share. The Company has incurred $21.0 million of the total $42.0 million incurred by the joint venture as of December 31, 2023. The anticipated opening is in 2024.</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38" w:lineRule="exact"/>
        <w:rPr>
          <w:sz w:val="20"/>
          <w:szCs w:val="20"/>
          <w:color w:val="auto"/>
        </w:rPr>
      </w:pPr>
    </w:p>
    <w:p>
      <w:pPr>
        <w:jc w:val="both"/>
        <w:ind w:right="260" w:firstLine="435"/>
        <w:spacing w:after="0" w:line="235" w:lineRule="auto"/>
        <w:rPr>
          <w:sz w:val="20"/>
          <w:szCs w:val="20"/>
          <w:color w:val="auto"/>
        </w:rPr>
      </w:pPr>
      <w:r>
        <w:rPr>
          <w:rFonts w:ascii="Times New Roman" w:cs="Times New Roman" w:eastAsia="Times New Roman" w:hAnsi="Times New Roman"/>
          <w:sz w:val="18"/>
          <w:szCs w:val="18"/>
          <w:color w:val="auto"/>
        </w:rPr>
        <w:t>The Company declared a cash dividend of $0.17 per share of its common stock for each quarter in the year ended December 31, 2023. On February 2, 2024, the Company announced a first quarter cash dividend of $0.17 per share of its common stock, which will be paid on March 4, 2024 to stockholders of record on February 16, 2024. The dividend amount will be reviewed by the Board on a quarterly basis.</w:t>
      </w:r>
    </w:p>
    <w:p>
      <w:pPr>
        <w:spacing w:after="0" w:line="130" w:lineRule="exact"/>
        <w:rPr>
          <w:sz w:val="20"/>
          <w:szCs w:val="20"/>
          <w:color w:val="auto"/>
        </w:rPr>
      </w:pPr>
    </w:p>
    <w:p>
      <w:pPr>
        <w:ind w:right="80" w:firstLine="435"/>
        <w:spacing w:after="0" w:line="252" w:lineRule="auto"/>
        <w:rPr>
          <w:sz w:val="20"/>
          <w:szCs w:val="20"/>
          <w:color w:val="auto"/>
        </w:rPr>
      </w:pPr>
      <w:r>
        <w:rPr>
          <w:rFonts w:ascii="Times New Roman" w:cs="Times New Roman" w:eastAsia="Times New Roman" w:hAnsi="Times New Roman"/>
          <w:sz w:val="18"/>
          <w:szCs w:val="18"/>
          <w:color w:val="auto"/>
        </w:rPr>
        <w:t>In connection with the commencement of an "at the market" offering program on March 26, 2021, which is referred to as the "March 2021 ATM Program," the Company entered into an equity distribution agreement with certain sales agents pursuant to which the Company may issue and sell shares of its common stock having an aggregate offering price of up to $500 million. As of December 31, 2023, the Company had approximately $151.7 million of gross sales of its common stock available under the March 2021 ATM Program.</w:t>
      </w:r>
    </w:p>
    <w:p>
      <w:pPr>
        <w:spacing w:after="0" w:line="119" w:lineRule="exact"/>
        <w:rPr>
          <w:sz w:val="20"/>
          <w:szCs w:val="20"/>
          <w:color w:val="auto"/>
        </w:rPr>
      </w:pPr>
    </w:p>
    <w:p>
      <w:pPr>
        <w:ind w:right="160" w:firstLine="435"/>
        <w:spacing w:after="0" w:line="269"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Operations—Liquidity and Capital Resources” for a further discussion of the Company’s anticipated liquidity needs, and the measures taken by the Company to meet those needs.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Shopping Center Industry</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51" w:lineRule="exact"/>
        <w:rPr>
          <w:sz w:val="20"/>
          <w:szCs w:val="20"/>
          <w:color w:val="auto"/>
        </w:rPr>
      </w:pPr>
    </w:p>
    <w:p>
      <w:pPr>
        <w:ind w:firstLine="435"/>
        <w:spacing w:after="0" w:line="246" w:lineRule="auto"/>
        <w:rPr>
          <w:sz w:val="20"/>
          <w:szCs w:val="20"/>
          <w:color w:val="auto"/>
        </w:rPr>
      </w:pPr>
      <w:r>
        <w:rPr>
          <w:rFonts w:ascii="Times New Roman" w:cs="Times New Roman" w:eastAsia="Times New Roman" w:hAnsi="Times New Roman"/>
          <w:sz w:val="18"/>
          <w:szCs w:val="18"/>
          <w:color w:val="auto"/>
        </w:rPr>
        <w:t>There are several types of retail shopping centers, which are differentiated primarily based on size and marketing strategy. Regional shopping centers generally contain in excess of 400,000 square feet of GLA and are typically anchored by two or more department or large retail stores ("Anchors") and are referred to as "Regional Town Centers" or "Malls." Regional Town Centers also typically contain numerous diversified retail stores ("Mall Stores"), most of which are national or regional retailers typically located along corridors connecting the Anchors. "Strip centers", "urban villages" or "specialty centers" ("Community/Power Shopping Centers") are retail shopping centers that are designed to attract local or neighborhood customers and are typically anchored by one or more supermarkets, discount department stores and/or drug stores. Community/Power Shopping Centers typically contain 100,000 to 400,000 square feet of GLA. Outlet Centers generally contain a wide variety of designer and manufacturer stores, often located in an open-air center, and typically range in size from 200,000 to 850,000 square feet of GLA ("Outlet Centers"). In addition, freestanding retail stores are located along the perimeter of the shopping centers ("Freestanding Stores"). Mall Stores and Freestanding Stores over 10,000 square feet of GLA are also referred to as "Big Box." Anchors, Mall Stores, Freestanding Stores and other tenants typically contribute funds for the maintenance of the common areas, property taxes, insurance, advertising and other expenditures related to the operation of the shopping center.</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Regional Town Centers:</w:t>
      </w:r>
    </w:p>
    <w:p>
      <w:pPr>
        <w:spacing w:after="0" w:line="151" w:lineRule="exact"/>
        <w:rPr>
          <w:sz w:val="20"/>
          <w:szCs w:val="20"/>
          <w:color w:val="auto"/>
        </w:rPr>
      </w:pPr>
    </w:p>
    <w:p>
      <w:pPr>
        <w:ind w:right="180" w:firstLine="435"/>
        <w:spacing w:after="0" w:line="256" w:lineRule="auto"/>
        <w:rPr>
          <w:sz w:val="20"/>
          <w:szCs w:val="20"/>
          <w:color w:val="auto"/>
        </w:rPr>
      </w:pPr>
      <w:r>
        <w:rPr>
          <w:rFonts w:ascii="Times New Roman" w:cs="Times New Roman" w:eastAsia="Times New Roman" w:hAnsi="Times New Roman"/>
          <w:sz w:val="18"/>
          <w:szCs w:val="18"/>
          <w:color w:val="auto"/>
        </w:rPr>
        <w:t>A Regional Town Center draws from its trade area by offering a variety of fashion merchandise, hard goods and services and entertainment, often in an enclosed, climate controlled environment with convenient parking. Regional Town Centers provide an array of retail shops and entertainment facilities and often serve as the town center and a gathering place for community, charity and promotional events.</w:t>
      </w:r>
    </w:p>
    <w:p>
      <w:pPr>
        <w:spacing w:after="0" w:line="115" w:lineRule="exact"/>
        <w:rPr>
          <w:sz w:val="20"/>
          <w:szCs w:val="20"/>
          <w:color w:val="auto"/>
        </w:rPr>
      </w:pPr>
    </w:p>
    <w:p>
      <w:pPr>
        <w:ind w:right="240" w:firstLine="435"/>
        <w:spacing w:after="0" w:line="269" w:lineRule="auto"/>
        <w:rPr>
          <w:sz w:val="20"/>
          <w:szCs w:val="20"/>
          <w:color w:val="auto"/>
        </w:rPr>
      </w:pPr>
      <w:r>
        <w:rPr>
          <w:rFonts w:ascii="Times New Roman" w:cs="Times New Roman" w:eastAsia="Times New Roman" w:hAnsi="Times New Roman"/>
          <w:sz w:val="18"/>
          <w:szCs w:val="18"/>
          <w:color w:val="auto"/>
        </w:rPr>
        <w:t>Regional Town Centers have generally provided owners with relatively stable income despite the cyclical nature of the retail business. This stability is due both to the diversity of tenants and to the typical dominance of Regional Town Centers in their trade areas.</w:t>
      </w:r>
    </w:p>
    <w:p>
      <w:pPr>
        <w:spacing w:after="0" w:line="89" w:lineRule="exact"/>
        <w:rPr>
          <w:sz w:val="20"/>
          <w:szCs w:val="20"/>
          <w:color w:val="auto"/>
        </w:rPr>
      </w:pPr>
    </w:p>
    <w:p>
      <w:pPr>
        <w:ind w:right="40" w:firstLine="435"/>
        <w:spacing w:after="0" w:line="252" w:lineRule="auto"/>
        <w:rPr>
          <w:sz w:val="20"/>
          <w:szCs w:val="20"/>
          <w:color w:val="auto"/>
        </w:rPr>
      </w:pPr>
      <w:r>
        <w:rPr>
          <w:rFonts w:ascii="Times New Roman" w:cs="Times New Roman" w:eastAsia="Times New Roman" w:hAnsi="Times New Roman"/>
          <w:sz w:val="18"/>
          <w:szCs w:val="18"/>
          <w:color w:val="auto"/>
        </w:rPr>
        <w:t>Regional Town Centers have different strategies with regard to price, merchandise offered and tenant mix, and are generally tailored to meet the needs of their trade areas. Anchors are located along common areas in a configuration designed to maximize consumer traffic for the benefit of the Mall Stores. Mall GLA, which generally refers to GLA contiguous to the Anchors for tenants other than Anchors, is leased to a wide variety of smaller retailers. Mall Stores typically account for the majority of the revenues of a Regional Town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Business of the Company</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151" w:lineRule="exact"/>
        <w:rPr>
          <w:sz w:val="20"/>
          <w:szCs w:val="20"/>
          <w:color w:val="auto"/>
        </w:rPr>
      </w:pPr>
    </w:p>
    <w:p>
      <w:pPr>
        <w:ind w:right="80" w:firstLine="435"/>
        <w:spacing w:after="0" w:line="269" w:lineRule="auto"/>
        <w:rPr>
          <w:sz w:val="20"/>
          <w:szCs w:val="20"/>
          <w:color w:val="auto"/>
        </w:rPr>
      </w:pPr>
      <w:r>
        <w:rPr>
          <w:rFonts w:ascii="Times New Roman" w:cs="Times New Roman" w:eastAsia="Times New Roman" w:hAnsi="Times New Roman"/>
          <w:sz w:val="18"/>
          <w:szCs w:val="18"/>
          <w:color w:val="auto"/>
        </w:rPr>
        <w:t>The Company has a long-term four-pronged business strategy that focuses on the acquisition, leasing and management, redevelopment and development of Regional Town Centers.</w:t>
      </w:r>
    </w:p>
    <w:p>
      <w:pPr>
        <w:spacing w:after="0" w:line="100" w:lineRule="exact"/>
        <w:rPr>
          <w:sz w:val="20"/>
          <w:szCs w:val="20"/>
          <w:color w:val="auto"/>
        </w:rPr>
      </w:pPr>
    </w:p>
    <w:p>
      <w:pPr>
        <w:ind w:right="140" w:firstLine="43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The Company principally focuses on well-located, quality Regional Town Centers that can be dominant in their trade area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 revenue enhancement potential. In addition, the Company pursues other opportunistic acquisitions of property that include retail and will complement the Company's portfolio. The Company subsequently seeks to improve operating performance and returns from these properties through leasing, management and redevelopment. Since its initial public offering, the Company has acquired interests in shopping centers nationwide. The Company believes that it is geographically well positioned to cultivate and maintain ongoing relationships with potential sellers and financial institutions and to act quickly when acquisition opportunities arise.</w:t>
      </w:r>
    </w:p>
    <w:p>
      <w:pPr>
        <w:spacing w:after="0" w:line="108" w:lineRule="exact"/>
        <w:rPr>
          <w:sz w:val="20"/>
          <w:szCs w:val="20"/>
          <w:color w:val="auto"/>
        </w:rPr>
      </w:pPr>
    </w:p>
    <w:p>
      <w:pPr>
        <w:ind w:right="180" w:firstLine="43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Leasing and Management. </w:t>
      </w:r>
      <w:r>
        <w:rPr>
          <w:rFonts w:ascii="Times New Roman" w:cs="Times New Roman" w:eastAsia="Times New Roman" w:hAnsi="Times New Roman"/>
          <w:sz w:val="18"/>
          <w:szCs w:val="18"/>
          <w:color w:val="auto"/>
        </w:rPr>
        <w:t>The Company believes that the shopping center business requires specialized skills across a broad array of disciplines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and profitable operations. For this reason, the Company has developed a fully integrated real estate organization with in-house acquisition, accounting, development, finance, information technology, leasing, legal, marketing, property management and redevelopment expertise. In addition, the Company emphasizes a philosophy of decentralized property management, leasing and marketing performed by on-site professionals. The Company believes that this strategy results in the optimal operation, tenant mix and drawing power of each Center, as well as the ability to quickly respond to changing competitive conditions of the Center's trade area.</w:t>
      </w:r>
    </w:p>
    <w:p>
      <w:pPr>
        <w:spacing w:after="0" w:line="123" w:lineRule="exact"/>
        <w:rPr>
          <w:sz w:val="20"/>
          <w:szCs w:val="20"/>
          <w:color w:val="auto"/>
        </w:rPr>
      </w:pPr>
    </w:p>
    <w:p>
      <w:pPr>
        <w:ind w:right="380" w:firstLine="435"/>
        <w:spacing w:after="0" w:line="303" w:lineRule="auto"/>
        <w:rPr>
          <w:sz w:val="20"/>
          <w:szCs w:val="20"/>
          <w:color w:val="auto"/>
        </w:rPr>
      </w:pPr>
      <w:r>
        <w:rPr>
          <w:rFonts w:ascii="Times New Roman" w:cs="Times New Roman" w:eastAsia="Times New Roman" w:hAnsi="Times New Roman"/>
          <w:sz w:val="16"/>
          <w:szCs w:val="16"/>
          <w:color w:val="auto"/>
        </w:rPr>
        <w:t>The Company believes that on-site property managers can most effectively operate the Centers. Each Center's property manager is responsible for overseeing the operations, marketing, maintenance and security functions at the Center. Property managers focus special attention on controlling operating costs, a key element in the profitability of the Centers, and seek to develop strong relationships with, and be responsive to, the needs of retailers.</w:t>
      </w:r>
    </w:p>
    <w:p>
      <w:pPr>
        <w:spacing w:after="0" w:line="80"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The Company generally utilizes regionally located leasing managers to better understand the market and the community in which a Center is located. The Company continually assesses and fine tunes each Center's tenant mix, identifies and replaces underperforming tenants and seeks to optimize existing tenant sizes and configurations.</w:t>
      </w:r>
    </w:p>
    <w:p>
      <w:pPr>
        <w:spacing w:after="0" w:line="102" w:lineRule="exact"/>
        <w:rPr>
          <w:sz w:val="20"/>
          <w:szCs w:val="20"/>
          <w:color w:val="auto"/>
        </w:rPr>
      </w:pPr>
    </w:p>
    <w:p>
      <w:pPr>
        <w:ind w:right="220" w:firstLine="435"/>
        <w:spacing w:after="0" w:line="269" w:lineRule="auto"/>
        <w:rPr>
          <w:sz w:val="20"/>
          <w:szCs w:val="20"/>
          <w:color w:val="auto"/>
        </w:rPr>
      </w:pPr>
      <w:r>
        <w:rPr>
          <w:rFonts w:ascii="Times New Roman" w:cs="Times New Roman" w:eastAsia="Times New Roman" w:hAnsi="Times New Roman"/>
          <w:sz w:val="18"/>
          <w:szCs w:val="18"/>
          <w:color w:val="auto"/>
        </w:rPr>
        <w:t>On a selective basis, the Company provides property management and leasing services for third parties. The Company currently manages one regional town center and two community centers for third party owners on a fee basis.</w:t>
      </w:r>
    </w:p>
    <w:p>
      <w:pPr>
        <w:spacing w:after="0" w:line="100" w:lineRule="exact"/>
        <w:rPr>
          <w:sz w:val="20"/>
          <w:szCs w:val="20"/>
          <w:color w:val="auto"/>
        </w:rPr>
      </w:pPr>
    </w:p>
    <w:p>
      <w:pPr>
        <w:ind w:right="60" w:firstLine="435"/>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Redevelopment. </w:t>
      </w:r>
      <w:r>
        <w:rPr>
          <w:rFonts w:ascii="Times New Roman" w:cs="Times New Roman" w:eastAsia="Times New Roman" w:hAnsi="Times New Roman"/>
          <w:sz w:val="16"/>
          <w:szCs w:val="16"/>
          <w:color w:val="auto"/>
        </w:rPr>
        <w:t>One of the major components of the Company's growth strategy is its ability to redevelop acquired properties. On a selective basis,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business strategy may include mixed-use densification to maximize space at the Company’s Regional Town Centers, including by developing available land at the Regional Town Centers or by demolishing underperforming department store boxes and redeveloping the land. For this reason, the Company has built a staff of redevelopment professionals who have primary responsibility for identifying redevelopment opportunities that they believe will result in enhanced long-term financial returns and market position for the Centers. The redevelopment professionals oversee the design and construction of the projects in addition to obtaining required governmental approvals (See "Redevelopment and Development Activities" in Recent Developments).</w:t>
      </w:r>
    </w:p>
    <w:p>
      <w:pPr>
        <w:spacing w:after="0" w:line="89" w:lineRule="exact"/>
        <w:rPr>
          <w:sz w:val="20"/>
          <w:szCs w:val="20"/>
          <w:color w:val="auto"/>
        </w:rPr>
      </w:pPr>
    </w:p>
    <w:p>
      <w:pPr>
        <w:ind w:right="420" w:firstLine="43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Development. </w:t>
      </w:r>
      <w:r>
        <w:rPr>
          <w:rFonts w:ascii="Times New Roman" w:cs="Times New Roman" w:eastAsia="Times New Roman" w:hAnsi="Times New Roman"/>
          <w:sz w:val="18"/>
          <w:szCs w:val="18"/>
          <w:color w:val="auto"/>
        </w:rPr>
        <w:t>The Company pursues ground-up development projects on a selective basis. The Company has supplemented its strong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redevelopment skills with its ground-up development expertise to further increase growth opportunities.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The Centers:</w:t>
      </w:r>
    </w:p>
    <w:p>
      <w:pPr>
        <w:spacing w:after="0" w:line="151"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As of December 31, 2023, the Centers primarily included 43 Regional Town Centers (including office, hotel and residential space adjacent to these shopping centers), three Community/Power Shopping Centers and one redevelopment property totaling approximately 46 million square feet of GLA. These 47 Centers average approximately 980,000 square feet of GLA and range in size from 3.2 million square feet of GLA at Tysons Corner Center to 205,000 square feet of GLA at Boulevard Shops. As of December 31, 2023, the Centers primarily included 156 Anchors totaling approximately 21.2 million square feet of GLA and approximately 5,000 Mall Stores and Freestanding Stores totaling approximately 23.6 million square feet of GLA.</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38" w:lineRule="exact"/>
        <w:rPr>
          <w:sz w:val="20"/>
          <w:szCs w:val="20"/>
          <w:color w:val="auto"/>
        </w:rPr>
      </w:pPr>
    </w:p>
    <w:p>
      <w:pPr>
        <w:ind w:right="280" w:firstLine="435"/>
        <w:spacing w:after="0" w:line="256" w:lineRule="auto"/>
        <w:rPr>
          <w:sz w:val="20"/>
          <w:szCs w:val="20"/>
          <w:color w:val="auto"/>
        </w:rPr>
      </w:pPr>
      <w:r>
        <w:rPr>
          <w:rFonts w:ascii="Times New Roman" w:cs="Times New Roman" w:eastAsia="Times New Roman" w:hAnsi="Times New Roman"/>
          <w:sz w:val="18"/>
          <w:szCs w:val="18"/>
          <w:color w:val="auto"/>
        </w:rPr>
        <w:t>Numerous owners, developers and managers of malls, shopping centers and other retail-oriented real estate compete with the Company for the acquisition of properties and in attracting tenants or Anchors to occupy space. There are a number of other publicly traded mall companies and several large private mall companies in the United States, any of which under certain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7" w:name="page8"/>
    <w:bookmarkEnd w:id="7"/>
    <w:p>
      <w:pPr>
        <w:spacing w:after="0" w:line="286" w:lineRule="auto"/>
        <w:rPr>
          <w:sz w:val="20"/>
          <w:szCs w:val="20"/>
          <w:color w:val="auto"/>
        </w:rPr>
      </w:pPr>
      <w:r>
        <w:rPr>
          <w:rFonts w:ascii="Times New Roman" w:cs="Times New Roman" w:eastAsia="Times New Roman" w:hAnsi="Times New Roman"/>
          <w:sz w:val="16"/>
          <w:szCs w:val="16"/>
          <w:color w:val="auto"/>
        </w:rPr>
        <w:t>circumstances could compete against the Company for an Anchor or a tenant. In addition, these companies, as well as other REITs, private real estate companies or investors compete with the Company in terms of property acquisitions. This results in competition both for the acquisition of properties or centers and for tenants or Anchors to occupy space. Competition for property acquisitions may result in increased purchase prices and may adversely affect the Company's ability to make suitable property acquisitions on favorable terms. The existence of competing shopping centers could have a material adverse impact on the Company's ability to lease space and on the level of rents that can be achieved. There is also increasing competition from other retail formats and technologies, such as lifestyle centers, power centers, outlet centers and online retail shopping that could adversely affect the Company's revenues.</w:t>
      </w:r>
    </w:p>
    <w:p>
      <w:pPr>
        <w:spacing w:after="0" w:line="81" w:lineRule="exact"/>
        <w:rPr>
          <w:sz w:val="20"/>
          <w:szCs w:val="20"/>
          <w:color w:val="auto"/>
        </w:rPr>
      </w:pPr>
    </w:p>
    <w:p>
      <w:pPr>
        <w:ind w:right="100" w:firstLine="435"/>
        <w:spacing w:after="0" w:line="252" w:lineRule="auto"/>
        <w:rPr>
          <w:sz w:val="20"/>
          <w:szCs w:val="20"/>
          <w:color w:val="auto"/>
        </w:rPr>
      </w:pPr>
      <w:r>
        <w:rPr>
          <w:rFonts w:ascii="Times New Roman" w:cs="Times New Roman" w:eastAsia="Times New Roman" w:hAnsi="Times New Roman"/>
          <w:sz w:val="18"/>
          <w:szCs w:val="18"/>
          <w:color w:val="auto"/>
        </w:rPr>
        <w:t>In making leasing decisions, the Company believes that retailers consider the following material factors relating to a center: quality, design and location, including consumer demographics; rental rates; type and quality of Anchors and retailers at the center; and management and operational experience and strategy of the center. The Company believes it is able to compete effectively for retail tenants in its local markets based on these criteria in light of the overall size, quality and diversity of its Centers.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Major Tenants:</w:t>
      </w:r>
    </w:p>
    <w:p>
      <w:pPr>
        <w:spacing w:after="0" w:line="151" w:lineRule="exact"/>
        <w:rPr>
          <w:sz w:val="20"/>
          <w:szCs w:val="20"/>
          <w:color w:val="auto"/>
        </w:rPr>
      </w:pPr>
    </w:p>
    <w:p>
      <w:pPr>
        <w:jc w:val="both"/>
        <w:ind w:right="400" w:firstLine="43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the Centers derived approximately 73% of their total rents from Mall Stores and Freestanding Stores under 10,000 square feet and 27% of their total rents from Big Box and Anchor tenants. Total rents as set forth in "Item 1. Business" include minimum rents and percentage rents.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retailers (including their subsidiaries) represent the 10 largest tenants in the Centers based upon total rents in place as of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9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5300" w:type="dxa"/>
            <w:vAlign w:val="bottom"/>
            <w:gridSpan w:val="2"/>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Primary DBAs</w:t>
            </w:r>
          </w:p>
        </w:tc>
        <w:tc>
          <w:tcPr>
            <w:tcW w:w="11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in the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Rents</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Victoria's Secret &amp; Co.</w:t>
            </w:r>
          </w:p>
        </w:tc>
        <w:tc>
          <w:tcPr>
            <w:tcW w:w="100" w:type="dxa"/>
            <w:vAlign w:val="bottom"/>
            <w:tcBorders>
              <w:top w:val="single" w:sz="8" w:color="CCEEFF"/>
            </w:tcBorders>
            <w:shd w:val="clear" w:color="auto" w:fill="CCEEFF"/>
          </w:tcPr>
          <w:p>
            <w:pPr>
              <w:spacing w:after="0"/>
              <w:rPr>
                <w:sz w:val="19"/>
                <w:szCs w:val="19"/>
                <w:color w:val="auto"/>
              </w:rPr>
            </w:pPr>
          </w:p>
        </w:tc>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Pink, Victoria's Secret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Dick's Sporting Goods, Inc.</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Dick's Sporting Goods, Moosejaw</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Gap, Inc.</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Athleta, Banana Republic, Gap, Gap Kids, Old Navy, and others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292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Foot Locker, Inc.</w:t>
            </w:r>
          </w:p>
        </w:tc>
        <w:tc>
          <w:tcPr>
            <w:tcW w:w="53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w w:val="99"/>
              </w:rPr>
              <w:t>Champs Sports, Foot Locker, House of Hoops by Foot Locker, Kids Foot</w:t>
            </w:r>
          </w:p>
        </w:tc>
        <w:tc>
          <w:tcPr>
            <w:tcW w:w="102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Locker, and others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Signet Jewelers Limited</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Banter by Piercing Pagoda, Blue Nile, Jared, Kay Jewelers, Zales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LVMH, Inc.</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 Vuitton, Sephora, and others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 &amp; M Hennes &amp; Mauritz L.P.</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H&amp;M</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292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SPARC Group LLC</w:t>
            </w:r>
          </w:p>
        </w:tc>
        <w:tc>
          <w:tcPr>
            <w:tcW w:w="53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Aeropostale, Brooks Brothers, Eddie Bauer, Forever 21, Lucky Brand,</w:t>
            </w:r>
          </w:p>
        </w:tc>
        <w:tc>
          <w:tcPr>
            <w:tcW w:w="102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others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Eagle Outfitters, Inc.</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Aerie, American Eagle Outfitters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329"/>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2023:</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Abercrombie &amp; Fitch Co.</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Abercrombie &amp; Fitch, Abercrombie Kids, Hollister Co.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Mall Stores and Freestanding Stores:</w:t>
      </w:r>
    </w:p>
    <w:p>
      <w:pPr>
        <w:spacing w:after="0" w:line="138" w:lineRule="exact"/>
        <w:rPr>
          <w:sz w:val="20"/>
          <w:szCs w:val="20"/>
          <w:color w:val="auto"/>
        </w:rPr>
      </w:pPr>
    </w:p>
    <w:p>
      <w:pPr>
        <w:ind w:right="140" w:firstLine="435"/>
        <w:spacing w:after="0" w:line="249" w:lineRule="auto"/>
        <w:rPr>
          <w:sz w:val="20"/>
          <w:szCs w:val="20"/>
          <w:color w:val="auto"/>
        </w:rPr>
      </w:pPr>
      <w:r>
        <w:rPr>
          <w:rFonts w:ascii="Times New Roman" w:cs="Times New Roman" w:eastAsia="Times New Roman" w:hAnsi="Times New Roman"/>
          <w:sz w:val="18"/>
          <w:szCs w:val="18"/>
          <w:color w:val="auto"/>
        </w:rPr>
        <w:t>Mall Store and Freestanding Store leases generally provide for tenants to pay rent comprised of a base (or "minimum") rent and a percentage rent based on sales. In some cases, tenants pay only minimum rent, and in other cases, tenants pay only percentage rent. The Company generally enters into leases for Mall Stores and Freestanding Stores that also require tenants to pay their pro rata share of property taxes and to pay a stated amount for operating expenses, excluding property taxes, regardless of the expenses the Company actually incurs at any Center. However, certain leases for Mall Stores and Freestanding Stores contain provisions that require tenants to pay their pro rata share of maintenance of the common areas, property taxes, insurance, advertising and other expenditures related to the operations of the Center.</w:t>
      </w:r>
    </w:p>
    <w:p>
      <w:pPr>
        <w:spacing w:after="0" w:line="121" w:lineRule="exact"/>
        <w:rPr>
          <w:sz w:val="20"/>
          <w:szCs w:val="20"/>
          <w:color w:val="auto"/>
        </w:rPr>
      </w:pPr>
    </w:p>
    <w:p>
      <w:pPr>
        <w:ind w:right="80" w:firstLine="435"/>
        <w:spacing w:after="0" w:line="250" w:lineRule="auto"/>
        <w:rPr>
          <w:sz w:val="20"/>
          <w:szCs w:val="20"/>
          <w:color w:val="auto"/>
        </w:rPr>
      </w:pPr>
      <w:r>
        <w:rPr>
          <w:rFonts w:ascii="Times New Roman" w:cs="Times New Roman" w:eastAsia="Times New Roman" w:hAnsi="Times New Roman"/>
          <w:sz w:val="18"/>
          <w:szCs w:val="18"/>
          <w:color w:val="auto"/>
        </w:rPr>
        <w:t>Tenant space of 10,000 square feet and under in the Company's portfolio at December 31, 2023 comprises approximately 61% of all Mall Store and Freestanding Store space. The Company uses tenant spaces of 10,000 square feet and under for comparing rental rate activity because this space is more consistent in terms of shape and configuration and, as such, the Company is able to provide a meaningful comparison of rental rate activity for this space. Mall Store and Freestanding Store space greater than 10,000 square feet is inconsistent in size and configuration throughout the Company's portfolio and as a result does not lend itself to a meaningful comparison of rental rate activity with the Company's other space. Much of the non-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Anchor space over 10,000 square feet is not physically connected to the mall, does not share the same common area amenities and does not benefit from the foot traffic in the mall. As a result, space greater than 10,000 square feet has a unique rent structure that is inconsistent with mall space under 10,000 square feet.</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Cost of Occupancy:</w:t>
      </w:r>
    </w:p>
    <w:p>
      <w:pPr>
        <w:spacing w:after="0" w:line="151" w:lineRule="exact"/>
        <w:rPr>
          <w:sz w:val="20"/>
          <w:szCs w:val="20"/>
          <w:color w:val="auto"/>
        </w:rPr>
      </w:pPr>
    </w:p>
    <w:p>
      <w:pPr>
        <w:ind w:firstLine="435"/>
        <w:spacing w:after="0" w:line="249" w:lineRule="auto"/>
        <w:rPr>
          <w:sz w:val="20"/>
          <w:szCs w:val="20"/>
          <w:color w:val="auto"/>
        </w:rPr>
      </w:pPr>
      <w:r>
        <w:rPr>
          <w:rFonts w:ascii="Times New Roman" w:cs="Times New Roman" w:eastAsia="Times New Roman" w:hAnsi="Times New Roman"/>
          <w:sz w:val="18"/>
          <w:szCs w:val="18"/>
          <w:color w:val="auto"/>
        </w:rPr>
        <w:t>A major factor contributing to tenant profitability is cost of occupancy, which consists of tenant occupancy costs charged by the Company. Tenant occupancy costs include tenant expenses such as minimum rents, percentage rents and recoverable expenditures, which consist primarily of property operating expenses and real estate taxes. These costs are then compared to tenant sales to present tenant occupancy costs as a percentage of tenant sales. A low cost of occupancy percentage shows more potential capacity for the Company to increase rents at the time of lease renewal than a high cost of occupancy percentage. The following table summarizes occupancy costs for Mall Store and Freestanding Store tenants in the Centers as a percentage of total Mall Store sales for the twelve months ended December 31, 2023 and December 31, 2022:</w:t>
      </w:r>
    </w:p>
    <w:p>
      <w:pPr>
        <w:spacing w:after="0" w:line="200" w:lineRule="exact"/>
        <w:rPr>
          <w:sz w:val="20"/>
          <w:szCs w:val="20"/>
          <w:color w:val="auto"/>
        </w:rPr>
      </w:pPr>
    </w:p>
    <w:p>
      <w:pPr>
        <w:spacing w:after="0" w:line="327" w:lineRule="exact"/>
        <w:rPr>
          <w:sz w:val="20"/>
          <w:szCs w:val="20"/>
          <w:color w:val="auto"/>
        </w:rPr>
      </w:pPr>
    </w:p>
    <w:p>
      <w:pPr>
        <w:jc w:val="center"/>
        <w:ind w:left="2100"/>
        <w:spacing w:after="0"/>
        <w:rPr>
          <w:sz w:val="20"/>
          <w:szCs w:val="20"/>
          <w:color w:val="auto"/>
        </w:rPr>
      </w:pPr>
      <w:r>
        <w:rPr>
          <w:rFonts w:ascii="Times New Roman" w:cs="Times New Roman" w:eastAsia="Times New Roman" w:hAnsi="Times New Roman"/>
          <w:sz w:val="18"/>
          <w:szCs w:val="18"/>
          <w:b w:val="1"/>
          <w:bCs w:val="1"/>
          <w:color w:val="auto"/>
        </w:rPr>
        <w:t>For the Twelve Months Ended December</w:t>
      </w:r>
    </w:p>
    <w:p>
      <w:pPr>
        <w:jc w:val="center"/>
        <w:ind w:left="210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1" w:lineRule="exact"/>
        <w:rPr>
          <w:sz w:val="20"/>
          <w:szCs w:val="20"/>
          <w:color w:val="auto"/>
        </w:rPr>
      </w:pPr>
    </w:p>
    <w:tbl>
      <w:tblPr>
        <w:tblLayout w:type="fixed"/>
        <w:tblInd w:w="2920" w:type="dxa"/>
        <w:tblCellMar>
          <w:top w:w="0" w:type="dxa"/>
          <w:left w:w="0" w:type="dxa"/>
          <w:bottom w:w="0" w:type="dxa"/>
          <w:right w:w="0" w:type="dxa"/>
        </w:tblCellMar>
      </w:tblPr>
      <w:tr>
        <w:trPr>
          <w:trHeight w:val="218"/>
        </w:trPr>
        <w:tc>
          <w:tcPr>
            <w:tcW w:w="212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4"/>
        </w:trPr>
        <w:tc>
          <w:tcPr>
            <w:tcW w:w="2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Consolidated Centers:</w:t>
            </w: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Minimum rents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rents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4"/>
        </w:trPr>
        <w:tc>
          <w:tcPr>
            <w:tcW w:w="2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Expense recoveries(1)</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2"/>
        </w:trPr>
        <w:tc>
          <w:tcPr>
            <w:tcW w:w="2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Unconsolidated Joint</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2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Venture Centers:</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rents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Percentage rents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recoveries(1)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7"/>
        </w:trPr>
        <w:tc>
          <w:tcPr>
            <w:tcW w:w="2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1200" w:hanging="562"/>
        <w:spacing w:after="0"/>
        <w:tabs>
          <w:tab w:leader="none" w:pos="12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real estate tax and common area maintenance charges.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977" w:right="43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8"/>
          <w:szCs w:val="18"/>
          <w:color w:val="auto"/>
        </w:rPr>
        <w:t>The following tables set forth the average base rent per square foot for the Centers, as of December 31 for each of the past three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Mall Stores and Freestanding Stores under 10,000 square feet: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Avg. Base</w:t>
            </w:r>
          </w:p>
        </w:tc>
        <w:tc>
          <w:tcPr>
            <w:tcW w:w="200" w:type="dxa"/>
            <w:vAlign w:val="bottom"/>
          </w:tcPr>
          <w:p>
            <w:pPr>
              <w:spacing w:after="0"/>
              <w:rPr>
                <w:sz w:val="13"/>
                <w:szCs w:val="13"/>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Avg. Base Rent</w:t>
            </w:r>
          </w:p>
        </w:tc>
        <w:tc>
          <w:tcPr>
            <w:tcW w:w="200" w:type="dxa"/>
            <w:vAlign w:val="bottom"/>
          </w:tcPr>
          <w:p>
            <w:pPr>
              <w:spacing w:after="0"/>
              <w:rPr>
                <w:sz w:val="13"/>
                <w:szCs w:val="13"/>
                <w:color w:val="auto"/>
              </w:rPr>
            </w:pPr>
          </w:p>
        </w:tc>
        <w:tc>
          <w:tcPr>
            <w:tcW w:w="16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Avg. Base Rent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 Sq. Ft. on</w:t>
            </w:r>
          </w:p>
        </w:tc>
        <w:tc>
          <w:tcPr>
            <w:tcW w:w="200" w:type="dxa"/>
            <w:vAlign w:val="bottom"/>
          </w:tcPr>
          <w:p>
            <w:pPr>
              <w:spacing w:after="0"/>
              <w:rPr>
                <w:sz w:val="12"/>
                <w:szCs w:val="12"/>
                <w:color w:val="auto"/>
              </w:rPr>
            </w:pPr>
          </w:p>
        </w:tc>
        <w:tc>
          <w:tcPr>
            <w:tcW w:w="1680" w:type="dxa"/>
            <w:vAlign w:val="bottom"/>
          </w:tcPr>
          <w:p>
            <w:pPr>
              <w:jc w:val="center"/>
              <w:ind w:right="119"/>
              <w:spacing w:after="0" w:line="145" w:lineRule="exact"/>
              <w:rPr>
                <w:sz w:val="20"/>
                <w:szCs w:val="20"/>
                <w:color w:val="auto"/>
              </w:rPr>
            </w:pPr>
            <w:r>
              <w:rPr>
                <w:rFonts w:ascii="Times New Roman" w:cs="Times New Roman" w:eastAsia="Times New Roman" w:hAnsi="Times New Roman"/>
                <w:sz w:val="14"/>
                <w:szCs w:val="14"/>
                <w:b w:val="1"/>
                <w:bCs w:val="1"/>
                <w:color w:val="auto"/>
              </w:rPr>
              <w:t>Per Sq. Ft.</w:t>
            </w:r>
          </w:p>
        </w:tc>
        <w:tc>
          <w:tcPr>
            <w:tcW w:w="0" w:type="dxa"/>
            <w:vAlign w:val="bottom"/>
          </w:tcPr>
          <w:p>
            <w:pPr>
              <w:spacing w:after="0"/>
              <w:rPr>
                <w:sz w:val="1"/>
                <w:szCs w:val="1"/>
                <w:color w:val="auto"/>
              </w:rPr>
            </w:pPr>
          </w:p>
        </w:tc>
      </w:tr>
      <w:tr>
        <w:trPr>
          <w:trHeight w:val="143"/>
        </w:trPr>
        <w:tc>
          <w:tcPr>
            <w:tcW w:w="5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Rent Per</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Leases Executed</w:t>
            </w:r>
          </w:p>
        </w:tc>
        <w:tc>
          <w:tcPr>
            <w:tcW w:w="200" w:type="dxa"/>
            <w:vAlign w:val="bottom"/>
          </w:tcPr>
          <w:p>
            <w:pPr>
              <w:spacing w:after="0"/>
              <w:rPr>
                <w:sz w:val="12"/>
                <w:szCs w:val="12"/>
                <w:color w:val="auto"/>
              </w:rPr>
            </w:pPr>
          </w:p>
        </w:tc>
        <w:tc>
          <w:tcPr>
            <w:tcW w:w="1680" w:type="dxa"/>
            <w:vAlign w:val="bottom"/>
          </w:tcPr>
          <w:p>
            <w:pPr>
              <w:jc w:val="center"/>
              <w:ind w:right="119"/>
              <w:spacing w:after="0" w:line="143" w:lineRule="exact"/>
              <w:rPr>
                <w:sz w:val="20"/>
                <w:szCs w:val="20"/>
                <w:color w:val="auto"/>
              </w:rPr>
            </w:pPr>
            <w:r>
              <w:rPr>
                <w:rFonts w:ascii="Times New Roman" w:cs="Times New Roman" w:eastAsia="Times New Roman" w:hAnsi="Times New Roman"/>
                <w:sz w:val="14"/>
                <w:szCs w:val="14"/>
                <w:b w:val="1"/>
                <w:bCs w:val="1"/>
                <w:color w:val="auto"/>
              </w:rPr>
              <w:t>on Leases Expiring</w:t>
            </w:r>
          </w:p>
        </w:tc>
        <w:tc>
          <w:tcPr>
            <w:tcW w:w="0" w:type="dxa"/>
            <w:vAlign w:val="bottom"/>
          </w:tcPr>
          <w:p>
            <w:pPr>
              <w:spacing w:after="0"/>
              <w:rPr>
                <w:sz w:val="1"/>
                <w:szCs w:val="1"/>
                <w:color w:val="auto"/>
              </w:rPr>
            </w:pPr>
          </w:p>
        </w:tc>
      </w:tr>
      <w:tr>
        <w:trPr>
          <w:trHeight w:val="145"/>
        </w:trPr>
        <w:tc>
          <w:tcPr>
            <w:tcW w:w="5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Sq. Ft.(1)(2)</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During the Year(2)(3)</w:t>
            </w:r>
          </w:p>
        </w:tc>
        <w:tc>
          <w:tcPr>
            <w:tcW w:w="200" w:type="dxa"/>
            <w:vAlign w:val="bottom"/>
          </w:tcPr>
          <w:p>
            <w:pPr>
              <w:spacing w:after="0"/>
              <w:rPr>
                <w:sz w:val="12"/>
                <w:szCs w:val="12"/>
                <w:color w:val="auto"/>
              </w:rPr>
            </w:pPr>
          </w:p>
        </w:tc>
        <w:tc>
          <w:tcPr>
            <w:tcW w:w="1680" w:type="dxa"/>
            <w:vAlign w:val="bottom"/>
          </w:tcPr>
          <w:p>
            <w:pPr>
              <w:jc w:val="center"/>
              <w:ind w:right="119"/>
              <w:spacing w:after="0" w:line="125" w:lineRule="exact"/>
              <w:rPr>
                <w:sz w:val="20"/>
                <w:szCs w:val="20"/>
                <w:color w:val="auto"/>
              </w:rPr>
            </w:pPr>
            <w:r>
              <w:rPr>
                <w:rFonts w:ascii="Times New Roman" w:cs="Times New Roman" w:eastAsia="Times New Roman" w:hAnsi="Times New Roman"/>
                <w:sz w:val="14"/>
                <w:szCs w:val="14"/>
                <w:b w:val="1"/>
                <w:bCs w:val="1"/>
                <w:color w:val="auto"/>
                <w:w w:val="97"/>
              </w:rPr>
              <w:t>During the Year(2)(4)</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Centers (at the Company's pro rata share):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8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0" w:type="dxa"/>
            <w:vAlign w:val="bottom"/>
          </w:tcPr>
          <w:p>
            <w:pPr>
              <w:spacing w:after="0"/>
              <w:rPr>
                <w:sz w:val="1"/>
                <w:szCs w:val="1"/>
                <w:color w:val="auto"/>
              </w:rPr>
            </w:pPr>
          </w:p>
        </w:tc>
      </w:tr>
      <w:tr>
        <w:trPr>
          <w:trHeight w:val="224"/>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Joint Venture Centers (at the Company's pro rata share):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8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0" w:type="dxa"/>
            <w:vAlign w:val="bottom"/>
          </w:tcPr>
          <w:p>
            <w:pPr>
              <w:spacing w:after="0"/>
              <w:rPr>
                <w:sz w:val="1"/>
                <w:szCs w:val="1"/>
                <w:color w:val="auto"/>
              </w:rPr>
            </w:pPr>
          </w:p>
        </w:tc>
      </w:tr>
      <w:tr>
        <w:trPr>
          <w:trHeight w:val="22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Big Box and Anchors: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Avg. Base Rent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3"/>
                <w:szCs w:val="13"/>
                <w:color w:val="auto"/>
              </w:rPr>
            </w:pPr>
          </w:p>
        </w:tc>
        <w:tc>
          <w:tcPr>
            <w:tcW w:w="17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Avg. Base Rent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Avg. Base</w:t>
            </w:r>
          </w:p>
        </w:tc>
        <w:tc>
          <w:tcPr>
            <w:tcW w:w="2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 Sq. Ft. on</w:t>
            </w:r>
          </w:p>
        </w:tc>
        <w:tc>
          <w:tcPr>
            <w:tcW w:w="12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Executed</w:t>
            </w:r>
          </w:p>
        </w:tc>
        <w:tc>
          <w:tcPr>
            <w:tcW w:w="200" w:type="dxa"/>
            <w:vAlign w:val="bottom"/>
          </w:tcPr>
          <w:p>
            <w:pPr>
              <w:spacing w:after="0"/>
              <w:rPr>
                <w:sz w:val="12"/>
                <w:szCs w:val="12"/>
                <w:color w:val="auto"/>
              </w:rPr>
            </w:pPr>
          </w:p>
        </w:tc>
        <w:tc>
          <w:tcPr>
            <w:tcW w:w="178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Per Sq. Ft.</w:t>
            </w:r>
          </w:p>
        </w:tc>
        <w:tc>
          <w:tcPr>
            <w:tcW w:w="1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Expiring</w:t>
            </w:r>
          </w:p>
        </w:tc>
        <w:tc>
          <w:tcPr>
            <w:tcW w:w="0" w:type="dxa"/>
            <w:vAlign w:val="bottom"/>
          </w:tcPr>
          <w:p>
            <w:pPr>
              <w:spacing w:after="0"/>
              <w:rPr>
                <w:sz w:val="1"/>
                <w:szCs w:val="1"/>
                <w:color w:val="auto"/>
              </w:rPr>
            </w:pPr>
          </w:p>
        </w:tc>
      </w:tr>
      <w:tr>
        <w:trPr>
          <w:trHeight w:val="132"/>
        </w:trPr>
        <w:tc>
          <w:tcPr>
            <w:tcW w:w="3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rPr>
              <w:t>Rent Per</w:t>
            </w:r>
          </w:p>
        </w:tc>
        <w:tc>
          <w:tcPr>
            <w:tcW w:w="200" w:type="dxa"/>
            <w:vAlign w:val="bottom"/>
          </w:tcPr>
          <w:p>
            <w:pPr>
              <w:spacing w:after="0"/>
              <w:rPr>
                <w:sz w:val="11"/>
                <w:szCs w:val="11"/>
                <w:color w:val="auto"/>
              </w:rPr>
            </w:pPr>
          </w:p>
        </w:tc>
        <w:tc>
          <w:tcPr>
            <w:tcW w:w="1780" w:type="dxa"/>
            <w:vAlign w:val="bottom"/>
            <w:gridSpan w:val="2"/>
          </w:tcPr>
          <w:p>
            <w:pPr>
              <w:jc w:val="center"/>
              <w:ind w:right="320"/>
              <w:spacing w:after="0" w:line="132" w:lineRule="exact"/>
              <w:rPr>
                <w:sz w:val="20"/>
                <w:szCs w:val="20"/>
                <w:color w:val="auto"/>
              </w:rPr>
            </w:pPr>
            <w:r>
              <w:rPr>
                <w:rFonts w:ascii="Times New Roman" w:cs="Times New Roman" w:eastAsia="Times New Roman" w:hAnsi="Times New Roman"/>
                <w:sz w:val="14"/>
                <w:szCs w:val="14"/>
                <w:b w:val="1"/>
                <w:bCs w:val="1"/>
                <w:color w:val="auto"/>
                <w:w w:val="99"/>
              </w:rPr>
              <w:t>Leases Executed</w:t>
            </w:r>
          </w:p>
        </w:tc>
        <w:tc>
          <w:tcPr>
            <w:tcW w:w="124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rPr>
              <w:t>During</w:t>
            </w:r>
          </w:p>
        </w:tc>
        <w:tc>
          <w:tcPr>
            <w:tcW w:w="200" w:type="dxa"/>
            <w:vAlign w:val="bottom"/>
          </w:tcPr>
          <w:p>
            <w:pPr>
              <w:spacing w:after="0"/>
              <w:rPr>
                <w:sz w:val="11"/>
                <w:szCs w:val="11"/>
                <w:color w:val="auto"/>
              </w:rPr>
            </w:pPr>
          </w:p>
        </w:tc>
        <w:tc>
          <w:tcPr>
            <w:tcW w:w="1780" w:type="dxa"/>
            <w:vAlign w:val="bottom"/>
            <w:gridSpan w:val="2"/>
          </w:tcPr>
          <w:p>
            <w:pPr>
              <w:jc w:val="center"/>
              <w:ind w:right="320"/>
              <w:spacing w:after="0" w:line="132" w:lineRule="exact"/>
              <w:rPr>
                <w:sz w:val="20"/>
                <w:szCs w:val="20"/>
                <w:color w:val="auto"/>
              </w:rPr>
            </w:pPr>
            <w:r>
              <w:rPr>
                <w:rFonts w:ascii="Times New Roman" w:cs="Times New Roman" w:eastAsia="Times New Roman" w:hAnsi="Times New Roman"/>
                <w:sz w:val="14"/>
                <w:szCs w:val="14"/>
                <w:b w:val="1"/>
                <w:bCs w:val="1"/>
                <w:color w:val="auto"/>
                <w:w w:val="99"/>
              </w:rPr>
              <w:t>on Leases Expiring</w:t>
            </w:r>
          </w:p>
        </w:tc>
        <w:tc>
          <w:tcPr>
            <w:tcW w:w="112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During</w:t>
            </w:r>
          </w:p>
        </w:tc>
        <w:tc>
          <w:tcPr>
            <w:tcW w:w="0" w:type="dxa"/>
            <w:vAlign w:val="bottom"/>
          </w:tcPr>
          <w:p>
            <w:pPr>
              <w:spacing w:after="0"/>
              <w:rPr>
                <w:sz w:val="1"/>
                <w:szCs w:val="1"/>
                <w:color w:val="auto"/>
              </w:rPr>
            </w:pPr>
          </w:p>
        </w:tc>
      </w:tr>
      <w:tr>
        <w:trPr>
          <w:trHeight w:val="145"/>
        </w:trPr>
        <w:tc>
          <w:tcPr>
            <w:tcW w:w="36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rPr>
              <w:t>Sq. Ft.(1)(2)</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During the Year(2)(3)</w:t>
            </w:r>
          </w:p>
        </w:tc>
        <w:tc>
          <w:tcPr>
            <w:tcW w:w="124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the Year</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During the Year(2)(4)</w:t>
            </w: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the Year</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640" w:type="dxa"/>
            <w:vAlign w:val="bottom"/>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Consolidated Centers (at the Company's pro rata</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79"/>
        </w:trPr>
        <w:tc>
          <w:tcPr>
            <w:tcW w:w="3640" w:type="dxa"/>
            <w:vAlign w:val="bottom"/>
            <w:gridSpan w:val="3"/>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Unconsolidated Joint Venture Centers (at the</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pro rata share):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88" w:lineRule="exact"/>
        <w:rPr>
          <w:sz w:val="20"/>
          <w:szCs w:val="20"/>
          <w:color w:val="auto"/>
        </w:rPr>
      </w:pPr>
    </w:p>
    <w:p>
      <w:pPr>
        <w:ind w:left="1200" w:right="100" w:hanging="562"/>
        <w:spacing w:after="0" w:line="270" w:lineRule="auto"/>
        <w:tabs>
          <w:tab w:leader="none" w:pos="12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base rent per square foot is based on spaces occupied as of December 31 for each of the Centers and gives effect to the terms of each lease in effect, as of such date, including any concessions, abatements and other adjustments or allowances that have been granted to the tenants.</w:t>
      </w:r>
    </w:p>
    <w:p>
      <w:pPr>
        <w:spacing w:after="0" w:line="99" w:lineRule="exact"/>
        <w:rPr>
          <w:rFonts w:ascii="Times New Roman" w:cs="Times New Roman" w:eastAsia="Times New Roman" w:hAnsi="Times New Roman"/>
          <w:sz w:val="16"/>
          <w:szCs w:val="16"/>
          <w:color w:val="auto"/>
        </w:rPr>
      </w:pPr>
    </w:p>
    <w:p>
      <w:pPr>
        <w:ind w:left="1200" w:hanging="562"/>
        <w:spacing w:after="0"/>
        <w:tabs>
          <w:tab w:leader="none" w:pos="12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Centers under development and redevelopment are excluded from average base rents.</w:t>
      </w:r>
    </w:p>
    <w:p>
      <w:pPr>
        <w:spacing w:after="0" w:line="158" w:lineRule="exact"/>
        <w:rPr>
          <w:rFonts w:ascii="Times New Roman" w:cs="Times New Roman" w:eastAsia="Times New Roman" w:hAnsi="Times New Roman"/>
          <w:sz w:val="16"/>
          <w:szCs w:val="16"/>
          <w:color w:val="auto"/>
        </w:rPr>
      </w:pPr>
    </w:p>
    <w:p>
      <w:pPr>
        <w:ind w:left="1200" w:right="400" w:hanging="562"/>
        <w:spacing w:after="0" w:line="270" w:lineRule="auto"/>
        <w:tabs>
          <w:tab w:leader="none" w:pos="12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base rent per square foot on leases executed during the year represents the actual rent paid on a per square foot basis during the first twelve months of the lease.</w:t>
      </w:r>
    </w:p>
    <w:p>
      <w:pPr>
        <w:spacing w:after="0" w:line="99" w:lineRule="exact"/>
        <w:rPr>
          <w:rFonts w:ascii="Times New Roman" w:cs="Times New Roman" w:eastAsia="Times New Roman" w:hAnsi="Times New Roman"/>
          <w:sz w:val="16"/>
          <w:szCs w:val="16"/>
          <w:color w:val="auto"/>
        </w:rPr>
      </w:pPr>
    </w:p>
    <w:p>
      <w:pPr>
        <w:ind w:left="1200" w:right="60" w:hanging="562"/>
        <w:spacing w:after="0" w:line="270" w:lineRule="auto"/>
        <w:tabs>
          <w:tab w:leader="none" w:pos="12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base rent per square foot on leases expiring during the year represents the actual rent to be paid on a per square foot basis during the final twelve months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i w:val="1"/>
          <w:iCs w:val="1"/>
          <w:color w:val="auto"/>
        </w:rPr>
        <w:t>Lease Expirations:</w:t>
      </w:r>
    </w:p>
    <w:p>
      <w:pPr>
        <w:spacing w:after="0" w:line="138" w:lineRule="exact"/>
        <w:rPr>
          <w:sz w:val="20"/>
          <w:szCs w:val="20"/>
          <w:color w:val="auto"/>
        </w:rPr>
      </w:pPr>
    </w:p>
    <w:p>
      <w:pPr>
        <w:ind w:right="360" w:firstLine="435"/>
        <w:spacing w:after="0" w:line="269" w:lineRule="auto"/>
        <w:rPr>
          <w:sz w:val="20"/>
          <w:szCs w:val="20"/>
          <w:color w:val="auto"/>
        </w:rPr>
      </w:pPr>
      <w:r>
        <w:rPr>
          <w:rFonts w:ascii="Times New Roman" w:cs="Times New Roman" w:eastAsia="Times New Roman" w:hAnsi="Times New Roman"/>
          <w:sz w:val="18"/>
          <w:szCs w:val="18"/>
          <w:color w:val="auto"/>
        </w:rPr>
        <w:t>The following tables show scheduled lease expirations for Centers owned as of December 31, 2023 for the next ten years, assuming that none of the tenants exercise renewal options: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Mall Stores and Freestanding Stores under 10,000 square feet: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of Total Leased</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Ending Base Rent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of Base Rent</w:t>
            </w:r>
          </w:p>
        </w:tc>
        <w:tc>
          <w:tcPr>
            <w:tcW w:w="0" w:type="dxa"/>
            <w:vAlign w:val="bottom"/>
          </w:tcPr>
          <w:p>
            <w:pPr>
              <w:spacing w:after="0"/>
              <w:rPr>
                <w:sz w:val="1"/>
                <w:szCs w:val="1"/>
                <w:color w:val="auto"/>
              </w:rPr>
            </w:pPr>
          </w:p>
        </w:tc>
      </w:tr>
      <w:tr>
        <w:trPr>
          <w:trHeight w:val="143"/>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GLA Represented</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Represented</w:t>
            </w:r>
          </w:p>
        </w:tc>
        <w:tc>
          <w:tcPr>
            <w:tcW w:w="0" w:type="dxa"/>
            <w:vAlign w:val="bottom"/>
          </w:tcPr>
          <w:p>
            <w:pPr>
              <w:spacing w:after="0"/>
              <w:rPr>
                <w:sz w:val="1"/>
                <w:szCs w:val="1"/>
                <w:color w:val="auto"/>
              </w:rPr>
            </w:pPr>
          </w:p>
        </w:tc>
      </w:tr>
      <w:tr>
        <w:trPr>
          <w:trHeight w:val="145"/>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1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Leases</w:t>
            </w:r>
          </w:p>
        </w:tc>
        <w:tc>
          <w:tcPr>
            <w:tcW w:w="14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GLA of Leases</w:t>
            </w:r>
          </w:p>
        </w:tc>
        <w:tc>
          <w:tcPr>
            <w:tcW w:w="17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by Expiring</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per Square Foot of</w:t>
            </w: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by Expiring</w:t>
            </w:r>
          </w:p>
        </w:tc>
        <w:tc>
          <w:tcPr>
            <w:tcW w:w="0" w:type="dxa"/>
            <w:vAlign w:val="bottom"/>
          </w:tcPr>
          <w:p>
            <w:pPr>
              <w:spacing w:after="0"/>
              <w:rPr>
                <w:sz w:val="1"/>
                <w:szCs w:val="1"/>
                <w:color w:val="auto"/>
              </w:rPr>
            </w:pPr>
          </w:p>
        </w:tc>
      </w:tr>
      <w:tr>
        <w:trPr>
          <w:trHeight w:val="191"/>
        </w:trPr>
        <w:tc>
          <w:tcPr>
            <w:tcW w:w="38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Expiring(1)</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Expiring Leases(1)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0" w:type="dxa"/>
            <w:vAlign w:val="bottom"/>
          </w:tcPr>
          <w:p>
            <w:pPr>
              <w:spacing w:after="0"/>
              <w:rPr>
                <w:sz w:val="1"/>
                <w:szCs w:val="1"/>
                <w:color w:val="auto"/>
              </w:rPr>
            </w:pPr>
          </w:p>
        </w:tc>
      </w:tr>
      <w:tr>
        <w:trPr>
          <w:trHeight w:val="171"/>
        </w:trPr>
        <w:tc>
          <w:tcPr>
            <w:tcW w:w="370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Consolidated Centers (at the Company's pro rata</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893,335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700,699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610,959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433,085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309,302</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373,421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211,845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171"/>
        </w:trPr>
        <w:tc>
          <w:tcPr>
            <w:tcW w:w="38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Unconsolidated Joint Venture Centers (at the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 pro rata share):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372,635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320,924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290,581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241,022</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257,132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0" w:type="dxa"/>
            <w:vAlign w:val="bottom"/>
          </w:tcPr>
          <w:p>
            <w:pPr>
              <w:spacing w:after="0"/>
              <w:rPr>
                <w:sz w:val="1"/>
                <w:szCs w:val="1"/>
                <w:color w:val="auto"/>
              </w:rPr>
            </w:pP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75"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Big Boxes and Anchors: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 of Total Leased</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Ending Base Rent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of Base Rent</w:t>
            </w:r>
          </w:p>
        </w:tc>
        <w:tc>
          <w:tcPr>
            <w:tcW w:w="0" w:type="dxa"/>
            <w:vAlign w:val="bottom"/>
          </w:tcPr>
          <w:p>
            <w:pPr>
              <w:spacing w:after="0"/>
              <w:rPr>
                <w:sz w:val="1"/>
                <w:szCs w:val="1"/>
                <w:color w:val="auto"/>
              </w:rPr>
            </w:pPr>
          </w:p>
        </w:tc>
      </w:tr>
      <w:tr>
        <w:trPr>
          <w:trHeight w:val="145"/>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GLA Represented</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Represented</w:t>
            </w:r>
          </w:p>
        </w:tc>
        <w:tc>
          <w:tcPr>
            <w:tcW w:w="0" w:type="dxa"/>
            <w:vAlign w:val="bottom"/>
          </w:tcPr>
          <w:p>
            <w:pPr>
              <w:spacing w:after="0"/>
              <w:rPr>
                <w:sz w:val="1"/>
                <w:szCs w:val="1"/>
                <w:color w:val="auto"/>
              </w:rPr>
            </w:pPr>
          </w:p>
        </w:tc>
      </w:tr>
      <w:tr>
        <w:trPr>
          <w:trHeight w:val="134"/>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1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Leases</w:t>
            </w:r>
          </w:p>
        </w:tc>
        <w:tc>
          <w:tcPr>
            <w:tcW w:w="146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GLA of Leases</w:t>
            </w:r>
          </w:p>
        </w:tc>
        <w:tc>
          <w:tcPr>
            <w:tcW w:w="1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w w:val="98"/>
              </w:rPr>
              <w:t>by Expiring</w:t>
            </w:r>
          </w:p>
        </w:tc>
        <w:tc>
          <w:tcPr>
            <w:tcW w:w="140" w:type="dxa"/>
            <w:vAlign w:val="bottom"/>
          </w:tcPr>
          <w:p>
            <w:pPr>
              <w:spacing w:after="0"/>
              <w:rPr>
                <w:sz w:val="11"/>
                <w:szCs w:val="11"/>
                <w:color w:val="auto"/>
              </w:rPr>
            </w:pPr>
          </w:p>
        </w:tc>
        <w:tc>
          <w:tcPr>
            <w:tcW w:w="144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per Square Foot of</w:t>
            </w:r>
          </w:p>
        </w:tc>
        <w:tc>
          <w:tcPr>
            <w:tcW w:w="14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by Expiring</w:t>
            </w:r>
          </w:p>
        </w:tc>
        <w:tc>
          <w:tcPr>
            <w:tcW w:w="0" w:type="dxa"/>
            <w:vAlign w:val="bottom"/>
          </w:tcPr>
          <w:p>
            <w:pPr>
              <w:spacing w:after="0"/>
              <w:rPr>
                <w:sz w:val="1"/>
                <w:szCs w:val="1"/>
                <w:color w:val="auto"/>
              </w:rPr>
            </w:pPr>
          </w:p>
        </w:tc>
      </w:tr>
      <w:tr>
        <w:trPr>
          <w:trHeight w:val="185"/>
        </w:trPr>
        <w:tc>
          <w:tcPr>
            <w:tcW w:w="38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Expiring(1)</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Expiring Leases(1)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Leases(1)</w:t>
            </w:r>
          </w:p>
        </w:tc>
        <w:tc>
          <w:tcPr>
            <w:tcW w:w="0" w:type="dxa"/>
            <w:vAlign w:val="bottom"/>
          </w:tcPr>
          <w:p>
            <w:pPr>
              <w:spacing w:after="0"/>
              <w:rPr>
                <w:sz w:val="1"/>
                <w:szCs w:val="1"/>
                <w:color w:val="auto"/>
              </w:rPr>
            </w:pPr>
          </w:p>
        </w:tc>
      </w:tr>
      <w:tr>
        <w:trPr>
          <w:trHeight w:val="24"/>
        </w:trPr>
        <w:tc>
          <w:tcPr>
            <w:tcW w:w="3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Consolidated Centers (at the Company's pro rata</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319,225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1,324,385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1,416,432</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1,155,852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944,679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311,671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291,804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335,560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245,071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0" w:type="dxa"/>
            <w:vAlign w:val="bottom"/>
          </w:tcPr>
          <w:p>
            <w:pPr>
              <w:spacing w:after="0"/>
              <w:rPr>
                <w:sz w:val="1"/>
                <w:szCs w:val="1"/>
                <w:color w:val="auto"/>
              </w:rPr>
            </w:pPr>
          </w:p>
        </w:tc>
      </w:tr>
      <w:tr>
        <w:trPr>
          <w:trHeight w:val="171"/>
        </w:trPr>
        <w:tc>
          <w:tcPr>
            <w:tcW w:w="38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Unconsolidated Joint Venture Centers (at the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 pro rata share):</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440,317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623,800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350,725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347,431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496,132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413,283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467,875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346,541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388" w:lineRule="exact"/>
        <w:rPr>
          <w:sz w:val="20"/>
          <w:szCs w:val="20"/>
          <w:color w:val="auto"/>
        </w:rPr>
      </w:pPr>
    </w:p>
    <w:p>
      <w:pPr>
        <w:ind w:left="1200" w:right="200" w:hanging="562"/>
        <w:spacing w:after="0" w:line="287" w:lineRule="auto"/>
        <w:tabs>
          <w:tab w:leader="none" w:pos="12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ending base rent per square foot on leases expiring during the period represents the final year minimum rent, on a cash basis, for tenant leases expiring during the year.</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Anchors:</w:t>
      </w:r>
    </w:p>
    <w:p>
      <w:pPr>
        <w:spacing w:after="0" w:line="151"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Anchors have traditionally been a major factor in the public's identification with Regional Town Centers. Anchors are generally department stores whose merchandise appeals to a broad range of shoppers. Although the Centers receive a smaller percentage of their operating income from Anchors than from Mall Stores and Freestanding Stores, strong Anchors play an important part in maintaining customer traffic and making the Centers desirable locations for Mall Store and Freestanding Store tenants.</w:t>
      </w:r>
    </w:p>
    <w:p>
      <w:pPr>
        <w:spacing w:after="0" w:line="106"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Anchors either own their stores, the land under them and in some cases adjacent parking areas, or enter into long-term leases with an owner at rates that are lower than the rents charged to tenants of Mall Stores and Freestanding Stores. Each Anchor that owns its own store and certain Anchors that lease their stores enter into reciprocal easement agreements with the owner of the Center covering, among other things, operational matters, initial construction and future expansion.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Anchors accounted for approximately 6.5% of the Company's total rents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75" w:right="379" w:bottom="1440" w:gutter="0" w:footer="0" w:header="0"/>
        </w:sectPr>
      </w:pPr>
    </w:p>
    <w:bookmarkStart w:id="12" w:name="page13"/>
    <w:bookmarkEnd w:id="12"/>
    <w:p>
      <w:pPr>
        <w:ind w:right="420" w:firstLine="435"/>
        <w:spacing w:after="0" w:line="269" w:lineRule="auto"/>
        <w:rPr>
          <w:sz w:val="20"/>
          <w:szCs w:val="20"/>
          <w:color w:val="auto"/>
        </w:rPr>
      </w:pPr>
      <w:r>
        <w:rPr>
          <w:rFonts w:ascii="Times New Roman" w:cs="Times New Roman" w:eastAsia="Times New Roman" w:hAnsi="Times New Roman"/>
          <w:sz w:val="18"/>
          <w:szCs w:val="18"/>
          <w:color w:val="auto"/>
        </w:rPr>
        <w:t>The following table identifies each Anchor, each parent company that owns multiple Anchors and the number of square feet owned or leased by each such Anchor or parent company in the Company's portfolio at December 31, 2023.</w:t>
      </w:r>
    </w:p>
    <w:p>
      <w:pPr>
        <w:spacing w:after="0" w:line="10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GLA Owned</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GLA Leased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Anchor GLA</w:t>
            </w:r>
          </w:p>
        </w:tc>
        <w:tc>
          <w:tcPr>
            <w:tcW w:w="0" w:type="dxa"/>
            <w:vAlign w:val="bottom"/>
          </w:tcPr>
          <w:p>
            <w:pPr>
              <w:spacing w:after="0"/>
              <w:rPr>
                <w:sz w:val="1"/>
                <w:szCs w:val="1"/>
                <w:color w:val="auto"/>
              </w:rPr>
            </w:pPr>
          </w:p>
        </w:tc>
      </w:tr>
      <w:tr>
        <w:trPr>
          <w:trHeight w:val="145"/>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Anchor</w:t>
            </w:r>
          </w:p>
        </w:tc>
        <w:tc>
          <w:tcPr>
            <w:tcW w:w="13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8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Stores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by Anchor</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by Anchor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Macy's Inc.</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Macy's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6,335,</w:t>
            </w:r>
          </w:p>
        </w:tc>
        <w:tc>
          <w:tcPr>
            <w:tcW w:w="0" w:type="dxa"/>
            <w:vAlign w:val="bottom"/>
          </w:tcPr>
          <w:p>
            <w:pPr>
              <w:spacing w:after="0"/>
              <w:rPr>
                <w:sz w:val="1"/>
                <w:szCs w:val="1"/>
                <w:color w:val="auto"/>
              </w:rPr>
            </w:pPr>
          </w:p>
        </w:tc>
      </w:tr>
      <w:tr>
        <w:trPr>
          <w:trHeight w:val="198"/>
        </w:trPr>
        <w:tc>
          <w:tcPr>
            <w:tcW w:w="5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Bloomingdale's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4,404,000</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2,184,000</w:t>
            </w: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6,588,</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JCPenney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Dillard's(1)</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Nordstrom</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Dick's Sporting Goods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Target(2)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Forever 21</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 Depot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Primark(3)</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Costco</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Scheels All Sports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253,000</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Burlington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BJ's Wholesale Club</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Von Maur</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187,000</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Walmart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 Curacao</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Boscov's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Shoppers World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Lowe's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Neiman Marcus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Saks Fifth Avenue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Belk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Kohl's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Mercado de los Cielos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Des Moines Area Community College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64,000</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Vacant Anchors(4)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148,000</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1,614,000</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9,652,000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11,417,000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21,069,</w:t>
            </w:r>
          </w:p>
        </w:tc>
        <w:tc>
          <w:tcPr>
            <w:tcW w:w="0" w:type="dxa"/>
            <w:vAlign w:val="bottom"/>
          </w:tcPr>
          <w:p>
            <w:pPr>
              <w:spacing w:after="0"/>
              <w:rPr>
                <w:sz w:val="1"/>
                <w:szCs w:val="1"/>
                <w:color w:val="auto"/>
              </w:rPr>
            </w:pPr>
          </w:p>
        </w:tc>
      </w:tr>
      <w:tr>
        <w:trPr>
          <w:trHeight w:val="205"/>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Anchors at Centers not owned by the Company(5):</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Kohl's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9,652,000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11,499,000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388" w:lineRule="exact"/>
        <w:rPr>
          <w:sz w:val="20"/>
          <w:szCs w:val="20"/>
          <w:color w:val="auto"/>
        </w:rPr>
      </w:pPr>
    </w:p>
    <w:p>
      <w:pPr>
        <w:ind w:left="1200" w:right="580" w:hanging="562"/>
        <w:spacing w:after="0" w:line="270" w:lineRule="auto"/>
        <w:tabs>
          <w:tab w:leader="none" w:pos="1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Dillard's owns and is currently redeveloping the former Sears parcel at South Plains Mall. They plan to open this store in fall 2024 and vacate their two existing stores at the property.</w:t>
      </w:r>
    </w:p>
    <w:p>
      <w:pPr>
        <w:spacing w:after="0" w:line="112" w:lineRule="exact"/>
        <w:rPr>
          <w:rFonts w:ascii="Times New Roman" w:cs="Times New Roman" w:eastAsia="Times New Roman" w:hAnsi="Times New Roman"/>
          <w:sz w:val="16"/>
          <w:szCs w:val="16"/>
          <w:color w:val="auto"/>
        </w:rPr>
      </w:pPr>
    </w:p>
    <w:p>
      <w:pPr>
        <w:ind w:left="1200" w:hanging="562"/>
        <w:spacing w:after="0"/>
        <w:tabs>
          <w:tab w:leader="none" w:pos="1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has announced plans to open a two-level 126,000 square foot store at Danbury Fair Mall.</w:t>
      </w:r>
    </w:p>
    <w:p>
      <w:pPr>
        <w:spacing w:after="0" w:line="145" w:lineRule="exact"/>
        <w:rPr>
          <w:rFonts w:ascii="Times New Roman" w:cs="Times New Roman" w:eastAsia="Times New Roman" w:hAnsi="Times New Roman"/>
          <w:sz w:val="16"/>
          <w:szCs w:val="16"/>
          <w:color w:val="auto"/>
        </w:rPr>
      </w:pPr>
    </w:p>
    <w:p>
      <w:pPr>
        <w:ind w:left="1200" w:hanging="562"/>
        <w:spacing w:after="0"/>
        <w:tabs>
          <w:tab w:leader="none" w:pos="1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Primark has announced plans to open a two-level store at Tysons Corner Center.</w:t>
      </w:r>
    </w:p>
    <w:p>
      <w:pPr>
        <w:spacing w:after="0" w:line="145" w:lineRule="exact"/>
        <w:rPr>
          <w:rFonts w:ascii="Times New Roman" w:cs="Times New Roman" w:eastAsia="Times New Roman" w:hAnsi="Times New Roman"/>
          <w:sz w:val="16"/>
          <w:szCs w:val="16"/>
          <w:color w:val="auto"/>
        </w:rPr>
      </w:pPr>
    </w:p>
    <w:p>
      <w:pPr>
        <w:jc w:val="both"/>
        <w:ind w:left="1200" w:right="160" w:hanging="562"/>
        <w:spacing w:after="0" w:line="255" w:lineRule="auto"/>
        <w:tabs>
          <w:tab w:leader="none" w:pos="1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actively seeking replacement tenants or has entered into replacement leases for many of these vacant sites and/or is currently executing on or considering redevelopment opportunities for these locations. The Company continues to collect rent under the terms of an agreement regarding three of these vacant Anchors.</w:t>
      </w:r>
    </w:p>
    <w:p>
      <w:pPr>
        <w:spacing w:after="0" w:line="111" w:lineRule="exact"/>
        <w:rPr>
          <w:rFonts w:ascii="Times New Roman" w:cs="Times New Roman" w:eastAsia="Times New Roman" w:hAnsi="Times New Roman"/>
          <w:sz w:val="16"/>
          <w:szCs w:val="16"/>
          <w:color w:val="auto"/>
        </w:rPr>
      </w:pPr>
    </w:p>
    <w:p>
      <w:pPr>
        <w:ind w:left="1200" w:right="240" w:hanging="562"/>
        <w:spacing w:after="0" w:line="287" w:lineRule="auto"/>
        <w:tabs>
          <w:tab w:leader="none" w:pos="1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owns an office building and three stores located at shopping centers not owned by the Company. Of these three stores, one is leased to Kohl's, and two have been leased for non-Anchor usage.</w:t>
      </w:r>
    </w:p>
    <w:p>
      <w:pPr>
        <w:sectPr>
          <w:pgSz w:w="11900" w:h="16838" w:orient="portrait"/>
          <w:cols w:equalWidth="0" w:num="1">
            <w:col w:w="11340"/>
          </w:cols>
          <w:pgMar w:left="320" w:top="9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977"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138" w:lineRule="exact"/>
        <w:rPr>
          <w:sz w:val="20"/>
          <w:szCs w:val="20"/>
          <w:color w:val="auto"/>
        </w:rPr>
      </w:pPr>
    </w:p>
    <w:p>
      <w:pPr>
        <w:ind w:right="260" w:firstLine="435"/>
        <w:spacing w:after="0" w:line="250" w:lineRule="auto"/>
        <w:rPr>
          <w:sz w:val="20"/>
          <w:szCs w:val="20"/>
          <w:color w:val="auto"/>
        </w:rPr>
      </w:pPr>
      <w:r>
        <w:rPr>
          <w:rFonts w:ascii="Times New Roman" w:cs="Times New Roman" w:eastAsia="Times New Roman" w:hAnsi="Times New Roman"/>
          <w:sz w:val="18"/>
          <w:szCs w:val="18"/>
          <w:color w:val="auto"/>
        </w:rPr>
        <w:t>Compliance with various governmental regulations has an impact on the Company’s business, including its capital expenditures, earnings and competitive position, which can be material. The Company incurs costs to monitor, and takes actions to comply with, governmental regulations that are applicable to its business, which include, among others, federal securities laws and regulations, applicable stock exchange requirements, REIT and other tax laws and regulations, environmental and health and safety laws and regulations, local zoning, usage and other regulations relating to real property, the Americans with Disabilities Act of 1990 (the "ADA") and related laws and regulations.</w:t>
      </w:r>
    </w:p>
    <w:p>
      <w:pPr>
        <w:spacing w:after="0" w:line="121"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See “Item 1A. Risk Factors” for a discussion of material risks to the Company, including, to the extent material, to its competitive position, relating to governmental regulations, and see “Item 7. Management’s Discussion and Analysis of Financial Condition and Results of Operations” together with the Company’s Consolidated Financial Statements, including the related notes included therein, for a discussion of material information relevant to an assessment of the Company’s financial condition and results of operations, including, to the extent material, the effects that compliance with governmental regulations may have upon its capital expenditures and earnings.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Each of the Centers has comprehensive liability, fire, extended coverage and rental loss insurance with insured limits customarily carried for similar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properties. The Company does not insure certain types of losses (such as losses from wars), because they are either uninsurable or not economically insurable.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while the Company or the relevant joint venture, as applicable, carry specific earthquake insurance on the Centers located in California, the policies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subject to a deductible equal to 5% of the total insured value of each Center, a $150,000 per occurrence minimum and a combined annual aggregate loss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limit of $100 million on these Centers. The Company or the relevant joint venture, as applicable, carry specific earthquake insurance on the Centers located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Pacific Northwest and in the New Madrid Seismic Zone. However, the policies are subject to a deductible equal to 2% of the total insured value of each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Center, a $150,000 per occurrence minimum and a combined annual aggregate loss limit of $100 million on these Centers. While the Company or the relevant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joint venture also carry standalone terrorism insurance on the Centers, the policies are subject to a $25,000 deductible and a combined annual aggregate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 of $1.2 billion. Each Center has environmental insurance covering eligible third-party losses, remediation and non-owned disposal sites, subject to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$100,000 retention and a $50 million three-year aggregate loss limit, with the exception of one Center, which has a $5 million ten-year aggregate loss limit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 Center, which has a $20 million ten-year aggregate loss limit. Some environmental losses are not covered by this insurance because they 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uninsurable or not economically insurable. Furthermore, the Company carries title insurance on substantially all of the Centers for generally less than their full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 as a Real Estate Investment Trust</w:t>
      </w:r>
    </w:p>
    <w:p>
      <w:pPr>
        <w:spacing w:after="0" w:line="151" w:lineRule="exact"/>
        <w:rPr>
          <w:sz w:val="20"/>
          <w:szCs w:val="20"/>
          <w:color w:val="auto"/>
        </w:rPr>
      </w:pPr>
    </w:p>
    <w:p>
      <w:pPr>
        <w:ind w:right="60" w:firstLine="435"/>
        <w:spacing w:after="0" w:line="250" w:lineRule="auto"/>
        <w:rPr>
          <w:sz w:val="20"/>
          <w:szCs w:val="20"/>
          <w:color w:val="auto"/>
        </w:rPr>
      </w:pPr>
      <w:r>
        <w:rPr>
          <w:rFonts w:ascii="Times New Roman" w:cs="Times New Roman" w:eastAsia="Times New Roman" w:hAnsi="Times New Roman"/>
          <w:sz w:val="18"/>
          <w:szCs w:val="18"/>
          <w:color w:val="auto"/>
        </w:rPr>
        <w:t>The Company elected to be taxed as a REIT under the Internal Revenue Code of 1986, as amended (the "Code"), commencing with its first taxable year ended December 31, 1994, and intends to conduct its operations so as to continue to qualify as a REIT under the Code. As a REIT, the Company generally will not be subject to federal and state income taxes on its net taxable income that it currently distributes to stockholders. Qualification and taxation as a REIT depends on the Company's ability to meet certain dividend distribution tests, share ownership requirements and various qualification tests prescribed in the Code.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38" w:lineRule="exact"/>
        <w:rPr>
          <w:sz w:val="20"/>
          <w:szCs w:val="20"/>
          <w:color w:val="auto"/>
        </w:rPr>
      </w:pPr>
    </w:p>
    <w:p>
      <w:pPr>
        <w:ind w:right="140" w:firstLine="435"/>
        <w:spacing w:after="0" w:line="269" w:lineRule="auto"/>
        <w:rPr>
          <w:sz w:val="20"/>
          <w:szCs w:val="20"/>
          <w:color w:val="auto"/>
        </w:rPr>
      </w:pPr>
      <w:r>
        <w:rPr>
          <w:rFonts w:ascii="Times New Roman" w:cs="Times New Roman" w:eastAsia="Times New Roman" w:hAnsi="Times New Roman"/>
          <w:sz w:val="18"/>
          <w:szCs w:val="18"/>
          <w:color w:val="auto"/>
        </w:rPr>
        <w:t>As of December 31, 2023, the Company had approximately 655 employees, of which 654 were full-time and one was part-time. The Company believes that relations with its employees are good.</w:t>
      </w:r>
    </w:p>
    <w:p>
      <w:pPr>
        <w:spacing w:after="0" w:line="102" w:lineRule="exact"/>
        <w:rPr>
          <w:sz w:val="20"/>
          <w:szCs w:val="20"/>
          <w:color w:val="auto"/>
        </w:rPr>
      </w:pPr>
    </w:p>
    <w:p>
      <w:pPr>
        <w:ind w:right="160" w:firstLine="435"/>
        <w:spacing w:after="0" w:line="250" w:lineRule="auto"/>
        <w:rPr>
          <w:sz w:val="20"/>
          <w:szCs w:val="20"/>
          <w:color w:val="auto"/>
        </w:rPr>
      </w:pPr>
      <w:r>
        <w:rPr>
          <w:rFonts w:ascii="Times New Roman" w:cs="Times New Roman" w:eastAsia="Times New Roman" w:hAnsi="Times New Roman"/>
          <w:sz w:val="18"/>
          <w:szCs w:val="18"/>
          <w:color w:val="auto"/>
        </w:rPr>
        <w:t>The Company, with oversight from senior management and its Board of Directors, puts great effort into cultivating an inclusive company culture that attracts top talent and creates an environment that fosters collaboration, innovation and diversity, while providing professional development opportunities and training. The Company’s human capital objectives include, as applicable, identifying, recruiting, retaining, developing, incentivizing and integrating the Company’s existing and prospective employees. To further these objectives, the Company has established a number of policies and programs and undertaken various initiatives, including:</w:t>
      </w:r>
    </w:p>
    <w:p>
      <w:pPr>
        <w:spacing w:after="0" w:line="119" w:lineRule="exact"/>
        <w:rPr>
          <w:sz w:val="20"/>
          <w:szCs w:val="20"/>
          <w:color w:val="auto"/>
        </w:rPr>
      </w:pPr>
    </w:p>
    <w:p>
      <w:pPr>
        <w:ind w:right="240" w:firstLine="43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The Company recognizes the value in strengthening its workforce with diverse thought, ideas and people and maintains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policies that comply with federal, state and local labor laws. As an equal opportunity employer, it is committed to diversity, recognition and inclusion and rewards its employees based on merit and their contributions in accordance with the principles and requirements of the Equal Employment Opportunities Commission and the principles and requirements of the ADA. The Company’s policies set forth its commitment to provide equal employment opportunity and to recruit, hire and promote at all levels without regard to race, national origin, religion, age, color, sex, sexual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4" w:name="page15"/>
    <w:bookmarkEnd w:id="14"/>
    <w:p>
      <w:pPr>
        <w:ind w:right="60"/>
        <w:spacing w:after="0" w:line="248" w:lineRule="auto"/>
        <w:rPr>
          <w:sz w:val="20"/>
          <w:szCs w:val="20"/>
          <w:color w:val="auto"/>
        </w:rPr>
      </w:pPr>
      <w:r>
        <w:rPr>
          <w:rFonts w:ascii="Times New Roman" w:cs="Times New Roman" w:eastAsia="Times New Roman" w:hAnsi="Times New Roman"/>
          <w:sz w:val="18"/>
          <w:szCs w:val="18"/>
          <w:color w:val="auto"/>
        </w:rPr>
        <w:t>orientation, gender identity, disability, protected veteran status or any other characteristic protected by local, state or federal laws. As of December 31, 2023, approximately 58% of the Company’s employees identified as female. Of the total employee population, approximately 30% identified as belonging to an underrepresented group and approximately &lt;1% did not specify race or ethnicity. In addition to diversity across its employee base, the Company is also committed to increasing diversity in leadership positions. In 2023, 40% of individuals receiving promotions at the Vice President level identified as female. Additionally, in alignment with the Company’s long-term goal of building a pipeline of diverse future leaders, individuals identifying as female accounted for 89% of all promotions at the Assistant Vice President level and those identifying as female from underrepresented groups accounted for 22% of all promotions at the Assistant Vice President level in 2023.</w:t>
      </w:r>
    </w:p>
    <w:p>
      <w:pPr>
        <w:spacing w:after="0" w:line="108" w:lineRule="exact"/>
        <w:rPr>
          <w:sz w:val="20"/>
          <w:szCs w:val="20"/>
          <w:color w:val="auto"/>
        </w:rPr>
      </w:pPr>
    </w:p>
    <w:p>
      <w:pPr>
        <w:ind w:right="140" w:firstLine="43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The Company maintains cash- and equity-based compensation programs designed to attract, retain and motivate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employees. The Company offers full-time employees a strong benefits package, including:</w:t>
      </w:r>
    </w:p>
    <w:p>
      <w:pPr>
        <w:spacing w:after="0" w:line="101" w:lineRule="exact"/>
        <w:rPr>
          <w:sz w:val="20"/>
          <w:szCs w:val="20"/>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Company-matched retirement savings through tax-advantaged 401(k) plans;</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long-term disability insurance, as well as medical, dental and vision insurance;</w:t>
      </w:r>
    </w:p>
    <w:p>
      <w:pPr>
        <w:spacing w:after="0" w:line="135"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illness coverage and supplemental accident insurance;</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vacation, sick time and company observed holidays;</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and dependent care flexible spending accounts;</w:t>
      </w:r>
    </w:p>
    <w:p>
      <w:pPr>
        <w:spacing w:after="0" w:line="135"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referral bonus awards;</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legal, family or personal assistance through the employee assistance program;</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stock purchase program;</w:t>
      </w:r>
    </w:p>
    <w:p>
      <w:pPr>
        <w:spacing w:after="0" w:line="135"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tax-advantaged 529 educational savings program;</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scholarship program to help fund post high-school education for dependents of employees;</w:t>
      </w:r>
    </w:p>
    <w:p>
      <w:pPr>
        <w:spacing w:after="0" w:line="148" w:lineRule="exact"/>
        <w:rPr>
          <w:rFonts w:ascii="Times New Roman" w:cs="Times New Roman" w:eastAsia="Times New Roman" w:hAnsi="Times New Roman"/>
          <w:sz w:val="18"/>
          <w:szCs w:val="18"/>
          <w:color w:val="auto"/>
        </w:rPr>
      </w:pPr>
    </w:p>
    <w:p>
      <w:pPr>
        <w:ind w:left="960" w:right="200" w:hanging="322"/>
        <w:spacing w:after="0" w:line="269"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Company-sponsored donor advised fund to support philanthropic efforts of employees, which provides a Company matching program and paid time off program for philanthropic volunteerism;</w:t>
      </w:r>
    </w:p>
    <w:p>
      <w:pPr>
        <w:spacing w:after="0" w:line="89"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for volunteer efforts; and</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for employees to bond with a new child.</w:t>
      </w:r>
    </w:p>
    <w:p>
      <w:pPr>
        <w:spacing w:after="0" w:line="147" w:lineRule="exact"/>
        <w:rPr>
          <w:sz w:val="20"/>
          <w:szCs w:val="20"/>
          <w:color w:val="auto"/>
        </w:rPr>
      </w:pPr>
    </w:p>
    <w:p>
      <w:pPr>
        <w:ind w:firstLine="43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Employee Training and Professional Development: </w:t>
      </w:r>
      <w:r>
        <w:rPr>
          <w:rFonts w:ascii="Times New Roman" w:cs="Times New Roman" w:eastAsia="Times New Roman" w:hAnsi="Times New Roman"/>
          <w:sz w:val="18"/>
          <w:szCs w:val="18"/>
          <w:color w:val="auto"/>
        </w:rPr>
        <w:t>The Company values the professional development of its employees and seeks to foster their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growth by providing training and education at all levels. In addition to training programs geared towards specific job functions, the Company offers training related to company policies, diversity, skill development, privacy and cybersecurity. In furtherance of the value it places on talent development, in 2023 the Company implemented a unified platform available to all employees that supports training and education related to compliance, inclusion and professional development. As of December 31, 2023, the average tenure of the Company’s employees was approximately 10.8 years and that of the Company’s senior management was 20.6 years. In 2023, the Company’s workforce turnover rate was 14%, which includes all employees.</w:t>
      </w:r>
    </w:p>
    <w:p>
      <w:pPr>
        <w:spacing w:after="0" w:line="108" w:lineRule="exact"/>
        <w:rPr>
          <w:sz w:val="20"/>
          <w:szCs w:val="20"/>
          <w:color w:val="auto"/>
        </w:rPr>
      </w:pPr>
    </w:p>
    <w:p>
      <w:pPr>
        <w:ind w:right="20" w:firstLine="43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Employee Health and Safety: </w:t>
      </w:r>
      <w:r>
        <w:rPr>
          <w:rFonts w:ascii="Times New Roman" w:cs="Times New Roman" w:eastAsia="Times New Roman" w:hAnsi="Times New Roman"/>
          <w:sz w:val="18"/>
          <w:szCs w:val="18"/>
          <w:color w:val="auto"/>
        </w:rPr>
        <w:t>The Company is also committed to ensuring that the operations at all of its Centers and corporate offices are conducted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that safeguards the health and safety of employees, tenants, contractors, customers and members of the public who are either present at, or affected by, its operations. The Company has implemented a long list of operational protocols at each of its Centers and its offices that are designed to ensure the safety of its employees, tenants, service providers and shoppers.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38" w:lineRule="exact"/>
        <w:rPr>
          <w:sz w:val="20"/>
          <w:szCs w:val="20"/>
          <w:color w:val="auto"/>
        </w:rPr>
      </w:pPr>
    </w:p>
    <w:p>
      <w:pPr>
        <w:ind w:right="220" w:firstLine="435"/>
        <w:spacing w:after="0" w:line="303" w:lineRule="auto"/>
        <w:rPr>
          <w:sz w:val="20"/>
          <w:szCs w:val="20"/>
          <w:color w:val="auto"/>
        </w:rPr>
      </w:pPr>
      <w:r>
        <w:rPr>
          <w:rFonts w:ascii="Times New Roman" w:cs="Times New Roman" w:eastAsia="Times New Roman" w:hAnsi="Times New Roman"/>
          <w:sz w:val="16"/>
          <w:szCs w:val="16"/>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A recognized leader in sustainability, the Company has achieved the #1 GRESB ranking in the North American Retail Sector for nine straight years 2015</w:t>
      </w:r>
    </w:p>
    <w:p>
      <w:pPr>
        <w:spacing w:after="0" w:line="44" w:lineRule="exact"/>
        <w:rPr>
          <w:sz w:val="20"/>
          <w:szCs w:val="20"/>
          <w:color w:val="auto"/>
        </w:rPr>
      </w:pPr>
    </w:p>
    <w:p>
      <w:pPr>
        <w:ind w:right="520"/>
        <w:spacing w:after="0" w:line="245" w:lineRule="auto"/>
        <w:rPr>
          <w:sz w:val="20"/>
          <w:szCs w:val="20"/>
          <w:color w:val="auto"/>
        </w:rPr>
      </w:pPr>
      <w:r>
        <w:rPr>
          <w:rFonts w:ascii="Times New Roman" w:cs="Times New Roman" w:eastAsia="Times New Roman" w:hAnsi="Times New Roman"/>
          <w:sz w:val="18"/>
          <w:szCs w:val="18"/>
          <w:color w:val="auto"/>
        </w:rPr>
        <w:t xml:space="preserve">– 2023. A copy of the Company's Corporate Responsibility Report, as well as additional information about the Company’s Environmental, Social and Governance programs can be obtained from the Company's website at </w:t>
      </w:r>
      <w:r>
        <w:rPr>
          <w:rFonts w:ascii="Times New Roman" w:cs="Times New Roman" w:eastAsia="Times New Roman" w:hAnsi="Times New Roman"/>
          <w:sz w:val="18"/>
          <w:szCs w:val="18"/>
          <w:i w:val="1"/>
          <w:iCs w:val="1"/>
          <w:u w:val="single" w:color="auto"/>
          <w:color w:val="auto"/>
        </w:rPr>
        <w:t>www.macerich.com</w:t>
      </w:r>
      <w:r>
        <w:rPr>
          <w:rFonts w:ascii="Times New Roman" w:cs="Times New Roman" w:eastAsia="Times New Roman" w:hAnsi="Times New Roman"/>
          <w:sz w:val="18"/>
          <w:szCs w:val="18"/>
          <w:color w:val="auto"/>
        </w:rPr>
        <w:t xml:space="preserve"> under "Investors—Corporate Responsibility". Copies of the Company's sustainability policies and ESG commitments are also available on the Company's website at </w:t>
      </w:r>
      <w:r>
        <w:rPr>
          <w:rFonts w:ascii="Times New Roman" w:cs="Times New Roman" w:eastAsia="Times New Roman" w:hAnsi="Times New Roman"/>
          <w:sz w:val="18"/>
          <w:szCs w:val="18"/>
          <w:i w:val="1"/>
          <w:iCs w:val="1"/>
          <w:u w:val="single" w:color="auto"/>
          <w:color w:val="auto"/>
        </w:rPr>
        <w:t>www.macerich.com</w:t>
      </w:r>
      <w:r>
        <w:rPr>
          <w:rFonts w:ascii="Times New Roman" w:cs="Times New Roman" w:eastAsia="Times New Roman" w:hAnsi="Times New Roman"/>
          <w:sz w:val="18"/>
          <w:szCs w:val="18"/>
          <w:color w:val="auto"/>
        </w:rPr>
        <w:t xml:space="preserve"> under "Investors-Corporate Governance". Information provided on the Company's website is not incorporated by reference into this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Website Disclosure; Corporate Governance Documents</w:t>
      </w:r>
    </w:p>
    <w:p>
      <w:pPr>
        <w:spacing w:after="0" w:line="149" w:lineRule="exact"/>
        <w:rPr>
          <w:sz w:val="20"/>
          <w:szCs w:val="20"/>
          <w:color w:val="auto"/>
        </w:rPr>
      </w:pPr>
    </w:p>
    <w:p>
      <w:pPr>
        <w:ind w:right="120" w:firstLine="435"/>
        <w:spacing w:after="0" w:line="251" w:lineRule="auto"/>
        <w:rPr>
          <w:sz w:val="20"/>
          <w:szCs w:val="20"/>
          <w:color w:val="auto"/>
        </w:rPr>
      </w:pPr>
      <w:r>
        <w:rPr>
          <w:rFonts w:ascii="Times New Roman" w:cs="Times New Roman" w:eastAsia="Times New Roman" w:hAnsi="Times New Roman"/>
          <w:sz w:val="18"/>
          <w:szCs w:val="18"/>
          <w:color w:val="auto"/>
        </w:rPr>
        <w:t xml:space="preserve">The Company's corporate website address is </w:t>
      </w:r>
      <w:r>
        <w:rPr>
          <w:rFonts w:ascii="Times New Roman" w:cs="Times New Roman" w:eastAsia="Times New Roman" w:hAnsi="Times New Roman"/>
          <w:sz w:val="18"/>
          <w:szCs w:val="18"/>
          <w:i w:val="1"/>
          <w:iCs w:val="1"/>
          <w:u w:val="single" w:color="auto"/>
          <w:color w:val="auto"/>
        </w:rPr>
        <w:t>www.macerich.com</w:t>
      </w:r>
      <w:r>
        <w:rPr>
          <w:rFonts w:ascii="Times New Roman" w:cs="Times New Roman" w:eastAsia="Times New Roman" w:hAnsi="Times New Roman"/>
          <w:sz w:val="18"/>
          <w:szCs w:val="18"/>
          <w:color w:val="auto"/>
        </w:rPr>
        <w:t xml:space="preserve">. The Company makes available free-of-charge through this website its reports on Forms 10-K, 10-Q and 8-K and all amendments thereto, as soon as reasonably practicable after the reports have been filed with, or furnished to, the SEC. These reports are available under the heading "Investors—Financial Information—SEC Filings", through a free hyperlink to a third-party service. Information provided on the Company's website is not incorporated by reference into this Form 10-K. The following documents relating to Corporate Governance are available on the Company's website at </w:t>
      </w:r>
      <w:r>
        <w:rPr>
          <w:rFonts w:ascii="Times New Roman" w:cs="Times New Roman" w:eastAsia="Times New Roman" w:hAnsi="Times New Roman"/>
          <w:sz w:val="18"/>
          <w:szCs w:val="18"/>
          <w:i w:val="1"/>
          <w:iCs w:val="1"/>
          <w:u w:val="single" w:color="auto"/>
          <w:color w:val="auto"/>
        </w:rPr>
        <w:t>www.macerich.com</w:t>
      </w:r>
      <w:r>
        <w:rPr>
          <w:rFonts w:ascii="Times New Roman" w:cs="Times New Roman" w:eastAsia="Times New Roman" w:hAnsi="Times New Roman"/>
          <w:sz w:val="18"/>
          <w:szCs w:val="18"/>
          <w:color w:val="auto"/>
        </w:rPr>
        <w:t xml:space="preserve"> under "Investors—Corporate Governance":</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Guidelines on Corporate Governance</w:t>
      </w:r>
    </w:p>
    <w:p>
      <w:pPr>
        <w:spacing w:after="0" w:line="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Code of Business Conduct and Ethics</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Code of Ethics for CEO and Senior Financial Officers</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Audit Committee Charter</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Compensation Committee Charter</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Executive Committee Charter</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Nominating and Corporate Governance Committee Charter</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also request copies of any of these documents by writing to:</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Attention: Corporate Secretary</w:t>
      </w:r>
    </w:p>
    <w:p>
      <w:pPr>
        <w:spacing w:after="0" w:line="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The Macerich Company</w:t>
      </w:r>
    </w:p>
    <w:p>
      <w:pPr>
        <w:ind w:left="1280"/>
        <w:spacing w:after="0"/>
        <w:rPr>
          <w:sz w:val="20"/>
          <w:szCs w:val="20"/>
          <w:color w:val="auto"/>
        </w:rPr>
      </w:pPr>
      <w:r>
        <w:rPr>
          <w:rFonts w:ascii="Times New Roman" w:cs="Times New Roman" w:eastAsia="Times New Roman" w:hAnsi="Times New Roman"/>
          <w:sz w:val="16"/>
          <w:szCs w:val="16"/>
          <w:color w:val="auto"/>
        </w:rPr>
        <w:t>401 Wilshire Blvd., Suite 700</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Santa Monica, CA 90401</w:t>
      </w:r>
    </w:p>
    <w:p>
      <w:pPr>
        <w:spacing w:after="0" w:line="1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22" w:lineRule="exact"/>
        <w:rPr>
          <w:sz w:val="20"/>
          <w:szCs w:val="20"/>
          <w:color w:val="auto"/>
        </w:rPr>
      </w:pPr>
    </w:p>
    <w:p>
      <w:pPr>
        <w:ind w:firstLine="632"/>
        <w:spacing w:after="0" w:line="236"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investors and they should be carefully considered. Those risks are not all of the risks we face, and other factors not presently known to us or that we currently believe are immaterial may also affect our business if they occur. This section contains forward-looking statements. You should refer to the explanation of the qualifications and limitations on forward-looking statements in “Important Factors Related To Forward-Looking Statements.” For purposes of this “Risk Factors” section, Centers wholly owned by us are referred to as “Wholly Owned Centers” and Centers that are partly but not wholly owned by us are referred to as “Joint Venture Centers.”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PROPERTIES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invest primarily in shopping centers, which are subject to a number of significant risks that are beyond our control</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260" w:firstLine="632"/>
        <w:spacing w:after="0" w:line="256" w:lineRule="auto"/>
        <w:rPr>
          <w:sz w:val="20"/>
          <w:szCs w:val="20"/>
          <w:color w:val="auto"/>
        </w:rPr>
      </w:pPr>
      <w:r>
        <w:rPr>
          <w:rFonts w:ascii="Times New Roman" w:cs="Times New Roman" w:eastAsia="Times New Roman" w:hAnsi="Times New Roman"/>
          <w:sz w:val="18"/>
          <w:szCs w:val="18"/>
          <w:color w:val="auto"/>
        </w:rPr>
        <w:t>Real property investments are subject to varying degrees of risk that may affect the ability of our Centers to generate sufficient revenues to meet operating and other expenses, including debt service, lease payments, capital expenditures and tenant improvements, and to make distributions to us and our stockholders. A number of factors may decrease the income generated by the Centers, including:</w:t>
      </w:r>
    </w:p>
    <w:p>
      <w:pPr>
        <w:spacing w:after="0" w:line="115" w:lineRule="exact"/>
        <w:rPr>
          <w:sz w:val="20"/>
          <w:szCs w:val="20"/>
          <w:color w:val="auto"/>
        </w:rPr>
      </w:pPr>
    </w:p>
    <w:p>
      <w:pPr>
        <w:ind w:left="940" w:hanging="302"/>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national economic climate, including the impact of geopolitical tensions and military conflict;</w:t>
      </w:r>
    </w:p>
    <w:p>
      <w:pPr>
        <w:spacing w:after="0" w:line="135" w:lineRule="exact"/>
        <w:rPr>
          <w:rFonts w:ascii="Times New Roman" w:cs="Times New Roman" w:eastAsia="Times New Roman" w:hAnsi="Times New Roman"/>
          <w:sz w:val="18"/>
          <w:szCs w:val="18"/>
          <w:color w:val="auto"/>
        </w:rPr>
      </w:pPr>
    </w:p>
    <w:p>
      <w:pPr>
        <w:ind w:left="960" w:right="100" w:hanging="322"/>
        <w:spacing w:after="0" w:line="332" w:lineRule="auto"/>
        <w:tabs>
          <w:tab w:leader="none" w:pos="95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regional and local economy (which may be negatively impacted by rising unemployment, declining real estate values, increased foreclosures, higher taxes, plant closings, industry slowdowns, union activity, adverse weather conditions, natural disasters and other factors);</w:t>
      </w:r>
    </w:p>
    <w:p>
      <w:pPr>
        <w:spacing w:after="0" w:line="57" w:lineRule="exact"/>
        <w:rPr>
          <w:rFonts w:ascii="Times New Roman" w:cs="Times New Roman" w:eastAsia="Times New Roman" w:hAnsi="Times New Roman"/>
          <w:sz w:val="16"/>
          <w:szCs w:val="16"/>
          <w:color w:val="auto"/>
        </w:rPr>
      </w:pPr>
    </w:p>
    <w:p>
      <w:pPr>
        <w:ind w:left="960" w:right="60" w:hanging="322"/>
        <w:spacing w:after="0" w:line="26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real estate conditions (such as an oversupply of, or a reduction in demand for, retail space or retail goods, decreases in rental rates, declining real estate values and the availability and creditworthiness of current and prospective tenants);</w:t>
      </w:r>
    </w:p>
    <w:p>
      <w:pPr>
        <w:spacing w:after="0" w:line="102" w:lineRule="exact"/>
        <w:rPr>
          <w:rFonts w:ascii="Times New Roman" w:cs="Times New Roman" w:eastAsia="Times New Roman" w:hAnsi="Times New Roman"/>
          <w:sz w:val="18"/>
          <w:szCs w:val="18"/>
          <w:color w:val="auto"/>
        </w:rPr>
      </w:pPr>
    </w:p>
    <w:p>
      <w:pPr>
        <w:ind w:left="960" w:right="180" w:hanging="322"/>
        <w:spacing w:after="0" w:line="332" w:lineRule="auto"/>
        <w:tabs>
          <w:tab w:leader="none" w:pos="95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behaviors, preferences or demographics, which may lead to decreased levels of consumer spending, consumer confidence, and seasonal spending (especially during the holiday season when many retailers generate a disproportionate amount of their annual sales);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6" w:name="page17"/>
    <w:bookmarkEnd w:id="16"/>
    <w:p>
      <w:pPr>
        <w:ind w:left="940" w:hanging="302"/>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by customers of e-commerce and online store sites and the impact of internet sales on the demand for retail space;</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perceptions by retailers or shoppers of the safety, convenience and attractiveness of a Center;</w:t>
      </w:r>
    </w:p>
    <w:p>
      <w:pPr>
        <w:spacing w:after="0" w:line="135"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violence, including terrorist activities; and</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maintenance, insurance and operations (including real estate taxes).</w:t>
      </w:r>
    </w:p>
    <w:p>
      <w:pPr>
        <w:spacing w:after="0" w:line="136" w:lineRule="exact"/>
        <w:rPr>
          <w:sz w:val="20"/>
          <w:szCs w:val="20"/>
          <w:color w:val="auto"/>
        </w:rPr>
      </w:pPr>
    </w:p>
    <w:p>
      <w:pPr>
        <w:ind w:firstLine="632"/>
        <w:spacing w:after="0" w:line="254" w:lineRule="auto"/>
        <w:rPr>
          <w:sz w:val="20"/>
          <w:szCs w:val="20"/>
          <w:color w:val="auto"/>
        </w:rPr>
      </w:pPr>
      <w:r>
        <w:rPr>
          <w:rFonts w:ascii="Times New Roman" w:cs="Times New Roman" w:eastAsia="Times New Roman" w:hAnsi="Times New Roman"/>
          <w:sz w:val="18"/>
          <w:szCs w:val="18"/>
          <w:color w:val="auto"/>
        </w:rPr>
        <w:t>Income from shopping center properties and shopping center values are also affected by applicable laws and regulations, including tax, environmental, safety and zoning laws.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percentage of our Centers are geographically concentrated and, as a result, are sensitive to local economic and real estate conditions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firstLine="632"/>
        <w:spacing w:after="0" w:line="256" w:lineRule="auto"/>
        <w:rPr>
          <w:sz w:val="20"/>
          <w:szCs w:val="20"/>
          <w:color w:val="auto"/>
        </w:rPr>
      </w:pPr>
      <w:r>
        <w:rPr>
          <w:rFonts w:ascii="Times New Roman" w:cs="Times New Roman" w:eastAsia="Times New Roman" w:hAnsi="Times New Roman"/>
          <w:sz w:val="18"/>
          <w:szCs w:val="18"/>
          <w:color w:val="auto"/>
        </w:rPr>
        <w:t>A significant percentage of our Centers are located in California, New York and Arizona. To the extent that weak economic or real estate conditions or other factors affect California, New York and Arizona or any region in which we have a high concentration of properties more severely than other areas of the country, our financial performance could be negatively impacted.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a competitive business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40" w:firstLine="632"/>
        <w:spacing w:after="0" w:line="250" w:lineRule="auto"/>
        <w:rPr>
          <w:sz w:val="20"/>
          <w:szCs w:val="20"/>
          <w:color w:val="auto"/>
        </w:rPr>
      </w:pPr>
      <w:r>
        <w:rPr>
          <w:rFonts w:ascii="Times New Roman" w:cs="Times New Roman" w:eastAsia="Times New Roman" w:hAnsi="Times New Roman"/>
          <w:sz w:val="18"/>
          <w:szCs w:val="18"/>
          <w:color w:val="auto"/>
        </w:rPr>
        <w:t>Our properties compete with other owners, developers and managers of malls, shopping centers and other retail-oriented real estate, including other publicly traded mall companies and large private mall companies, for the acquisition of properties and in attracting tenants or Anchors to occupy space. Competition for property acquisitions may result in increased purchase prices and may adversely affect our ability to make suitable property acquisitions on favorable terms or at all. The existence of competing shopping centers could have a material adverse impact on our ability to lease space and on the rental rates that can be achieved.</w:t>
      </w:r>
    </w:p>
    <w:p>
      <w:pPr>
        <w:spacing w:after="0" w:line="121" w:lineRule="exact"/>
        <w:rPr>
          <w:sz w:val="20"/>
          <w:szCs w:val="20"/>
          <w:color w:val="auto"/>
        </w:rPr>
      </w:pPr>
    </w:p>
    <w:p>
      <w:pPr>
        <w:ind w:right="80" w:firstLine="632"/>
        <w:spacing w:after="0" w:line="249" w:lineRule="auto"/>
        <w:rPr>
          <w:sz w:val="20"/>
          <w:szCs w:val="20"/>
          <w:color w:val="auto"/>
        </w:rPr>
      </w:pPr>
      <w:r>
        <w:rPr>
          <w:rFonts w:ascii="Times New Roman" w:cs="Times New Roman" w:eastAsia="Times New Roman" w:hAnsi="Times New Roman"/>
          <w:sz w:val="18"/>
          <w:szCs w:val="18"/>
          <w:color w:val="auto"/>
        </w:rPr>
        <w:t>There is also increasing competition for tenants and shoppers from other retail formats and technologies, such as lifestyle centers, power centers, outlet centers and online retail shopping that could adversely affect our revenues. The increased popularity of digital and mobile technologies has accelerated the transition of a percentage of market share from shopping at physical stores to web-based shopping. If we are unsuccessful in adapting our business to evolving consumer purchasing habits it may have a material adverse impact on our financial condition and results of operations. Further, the increase in online retail shopping has resulted in, and will continue to result in, the closure of underperforming stores by retailers, which, if sustained, could impact our occupancy levels and the rates that tenants are willing to pay to lease our space.</w:t>
      </w:r>
    </w:p>
    <w:p>
      <w:pPr>
        <w:spacing w:after="0" w:line="9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renew leases, lease vacant space or re-let space as leases expire on favorable terms or at all, or to the appropriate mix of tenants for the Centers, which could adversely affect our financial condition and results of operations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right="20" w:firstLine="632"/>
        <w:spacing w:after="0" w:line="250" w:lineRule="auto"/>
        <w:rPr>
          <w:sz w:val="20"/>
          <w:szCs w:val="20"/>
          <w:color w:val="auto"/>
        </w:rPr>
      </w:pPr>
      <w:r>
        <w:rPr>
          <w:rFonts w:ascii="Times New Roman" w:cs="Times New Roman" w:eastAsia="Times New Roman" w:hAnsi="Times New Roman"/>
          <w:sz w:val="18"/>
          <w:szCs w:val="18"/>
          <w:color w:val="auto"/>
        </w:rPr>
        <w:t>There are no assurances that our leases will be renewed or that vacant space in our Centers will be re-let at net effective rental rates equal to or above the current average net effective rental rates or that substantial rent abatements, tenant improvements, early termination rights or below-market renewal options will not be offered to attract new tenants or retain existing tenants. If the rental rates at our Centers decrease, if our existing tenants do not renew their leases or if we do not re-let a significant portion of our available space and space for which leases will expire, our financial condition and results of operations could be adversely affected.</w:t>
      </w:r>
    </w:p>
    <w:p>
      <w:pPr>
        <w:spacing w:after="0" w:line="121" w:lineRule="exact"/>
        <w:rPr>
          <w:sz w:val="20"/>
          <w:szCs w:val="20"/>
          <w:color w:val="auto"/>
        </w:rPr>
      </w:pPr>
    </w:p>
    <w:p>
      <w:pPr>
        <w:ind w:right="600" w:firstLine="632"/>
        <w:spacing w:after="0" w:line="256" w:lineRule="auto"/>
        <w:rPr>
          <w:sz w:val="20"/>
          <w:szCs w:val="20"/>
          <w:color w:val="auto"/>
        </w:rPr>
      </w:pPr>
      <w:r>
        <w:rPr>
          <w:rFonts w:ascii="Times New Roman" w:cs="Times New Roman" w:eastAsia="Times New Roman" w:hAnsi="Times New Roman"/>
          <w:sz w:val="18"/>
          <w:szCs w:val="18"/>
          <w:color w:val="auto"/>
        </w:rPr>
        <w:t>Additionally, if we fail to identify and secure the right blend of tenants at our retail and mixed-use properties, including our properties under development or redevelopment, our Centers may not appeal to the communities they are intended to serve, which could reduce customer traffic and the operations of our tenants and adversely affect our financial condition and results of operations.</w:t>
      </w:r>
    </w:p>
    <w:p>
      <w:pPr>
        <w:spacing w:after="0" w:line="8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Anchors or other significant tenants experience a downturn in their business, close or sell stores or declare bankruptcy, our financial condition and results of operations could be adversely affected</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right="200" w:firstLine="632"/>
        <w:spacing w:after="0" w:line="248" w:lineRule="auto"/>
        <w:rPr>
          <w:sz w:val="20"/>
          <w:szCs w:val="20"/>
          <w:color w:val="auto"/>
        </w:rPr>
      </w:pPr>
      <w:r>
        <w:rPr>
          <w:rFonts w:ascii="Times New Roman" w:cs="Times New Roman" w:eastAsia="Times New Roman" w:hAnsi="Times New Roman"/>
          <w:sz w:val="18"/>
          <w:szCs w:val="18"/>
          <w:color w:val="auto"/>
        </w:rPr>
        <w:t>Our financial condition and results of operations could be adversely affected if a downturn in the business of, or the bankruptcy or insolvency of, an Anchor or other significant tenant leads them to close retail stores or terminate their leases after seeking protection under the bankruptcy laws from their creditors, including us as lessor. In recent years, including as a result of the general conditions caused by economic uncertainty in the U.S., a number of companies in the retail industry, including some of our tenants, have declared bankruptcy, have gone out of business, have significantly reduced their brick-and-mortar presence or failed to comply with their contractual obligations to us and others. If one of our tenants files for bankruptcy, we may not be able to collect amounts owed by that party prior to filing for bankruptcy. We may make lease modifications either pre- or post-bankruptcy for certain tenants undergoing significant financial distress in order for them to continue as a going concern. 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33" w:right="359" w:bottom="1440" w:gutter="0" w:footer="0" w:header="0"/>
        </w:sectPr>
      </w:pPr>
    </w:p>
    <w:bookmarkStart w:id="17" w:name="page18"/>
    <w:bookmarkEnd w:id="17"/>
    <w:p>
      <w:pPr>
        <w:ind w:right="100"/>
        <w:spacing w:after="0" w:line="250" w:lineRule="auto"/>
        <w:rPr>
          <w:sz w:val="20"/>
          <w:szCs w:val="20"/>
          <w:color w:val="auto"/>
        </w:rPr>
      </w:pPr>
      <w:r>
        <w:rPr>
          <w:rFonts w:ascii="Times New Roman" w:cs="Times New Roman" w:eastAsia="Times New Roman" w:hAnsi="Times New Roman"/>
          <w:sz w:val="18"/>
          <w:szCs w:val="18"/>
          <w:color w:val="auto"/>
        </w:rPr>
        <w:t>addition, after filing for bankruptcy, a tenant may terminate any or all of its leases with us, in which event we would have a general unsecured claim against such tenant that would likely be worth less than the full amount owed to us for the remainder of the lease term. Furthermore, we may be required to incur significant expense in re-letting the space vacated by a bankrupt tenant and may not be able to release the space on similar terms or at all. The bankruptcy of a tenant, particularly an Anchor, may require a substantial redevelopment of their space, the success of which cannot be assured, and may make the re-letting of their space difficult and costly, and it may also be difficult to lease the remainder of the space at the affected property.</w:t>
      </w:r>
    </w:p>
    <w:p>
      <w:pPr>
        <w:spacing w:after="0" w:line="121"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Furthermore, certain department stores and other national retailers have experienced, and may continue to experience, decreases in customer traffic in their retail stores, increased competition from alternative retail options such as e-commerce and other forms of pressure on their business models. If the in-store sales of retailers operating at our Centers decline significantly due to adverse economic conditions or for any other reason, tenants might be unable to pay their minimum rents or expense recovery charges. In the event of a default by a lessee, the affected Center may experience delays and costs in enforcing its rights as lessor.</w:t>
      </w:r>
    </w:p>
    <w:p>
      <w:pPr>
        <w:spacing w:after="0" w:line="108" w:lineRule="exact"/>
        <w:rPr>
          <w:sz w:val="20"/>
          <w:szCs w:val="20"/>
          <w:color w:val="auto"/>
        </w:rPr>
      </w:pPr>
    </w:p>
    <w:p>
      <w:pPr>
        <w:ind w:right="160" w:firstLine="632"/>
        <w:spacing w:after="0" w:line="289" w:lineRule="auto"/>
        <w:rPr>
          <w:sz w:val="20"/>
          <w:szCs w:val="20"/>
          <w:color w:val="auto"/>
        </w:rPr>
      </w:pPr>
      <w:r>
        <w:rPr>
          <w:rFonts w:ascii="Times New Roman" w:cs="Times New Roman" w:eastAsia="Times New Roman" w:hAnsi="Times New Roman"/>
          <w:sz w:val="16"/>
          <w:szCs w:val="16"/>
          <w:color w:val="auto"/>
        </w:rPr>
        <w:t>Anchors and/or tenants at one or more Centers might also terminate their leases as a result of mergers, acquisitions, consolidations or dispositions in the retail industry. The sale of an Anchor or store to a less desirable retailer may reduce occupancy levels, customer traffic and rental income. Depending on economic conditions, there is also a risk that Anchors or other significant tenants may sell stores operating in our Centers or consolidate duplicate or geographically overlapping store locations. Store closures by an Anchor and/or a significant number of tenants may allow other Anchors and/or certain other tenants to terminate their leases, receive reduced rent and/or cease operating their stores at the Center or otherwise adversely affect occupancy at the Center.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acquisition, development and redevelopment strategies may not be successful</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60" w:firstLine="632"/>
        <w:spacing w:after="0" w:line="282" w:lineRule="auto"/>
        <w:rPr>
          <w:sz w:val="20"/>
          <w:szCs w:val="20"/>
          <w:color w:val="auto"/>
        </w:rPr>
      </w:pPr>
      <w:r>
        <w:rPr>
          <w:rFonts w:ascii="Times New Roman" w:cs="Times New Roman" w:eastAsia="Times New Roman" w:hAnsi="Times New Roman"/>
          <w:sz w:val="16"/>
          <w:szCs w:val="16"/>
          <w:color w:val="auto"/>
        </w:rPr>
        <w:t>Our historical growth in revenues, net income and funds from operations has been in part tied to the acquisition, development and redevelopment of shopping centers. Many factors, including the availability and cost of capital, our total amount of debt outstanding, our ability to obtain financing on attractive terms, if at all, interest rates and the availability of attractive acquisition targets, among others, will affect our ability to acquire, develop and redevelop additional properties in the future. We may not be successful in pursuing acquisition opportunities, and newly acquired properties may not perform as well as expected. Expenses arising from our efforts to complete acquisitions, develop and redevelop properties or increase our market penetration may have a material adverse effect on our business, financial condition and results of operations. We face competition for acquisitions primarily from other REITs, as well as from private real estate companies or investors. Some of our competitors have greater financial and other resources. Increased competition for shopping center acquisitions may result in increased purchase prices and may adversely impact our ability to acquire additional properties on favorable terms, or at all. We cannot guarantee that we will be able to implement our growth strategy successfully or manage our expanded operations effectively and profitably.</w:t>
      </w:r>
    </w:p>
    <w:p>
      <w:pPr>
        <w:spacing w:after="0" w:line="96" w:lineRule="exact"/>
        <w:rPr>
          <w:sz w:val="20"/>
          <w:szCs w:val="20"/>
          <w:color w:val="auto"/>
        </w:rPr>
      </w:pPr>
    </w:p>
    <w:p>
      <w:pPr>
        <w:ind w:right="600" w:firstLine="632"/>
        <w:spacing w:after="0" w:line="269" w:lineRule="auto"/>
        <w:rPr>
          <w:sz w:val="20"/>
          <w:szCs w:val="20"/>
          <w:color w:val="auto"/>
        </w:rPr>
      </w:pPr>
      <w:r>
        <w:rPr>
          <w:rFonts w:ascii="Times New Roman" w:cs="Times New Roman" w:eastAsia="Times New Roman" w:hAnsi="Times New Roman"/>
          <w:sz w:val="18"/>
          <w:szCs w:val="18"/>
          <w:color w:val="auto"/>
        </w:rPr>
        <w:t>We may not be able to achieve the anticipated financial and operating results from newly acquired assets. Some of the factors that could affect anticipated results are:</w:t>
      </w:r>
    </w:p>
    <w:p>
      <w:pPr>
        <w:spacing w:after="0" w:line="89" w:lineRule="exact"/>
        <w:rPr>
          <w:sz w:val="20"/>
          <w:szCs w:val="20"/>
          <w:color w:val="auto"/>
        </w:rPr>
      </w:pPr>
    </w:p>
    <w:p>
      <w:pPr>
        <w:ind w:left="940" w:hanging="30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manage new properties, including increasing occupancy rates and rents at such properties;</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non-core assets within an expected time frame; and</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long-term financing to implement a capital structure at a cost of capital consistent with our business strategy.</w:t>
      </w:r>
    </w:p>
    <w:p>
      <w:pPr>
        <w:spacing w:after="0" w:line="136" w:lineRule="exact"/>
        <w:rPr>
          <w:sz w:val="20"/>
          <w:szCs w:val="20"/>
          <w:color w:val="auto"/>
        </w:rPr>
      </w:pPr>
    </w:p>
    <w:p>
      <w:pPr>
        <w:ind w:right="100" w:firstLine="632"/>
        <w:spacing w:after="0" w:line="247" w:lineRule="auto"/>
        <w:rPr>
          <w:sz w:val="20"/>
          <w:szCs w:val="20"/>
          <w:color w:val="auto"/>
        </w:rPr>
      </w:pPr>
      <w:r>
        <w:rPr>
          <w:rFonts w:ascii="Times New Roman" w:cs="Times New Roman" w:eastAsia="Times New Roman" w:hAnsi="Times New Roman"/>
          <w:sz w:val="18"/>
          <w:szCs w:val="18"/>
          <w:color w:val="auto"/>
        </w:rPr>
        <w:t>Our business strategy also includes the selective development and construction of retail properties. On a selective basis, our business strategy may include mixed-use densification to maximize space at our Regional Town Centers, including by developing available land at our Regional Town Centers or by demolishing underperforming department store boxes and redeveloping the land. Any development, redevelopment and construction activities that we may undertake will be subject to the risks of real estate development, including lack of financing, construction delays, environmental requirements, rising construction costs, budget overruns, sunk costs and lease-up. Furthermore, occupancy rates and rents at a newly completed property may not be sufficient to make the property profitable. Real estate development activities are also subject to risks relating to the inability to obtain, or delays in obtaining, all necessary zoning, land-use, building, and occupancy and other required governmental permits and authorizations. If any of the above events occur, our ability to pay dividends to our stockholders and service our indebtedness could be adversely affected.</w:t>
      </w:r>
    </w:p>
    <w:p>
      <w:pPr>
        <w:spacing w:after="0" w:line="127" w:lineRule="exact"/>
        <w:rPr>
          <w:sz w:val="20"/>
          <w:szCs w:val="20"/>
          <w:color w:val="auto"/>
        </w:rPr>
      </w:pPr>
    </w:p>
    <w:p>
      <w:pPr>
        <w:ind w:right="180" w:firstLine="632"/>
        <w:spacing w:after="0" w:line="256" w:lineRule="auto"/>
        <w:rPr>
          <w:sz w:val="20"/>
          <w:szCs w:val="20"/>
          <w:color w:val="auto"/>
        </w:rPr>
      </w:pPr>
      <w:r>
        <w:rPr>
          <w:rFonts w:ascii="Times New Roman" w:cs="Times New Roman" w:eastAsia="Times New Roman" w:hAnsi="Times New Roman"/>
          <w:sz w:val="18"/>
          <w:szCs w:val="18"/>
          <w:color w:val="auto"/>
        </w:rPr>
        <w:t>Additionally, if we elect to pursue a “mixed-use” redevelopment, we expose ourselves to risks associated with each non-retail use (e.g., office, residential, hotel and entertainment), and the performance of our retail tenants in such properties may be negatively impacted by delays in opening and/or the performance of such non-retail uses. We have less experience 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bookmarkStart w:id="18" w:name="page19"/>
    <w:bookmarkEnd w:id="18"/>
    <w:p>
      <w:pPr>
        <w:ind w:right="40"/>
        <w:spacing w:after="0" w:line="247" w:lineRule="auto"/>
        <w:rPr>
          <w:sz w:val="20"/>
          <w:szCs w:val="20"/>
          <w:color w:val="auto"/>
        </w:rPr>
      </w:pPr>
      <w:r>
        <w:rPr>
          <w:rFonts w:ascii="Times New Roman" w:cs="Times New Roman" w:eastAsia="Times New Roman" w:hAnsi="Times New Roman"/>
          <w:sz w:val="18"/>
          <w:szCs w:val="18"/>
          <w:color w:val="auto"/>
        </w:rPr>
        <w:t>developing and managing non-retail real estate than we do with retail real estate and, as a result, we may seek to contract with a third-party developer or third-party manager with more experience in non-retail uses. In addition to the risks typically associated with the development of commercial real estate generally, we would also be exposed to the risks associated with the ownership and management of non-retail real estate, including limited experience in managing certain types of non-retail properties and the adverse impacts of competition and trends in the non-retail industry. For example, in the case of office properties, some businesses are rapidly evolving to make employee telecommuting, flexible work schedules, open workplaces and teleconferencing increasingly common, which may enable businesses to reduce their space requirements and erode the overall demand for office space over time, which, in turn, may place downward pressure on occupancy, rental rates and property valuations, each of which could have an adverse effect on our financial position, results of operations, cash flows and ability to make expected distributions to our stockholders to the extent we own office property.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space at our properties could materially and adversely affect us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60" w:firstLine="632"/>
        <w:spacing w:after="0" w:line="249" w:lineRule="auto"/>
        <w:rPr>
          <w:sz w:val="20"/>
          <w:szCs w:val="20"/>
          <w:color w:val="auto"/>
        </w:rPr>
      </w:pPr>
      <w:r>
        <w:rPr>
          <w:rFonts w:ascii="Times New Roman" w:cs="Times New Roman" w:eastAsia="Times New Roman" w:hAnsi="Times New Roman"/>
          <w:sz w:val="18"/>
          <w:szCs w:val="18"/>
          <w:color w:val="auto"/>
        </w:rPr>
        <w:t>Certain of our properties have had or may continue to have excess space available for prospective tenants, and those properties may continue to experience, and other properties may commence experiencing, such oversupply in the future. While the pace of bankruptcies slowed in 2023 and 2022 compared to prior years, we continue to experience bankruptcies of Anchors and other national and local retailers, as well as store closures, among our tenants. In the past, an increase in bargaining power of creditworthy retail tenants resulted in a downward pressure on our rental rates and occupancy levels, and any increase in bargaining power in the future may also result in us having to increase our spend on tenant improvements and potentially make other lease modifications in order to attract or retain tenants, any of which, in the aggregate, could materially and adversely affect us.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investments are relatively illiquid and we may be unable to sell properties at the time we desire and on favorable terms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80" w:firstLine="632"/>
        <w:spacing w:after="0" w:line="286" w:lineRule="auto"/>
        <w:rPr>
          <w:sz w:val="20"/>
          <w:szCs w:val="20"/>
          <w:color w:val="auto"/>
        </w:rPr>
      </w:pPr>
      <w:r>
        <w:rPr>
          <w:rFonts w:ascii="Times New Roman" w:cs="Times New Roman" w:eastAsia="Times New Roman" w:hAnsi="Times New Roman"/>
          <w:sz w:val="16"/>
          <w:szCs w:val="16"/>
          <w:color w:val="auto"/>
        </w:rPr>
        <w:t>Investments in real estate are relatively illiquid, which limits our ability to adjust our portfolio in response to changes in economic, market or other conditions. Moreover, there are some limitations under federal income tax laws applicable to REITs that limit our ability to sell assets. In addition, because our properties are generally mortgaged to secure our debts, we may not be able to obtain a release of a lien on a mortgaged property without the payment of the associated debt and/or a substantial prepayment penalty, which restricts our ability to dispose of a property, even though the sale might otherwise be desirable. Furthermore, the number of prospective buyers interested in purchasing shopping centers is limited. Therefore, if we want to sell one or more of our Centers, we may not be able to dispose of it in the desired time period and may receive less consideration than we originally invested in the Center.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assets may be subject to impairment charges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firstLine="632"/>
        <w:spacing w:after="0" w:line="247" w:lineRule="auto"/>
        <w:rPr>
          <w:sz w:val="20"/>
          <w:szCs w:val="20"/>
          <w:color w:val="auto"/>
        </w:rPr>
      </w:pPr>
      <w:r>
        <w:rPr>
          <w:rFonts w:ascii="Times New Roman" w:cs="Times New Roman" w:eastAsia="Times New Roman" w:hAnsi="Times New Roman"/>
          <w:sz w:val="18"/>
          <w:szCs w:val="18"/>
          <w:color w:val="auto"/>
        </w:rPr>
        <w:t>We periodically assess whether there are any indicators, including property operating performance, changes in anticipated holding period and general market conditions, that the value of our real estate assets and other investments may be impaired. A property’s value is considered to be impaired only if the estimated aggregate future undiscounted and unleveraged property cash flows, taking into account the anticipated probability weighted average holding period, are less than the carrying value of the property. In our estimate of cash flows, we consider trends and prospects for a property and the effects of demand and competition on expected future operating income. If we are evaluating the potential sale of an asset or redevelopment alternatives, the undiscounted future cash flows consider the most likely course of action as of the balance sheet date based on current plans, intended holding periods and available market information. We are required to make subjective assessments as to whether there are impairments in the value of our real estate assets and other investments. Impairment charges have an immediate direct impact on our earnings. We have taken impairment charges on certain of our assets in the past and there can be no assurance that we will not take additional charges in the future. Any future impairment could have a material adverse effect on our operating results in the period in which the charge is recognized.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environmental liabilities could adversely affect us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40" w:firstLine="632"/>
        <w:spacing w:after="0" w:line="247" w:lineRule="auto"/>
        <w:rPr>
          <w:sz w:val="20"/>
          <w:szCs w:val="20"/>
          <w:color w:val="auto"/>
        </w:rPr>
      </w:pPr>
      <w:r>
        <w:rPr>
          <w:rFonts w:ascii="Times New Roman" w:cs="Times New Roman" w:eastAsia="Times New Roman" w:hAnsi="Times New Roman"/>
          <w:sz w:val="18"/>
          <w:szCs w:val="18"/>
          <w:color w:val="auto"/>
        </w:rPr>
        <w:t>Each of the Centers have undergone Environmental Site Assessment-Phase I studies conducted by an environmental consultant. As a result of these assessments and other information, we are aware of certain environmental issues present at certain Centers or at properties neighboring certain Centers, such as asbestos containing materials (“ACMs”) (some of which may ultimately require removal under certain conditions, though the company has developed an operations and maintenance plan to manage ACMs), underground storage tanks (which are often present at or near Centers in connection with gasoline stations or automotive tire, battery and accessory services centers, and some of which may have leaked or are suspected to have leaked) and chlorinated hydrocarbons (such as perchloroethylene and its degradation byproducts, which have been detected at certain Centers and are often present in connection with tenant dry cleaning operations). These issues may result in potential environmental liability and cause us to incur costs in responding to these liabilities or in other costs associated with future investigation or remediation.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9" w:name="page20"/>
    <w:bookmarkEnd w:id="19"/>
    <w:p>
      <w:pPr>
        <w:ind w:right="40" w:firstLine="632"/>
        <w:spacing w:after="0" w:line="249" w:lineRule="auto"/>
        <w:rPr>
          <w:sz w:val="20"/>
          <w:szCs w:val="20"/>
          <w:color w:val="auto"/>
        </w:rPr>
      </w:pPr>
      <w:r>
        <w:rPr>
          <w:rFonts w:ascii="Times New Roman" w:cs="Times New Roman" w:eastAsia="Times New Roman" w:hAnsi="Times New Roman"/>
          <w:sz w:val="18"/>
          <w:szCs w:val="18"/>
          <w:color w:val="auto"/>
        </w:rPr>
        <w:t>Under various federal, state and local environmental laws, ordinances and regulations, a current or previous owner or operator of real property may be liable for the costs of removal or remediation of hazardous or toxic substances on, under or in that real property. These laws often impose liability whether or not the owner or operator knew of, or was responsible for, the presence of hazardous or toxic substances. The costs of investigation, removal or remediation of hazardous or toxic substances may be substantial. In addition, the presence of hazardous or toxic substances, or the failure to remedy environmental hazards properly, may adversely affect the owner’s or operator’s ability to sell or rent affected real property or to borrow money using affected real property as collateral.</w:t>
      </w:r>
    </w:p>
    <w:p>
      <w:pPr>
        <w:spacing w:after="0" w:line="121" w:lineRule="exact"/>
        <w:rPr>
          <w:sz w:val="20"/>
          <w:szCs w:val="20"/>
          <w:color w:val="auto"/>
        </w:rPr>
      </w:pPr>
    </w:p>
    <w:p>
      <w:pPr>
        <w:ind w:right="20" w:firstLine="632"/>
        <w:spacing w:after="0" w:line="249" w:lineRule="auto"/>
        <w:rPr>
          <w:sz w:val="20"/>
          <w:szCs w:val="20"/>
          <w:color w:val="auto"/>
        </w:rPr>
      </w:pPr>
      <w:r>
        <w:rPr>
          <w:rFonts w:ascii="Times New Roman" w:cs="Times New Roman" w:eastAsia="Times New Roman" w:hAnsi="Times New Roman"/>
          <w:sz w:val="18"/>
          <w:szCs w:val="18"/>
          <w:color w:val="auto"/>
        </w:rPr>
        <w:t>Persons or entities that arrange for the disposal or treatment of hazardous or toxic substances may also be liable for the costs of removal or remediation of hazardous or toxic substances at the disposal or treatment facility, whether or not that facility is owned or operated by the person or entity arranging for the disposal or treatment of hazardous or toxic substances. For example, laws exist that impose liability for release of ACMs into the air, and third parties may seek recovery from owners or operators of real property for personal injury associated with exposure to ACMs. In connection with our ownership, operation, management, development and redevelopment of the Centers, or any other centers or properties we acquire in the future, we may be potentially liable under these laws and may incur costs in responding to these liabilities.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climate change</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firstLine="632"/>
        <w:spacing w:after="0" w:line="246" w:lineRule="auto"/>
        <w:rPr>
          <w:sz w:val="20"/>
          <w:szCs w:val="20"/>
          <w:color w:val="auto"/>
        </w:rPr>
      </w:pPr>
      <w:r>
        <w:rPr>
          <w:rFonts w:ascii="Times New Roman" w:cs="Times New Roman" w:eastAsia="Times New Roman" w:hAnsi="Times New Roman"/>
          <w:sz w:val="18"/>
          <w:szCs w:val="18"/>
          <w:color w:val="auto"/>
        </w:rPr>
        <w:t>Due to changes in weather patterns caused by climate change, our properties in certain markets could experience increases in storm intensity and rising sea levels. Over time, climate change could result in volatile or decreased demand for retail space at some of our Centers or, in extreme cases, our inability to operate the properties at all. Climate change may also have indirect effects on our business by increasing the cost of (or making unavailable) insurance on favorable terms, or at all, increasing the cost of energy at our properties or requiring us to spend funds to repair and protect our properties against such risks. Additionally, we seek to promote energy efficiency and other sustainability strategies at our properties. Implementing such strategies and compliance with new laws or regulations related to climate change, including compliance with “green” building codes, may result in significant capital expenditures to improve our existing properties or properties we may acquire. In addition, laws and regulations at the federal, state and local level aimed at increasing climate-related disclosures, including the rules proposed by the Securities and Exchange Commission and the legislation recently enacted in the state of California, may increase compliance and data collection costs if, and when, such laws and regulations become effective. If we are unable to comply with the laws and regulations on climate change or implement effective sustainability strategies, our reputation among our tenants and investors may be damaged and we may incur fines and/or penalties. Moreover, there can be no assurance that any of our sustainability strategies will result in reduced operating costs, higher occupancy or higher rental rates or deter our existing tenants from relocating to properties owned by our competitors.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properties are subject to potential natural or other disasters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40" w:firstLine="632"/>
        <w:spacing w:after="0" w:line="286" w:lineRule="auto"/>
        <w:rPr>
          <w:sz w:val="20"/>
          <w:szCs w:val="20"/>
          <w:color w:val="auto"/>
        </w:rPr>
      </w:pPr>
      <w:r>
        <w:rPr>
          <w:rFonts w:ascii="Times New Roman" w:cs="Times New Roman" w:eastAsia="Times New Roman" w:hAnsi="Times New Roman"/>
          <w:sz w:val="16"/>
          <w:szCs w:val="16"/>
          <w:color w:val="auto"/>
        </w:rPr>
        <w:t>Some of our Centers are located in areas that are subject to natural disasters, including our Centers in California or in other areas with higher risk of earthquakes, our Centers in flood plains or in areas that may be adversely affected by tornadoes, as well as our Centers in coastal regions that may be adversely affected by increases in sea levels or in the frequency or severity of hurricanes, tropical storms or other severe weather conditions. The occurrence of natural disasters can delay redevelopment or development projects, increase investment costs to repair or replace damaged properties, increase future property insurance costs and negatively impact the tenant demand for lease space. If insurance is unavailable to us or is unavailable on acceptable terms, or our insurance is not adequate to cover losses from these events, our financial condition and results of operations could be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Uninsured or underinsured losses could adversely affect our financial condition</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20" w:firstLine="632"/>
        <w:spacing w:after="0" w:line="246" w:lineRule="auto"/>
        <w:rPr>
          <w:sz w:val="20"/>
          <w:szCs w:val="20"/>
          <w:color w:val="auto"/>
        </w:rPr>
      </w:pPr>
      <w:r>
        <w:rPr>
          <w:rFonts w:ascii="Times New Roman" w:cs="Times New Roman" w:eastAsia="Times New Roman" w:hAnsi="Times New Roman"/>
          <w:sz w:val="18"/>
          <w:szCs w:val="18"/>
          <w:color w:val="auto"/>
        </w:rPr>
        <w:t>Each of our Centers has comprehensive liability, fire, extended coverage and rental loss insurance with insured limits customarily carried for similar properties. We do not insure certain types of losses (such as losses from wars), because they are either uninsurable or not economically insurable, and our insurance coverage may have certain exclusions (such as pandemics) that prevent us from collecting on certain claims under our policies. In addition, while we or the relevant joint venture, as applicable, carry specific earthquake insurance on the Centers located in California, the policies are subject to a deductible equal to 5% of the total insured value of each Center, a $150,000 per occurrence minimum and a combined annual aggregate loss limit of $100 million on these Centers. We or the relevant joint venture, as applicable, carry specific earthquake insurance on the Centers located in the Pacific Northwest and in the New Madrid Seismic Zone. However, the policies are subject to a deductible equal to 2% of the total insured value of each Center, a $150,000 per occurrence minimum and a combined annual aggregate loss limit of $100 million on these Centers. While we or the relevant joint venture also carry standalone terrorism insurance on the Centers, the policies are subject to a $25,000 deductible and a combined annual aggregate loss limit of $1.2 billion. Each Center has environmental insurance covering eligible third-party losses, remediation and non-owned disposal sites, subject to a $100,000 retention and a $50 million three-year aggregate loss limit, with the exception of one Center, which has a $5 million ten-year aggregate loss limit and another Center has a $20 million ten-year aggregate loss limit. Some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0" w:name="page21"/>
    <w:bookmarkEnd w:id="20"/>
    <w:p>
      <w:pPr>
        <w:ind w:right="280"/>
        <w:spacing w:after="0" w:line="269" w:lineRule="auto"/>
        <w:rPr>
          <w:sz w:val="20"/>
          <w:szCs w:val="20"/>
          <w:color w:val="auto"/>
        </w:rPr>
      </w:pPr>
      <w:r>
        <w:rPr>
          <w:rFonts w:ascii="Times New Roman" w:cs="Times New Roman" w:eastAsia="Times New Roman" w:hAnsi="Times New Roman"/>
          <w:sz w:val="18"/>
          <w:szCs w:val="18"/>
          <w:color w:val="auto"/>
        </w:rPr>
        <w:t>environmental losses are not covered by this insurance because they are uninsurable or not economically insurable. Furthermore, we carry title insurance on substantially all of the Centers for generally less than their full value.</w:t>
      </w:r>
    </w:p>
    <w:p>
      <w:pPr>
        <w:spacing w:after="0" w:line="102" w:lineRule="exact"/>
        <w:rPr>
          <w:sz w:val="20"/>
          <w:szCs w:val="20"/>
          <w:color w:val="auto"/>
        </w:rPr>
      </w:pPr>
    </w:p>
    <w:p>
      <w:pPr>
        <w:ind w:right="160" w:firstLine="632"/>
        <w:spacing w:after="0" w:line="332" w:lineRule="auto"/>
        <w:rPr>
          <w:sz w:val="20"/>
          <w:szCs w:val="20"/>
          <w:color w:val="auto"/>
        </w:rPr>
      </w:pPr>
      <w:r>
        <w:rPr>
          <w:rFonts w:ascii="Times New Roman" w:cs="Times New Roman" w:eastAsia="Times New Roman" w:hAnsi="Times New Roman"/>
          <w:sz w:val="16"/>
          <w:szCs w:val="16"/>
          <w:color w:val="auto"/>
        </w:rPr>
        <w:t>If an uninsured loss or a loss in excess of insured limits occurs, we could lose all or a portion of the capital we have invested in a property, as well as the anticipated future revenue from the property, but may remain obligated for any mortgage debt or other financial obligations related to the property.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property taxes may increase without notice.</w:t>
      </w:r>
    </w:p>
    <w:p>
      <w:pPr>
        <w:spacing w:after="0" w:line="232"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The real property taxes on our properties and any other properties that we develop or acquire in the future may increase as property tax rates change and as those properties are assessed or reassessed by tax authorities. While most of our leases require the tenant to pay their pro rata share of property taxes, some or all of such property taxes may not be collectible from our tenants. An increase in our property tax rates or the assessed value of our properties could have an adverse effect on our financial position, results of operations, cash flows and ability to make expected distributions to our stockholders.</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Americans with Disabilities Act and fire, safety and other regulations may require us to make expenditures that could adversely affect our cash flows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right="100" w:firstLine="632"/>
        <w:spacing w:after="0" w:line="281" w:lineRule="auto"/>
        <w:rPr>
          <w:sz w:val="20"/>
          <w:szCs w:val="20"/>
          <w:color w:val="auto"/>
        </w:rPr>
      </w:pPr>
      <w:r>
        <w:rPr>
          <w:rFonts w:ascii="Times New Roman" w:cs="Times New Roman" w:eastAsia="Times New Roman" w:hAnsi="Times New Roman"/>
          <w:sz w:val="16"/>
          <w:szCs w:val="16"/>
          <w:color w:val="auto"/>
        </w:rPr>
        <w:t>All of the properties in our portfolio are required to comply with the Americans with Disabilities Act (the “ADA”). Compliance with the ADA requirements could require removal of access barriers, and non-compliance could result in the imposition of fines by the United States government, awards of damages to private litigants, or both. While the tenants to whom our portfolio is leased are obligated to comply with ADA provisions, within their leased premises, if required changes within their leased premises involve greater expenditures than anticipated, or if the changes must be made on a more accelerated basis than anticipated, the ability of tenants to cover costs could be adversely affected. Furthermore, we are required to comply with ADA requirements within the common areas of the properties in our portfolio and we may not be able to pass on to our tenants any costs necessary to remediate any common area ADA issues. In addition, we are required to operate the properties in compliance with fire and safety regulations, building codes and other land use regulations, as they may be adopted by governmental agencies and bodies and become applicable to our portfolio. We may be required to make substantial capital expenditures to comply with, and we may be restricted in our ability to renovate or redevelop the properties subject to, those requirements and to comply with the provisions of the ADA. The resulting expenditures and restrictions could have a material adverse effect on our financial condition and operating results.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and have been the target of security breaches through cyber attacks, cyber intrusions or otherwise, as well as other significant disruptions of our information technology (IT) networks and related systems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firstLine="632"/>
        <w:spacing w:after="0" w:line="247" w:lineRule="auto"/>
        <w:rPr>
          <w:sz w:val="20"/>
          <w:szCs w:val="20"/>
          <w:color w:val="auto"/>
        </w:rPr>
      </w:pPr>
      <w:r>
        <w:rPr>
          <w:rFonts w:ascii="Times New Roman" w:cs="Times New Roman" w:eastAsia="Times New Roman" w:hAnsi="Times New Roman"/>
          <w:sz w:val="18"/>
          <w:szCs w:val="18"/>
          <w:color w:val="auto"/>
        </w:rPr>
        <w:t>We face risks associated with cyber threats and have been the target of security breaches, whether through cyber attacks or cyber intrusions over the Internet, malware, computer viruses, attachments to e-mails, persons inside our organization or persons with access to systems inside our organization, and other significant disruptions of our IT networks and related systems. Cyber incidents have been increasing in sophistication and frequency and can include third parties gaining access to data using stolen or inferred credentials, computer malware, viruses, spamming, phishing attacks, ransomware, and other deliberate attacks and attempts to gain unauthorized access. The techniques used to sabotage or to obtain systems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These threats, in turn, may lead to increased costs to protect our information systems, detect and respond to threats, and recover from cyber incidents. While we carry cyber liability insurance, it may not be adequate to cover all losses relating to such events.</w:t>
      </w:r>
    </w:p>
    <w:p>
      <w:pPr>
        <w:spacing w:after="0" w:line="123" w:lineRule="exact"/>
        <w:rPr>
          <w:sz w:val="20"/>
          <w:szCs w:val="20"/>
          <w:color w:val="auto"/>
        </w:rPr>
      </w:pPr>
    </w:p>
    <w:p>
      <w:pPr>
        <w:ind w:right="20" w:firstLine="632"/>
        <w:spacing w:after="0" w:line="246" w:lineRule="auto"/>
        <w:rPr>
          <w:sz w:val="20"/>
          <w:szCs w:val="20"/>
          <w:color w:val="auto"/>
        </w:rPr>
      </w:pPr>
      <w:r>
        <w:rPr>
          <w:rFonts w:ascii="Times New Roman" w:cs="Times New Roman" w:eastAsia="Times New Roman" w:hAnsi="Times New Roman"/>
          <w:sz w:val="18"/>
          <w:szCs w:val="18"/>
          <w:color w:val="auto"/>
        </w:rPr>
        <w:t>Our IT networks and related systems are essential to the operation of our business and our ability to perform day-to-day operations and, in some cases, may be critical to the operations of certain of our tenants. Although we make efforts to maintain the security and integrity of these types of IT networks and related systems, and we have implemented various measures to manage the risk of a security incident, there can be no guarantee that our security efforts and measures will be effective or that attempted cyber attacks would not be successful, disruptive, or damaging. A security incident involving our information systems could disrupt the proper functioning of our networks and systems. This could, in turn, result in misstated financial reports, violations of loan covenants and/or missed reporting deadlines, the inability to properly monitor our compliance with the rules and regulations regarding our qualification as a REIT, the unauthorized access to, and the destruction, loss, theft, misappropriation or release of proprietary, confidential, sensitive or otherwise valuable information of ours or others, which could be used to compete against us or for disruptive, destructive or otherwise harmful purposes and outcomes; require significant management attention and resources to remedy any damages that result; subject us to claims for breach of contract, damages, credits, penalties or termination of leases or other agreements; or damage our reputation among our tenants and investors generally. Moreover, cyber attacks perpetrated against our Anchors and tenants, including unauthorized access 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21" w:name="page22"/>
    <w:bookmarkEnd w:id="21"/>
    <w:p>
      <w:pPr>
        <w:ind w:right="400"/>
        <w:spacing w:after="0" w:line="252" w:lineRule="auto"/>
        <w:rPr>
          <w:sz w:val="20"/>
          <w:szCs w:val="20"/>
          <w:color w:val="auto"/>
        </w:rPr>
      </w:pPr>
      <w:r>
        <w:rPr>
          <w:rFonts w:ascii="Times New Roman" w:cs="Times New Roman" w:eastAsia="Times New Roman" w:hAnsi="Times New Roman"/>
          <w:sz w:val="18"/>
          <w:szCs w:val="18"/>
          <w:color w:val="auto"/>
        </w:rPr>
        <w:t>customers’ credit card data and other confidential information, could diminish consumer confidence and consumer spending and negatively impact our business. Any breach, loss, or compromise of personal data may also subject us to civil fines and penalties, or claims for damages under relevant state and federal privacy laws in the United States. Data breaches and other data security compromises may lead to public disclosures which, in turn, may lead to widespread negative publicity.</w:t>
      </w:r>
    </w:p>
    <w:p>
      <w:pPr>
        <w:spacing w:after="0" w:line="102"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Acts of violence and vandalism, civil unrest and actual or threatened terrorist attacks could adversely affect our financial condition and results of operations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right="60" w:firstLine="632"/>
        <w:spacing w:after="0" w:line="284" w:lineRule="auto"/>
        <w:rPr>
          <w:sz w:val="20"/>
          <w:szCs w:val="20"/>
          <w:color w:val="auto"/>
        </w:rPr>
      </w:pPr>
      <w:r>
        <w:rPr>
          <w:rFonts w:ascii="Times New Roman" w:cs="Times New Roman" w:eastAsia="Times New Roman" w:hAnsi="Times New Roman"/>
          <w:sz w:val="16"/>
          <w:szCs w:val="16"/>
          <w:color w:val="auto"/>
        </w:rPr>
        <w:t>Because our properties are open to the public, they are exposed to risks related to acts of violence and vandalism, civil unrest, criminal activity and actual or threatened terrorist attacks that may be beyond our control or ability to prevent. If any of these incidents were to occur, the relevant property could face material damage physically and reputationally, and the revenue generated by such property and its tenants could be negatively impacted. Consumers may also perceive a heightened threat of these risks due to increased crime in markets where the Centers are located and negative media attention. Concern around safety risk may impact the willingness of consumers, tenants and tenants’ employees to shop and/or work at our properties, which could result in decreased consumer traffic and decreased sales at our properties, or increase the need for additional expenditures on security resources. Such a resulting decrease in retail demand could adversely impact our revenue and the value of our properties, as well as make it difficult for us to renew or re-lease our properties.</w:t>
      </w:r>
    </w:p>
    <w:p>
      <w:pPr>
        <w:spacing w:after="0" w:line="83" w:lineRule="exact"/>
        <w:rPr>
          <w:sz w:val="20"/>
          <w:szCs w:val="20"/>
          <w:color w:val="auto"/>
        </w:rPr>
      </w:pPr>
    </w:p>
    <w:p>
      <w:pPr>
        <w:jc w:val="both"/>
        <w:ind w:right="300" w:firstLine="632"/>
        <w:spacing w:after="0" w:line="256" w:lineRule="auto"/>
        <w:rPr>
          <w:sz w:val="20"/>
          <w:szCs w:val="20"/>
          <w:color w:val="auto"/>
        </w:rPr>
      </w:pPr>
      <w:r>
        <w:rPr>
          <w:rFonts w:ascii="Times New Roman" w:cs="Times New Roman" w:eastAsia="Times New Roman" w:hAnsi="Times New Roman"/>
          <w:sz w:val="18"/>
          <w:szCs w:val="18"/>
          <w:color w:val="auto"/>
        </w:rPr>
        <w:t>Terrorist activities or violence and vandalism could also directly affect the value of our properties through damage, destruction or loss. Further, the availability of insurance for such acts, or of insurance generally, might be reduced or cost more, which could increase our operating expenses and adversely affect our financial condition and results of operations.</w:t>
      </w:r>
    </w:p>
    <w:p>
      <w:pPr>
        <w:spacing w:after="0" w:line="98"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Any future pandemic, epidemic or outbreak of any highly infectious disease could cause disruptions in the U.S., regional and global economies and could materially and adversely impact our business, financial condition and results of operations and the business, financial condition and results of operations of our tenants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632"/>
        <w:spacing w:after="0" w:line="283" w:lineRule="auto"/>
        <w:rPr>
          <w:sz w:val="20"/>
          <w:szCs w:val="20"/>
          <w:color w:val="auto"/>
        </w:rPr>
      </w:pPr>
      <w:r>
        <w:rPr>
          <w:rFonts w:ascii="Times New Roman" w:cs="Times New Roman" w:eastAsia="Times New Roman" w:hAnsi="Times New Roman"/>
          <w:sz w:val="16"/>
          <w:szCs w:val="16"/>
          <w:color w:val="auto"/>
        </w:rPr>
        <w:t>Any future pandemic, epidemic or outbreak of any highly infectious disease, including the emergence of additional COVID-19 variants, could cause widespread disruptions to the United States and global economies and could contribute to significant volatility and negative pressure in financial markets. The extent to which any future pandemic, epidemic or outbreak of any highly infectious disease impacts our operations will depend on future developments, which are highly uncertain and cannot be predicted with confidence, including the scope, severity and duration of such pandemic, the emergence and characteristics of new variants, the actions taken to contain the pandemic or mitigate its impact, including the adoption, administration and effectiveness of available vaccines, and the direct and indirect economic effects of the pandemic and containment measures, among others. We previously experienced adverse impacts to our business from COVID-19 and any future pandemic, epidemic or outbreak of any highly infectious disease may adversely affect, our business, financial condition and results of operations, and it may also have the effect of heightening many of the risks described in this “Risk Factors” section, including:</w:t>
      </w:r>
    </w:p>
    <w:p>
      <w:pPr>
        <w:spacing w:after="0" w:line="82" w:lineRule="exact"/>
        <w:rPr>
          <w:sz w:val="20"/>
          <w:szCs w:val="20"/>
          <w:color w:val="auto"/>
        </w:rPr>
      </w:pPr>
    </w:p>
    <w:p>
      <w:pPr>
        <w:ind w:left="960" w:right="440" w:hanging="322"/>
        <w:spacing w:after="0" w:line="269"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or partial closure of, or other operational issues at, one or more of our Centers resulting from government or tenant action, which could adversely effect our operations and those of our tenants;</w:t>
      </w:r>
    </w:p>
    <w:p>
      <w:pPr>
        <w:spacing w:after="0" w:line="102" w:lineRule="exact"/>
        <w:rPr>
          <w:rFonts w:ascii="Times New Roman" w:cs="Times New Roman" w:eastAsia="Times New Roman" w:hAnsi="Times New Roman"/>
          <w:sz w:val="18"/>
          <w:szCs w:val="18"/>
          <w:color w:val="auto"/>
        </w:rPr>
      </w:pPr>
    </w:p>
    <w:p>
      <w:pPr>
        <w:ind w:left="960" w:right="360" w:hanging="322"/>
        <w:spacing w:after="0" w:line="256"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economic activity impacting the businesses, financial condition and liquidity of our tenants, which could cause one or more of our tenants, including one or more of our Anchors, to be unable to meet their obligations to us in full, or at all, to otherwise seek modifications of such obligations, including, deferrals or reductions of rental payments, or to declare bankruptcy;</w:t>
      </w:r>
    </w:p>
    <w:p>
      <w:pPr>
        <w:spacing w:after="0" w:line="114" w:lineRule="exact"/>
        <w:rPr>
          <w:rFonts w:ascii="Times New Roman" w:cs="Times New Roman" w:eastAsia="Times New Roman" w:hAnsi="Times New Roman"/>
          <w:sz w:val="18"/>
          <w:szCs w:val="18"/>
          <w:color w:val="auto"/>
        </w:rPr>
      </w:pPr>
    </w:p>
    <w:p>
      <w:pPr>
        <w:ind w:left="960" w:right="80" w:hanging="322"/>
        <w:spacing w:after="0" w:line="252"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levels of consumer spending and consumer confidence, as well as a decrease in traffic at our Centers, which could affect the ability of the Centers to generate sufficient revenues to meet operating and other expenses in the short-term and could also accelerate a shift to online retail shopping, which, if sustained could result in prolonged decreases in revenue at the Centers even after the immediate impact of such pandemic, epidemic or outbreak of any other highly infectious disease is resolved;</w:t>
      </w:r>
    </w:p>
    <w:p>
      <w:pPr>
        <w:spacing w:after="0" w:line="105" w:lineRule="exact"/>
        <w:rPr>
          <w:rFonts w:ascii="Times New Roman" w:cs="Times New Roman" w:eastAsia="Times New Roman" w:hAnsi="Times New Roman"/>
          <w:sz w:val="18"/>
          <w:szCs w:val="18"/>
          <w:color w:val="auto"/>
        </w:rPr>
      </w:pPr>
    </w:p>
    <w:p>
      <w:pPr>
        <w:ind w:left="960" w:right="200" w:hanging="322"/>
        <w:spacing w:after="0" w:line="256"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renew leases, lease vacant space, including vacant space from tenant bankruptcies and defaults, or re-let space as leases expire on favorable terms, or at all, which could result in lower rental payments or reduced occupancy levels, or could cause interruptions or delays in the receipt of rental payments;</w:t>
      </w:r>
    </w:p>
    <w:p>
      <w:pPr>
        <w:spacing w:after="0" w:line="114" w:lineRule="exact"/>
        <w:rPr>
          <w:rFonts w:ascii="Times New Roman" w:cs="Times New Roman" w:eastAsia="Times New Roman" w:hAnsi="Times New Roman"/>
          <w:sz w:val="18"/>
          <w:szCs w:val="18"/>
          <w:color w:val="auto"/>
        </w:rPr>
      </w:pPr>
    </w:p>
    <w:p>
      <w:pPr>
        <w:ind w:left="960" w:right="340" w:hanging="322"/>
        <w:spacing w:after="0" w:line="269"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closure of Anchors at one or more of our properties, which could trigger co-tenancy lease clauses within one or more of our leases at such properties and could potentially lead to a decline in revenue and occupancy;</w:t>
      </w:r>
    </w:p>
    <w:p>
      <w:pPr>
        <w:spacing w:after="0" w:line="102" w:lineRule="exact"/>
        <w:rPr>
          <w:rFonts w:ascii="Times New Roman" w:cs="Times New Roman" w:eastAsia="Times New Roman" w:hAnsi="Times New Roman"/>
          <w:sz w:val="18"/>
          <w:szCs w:val="18"/>
          <w:color w:val="auto"/>
        </w:rPr>
      </w:pPr>
    </w:p>
    <w:p>
      <w:pPr>
        <w:ind w:left="960" w:right="160" w:hanging="322"/>
        <w:spacing w:after="0" w:line="269"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negative impact on our financial results could adversely impact our compliance with the financial covenants within our credit facility and other debt agreements or cause a failure to meet certain of these financial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22" w:name="page23"/>
    <w:bookmarkEnd w:id="22"/>
    <w:p>
      <w:pPr>
        <w:ind w:left="960"/>
        <w:spacing w:after="0" w:line="269" w:lineRule="auto"/>
        <w:rPr>
          <w:sz w:val="20"/>
          <w:szCs w:val="20"/>
          <w:color w:val="auto"/>
        </w:rPr>
      </w:pPr>
      <w:r>
        <w:rPr>
          <w:rFonts w:ascii="Times New Roman" w:cs="Times New Roman" w:eastAsia="Times New Roman" w:hAnsi="Times New Roman"/>
          <w:sz w:val="18"/>
          <w:szCs w:val="18"/>
          <w:color w:val="auto"/>
        </w:rPr>
        <w:t>covenants, which could cause an event of default, which, if not cured or waived, could accelerate some or all of such indebtedness and could have a material adverse effect on us;</w:t>
      </w:r>
    </w:p>
    <w:p>
      <w:pPr>
        <w:spacing w:after="0" w:line="102" w:lineRule="exact"/>
        <w:rPr>
          <w:sz w:val="20"/>
          <w:szCs w:val="20"/>
          <w:color w:val="auto"/>
        </w:rPr>
      </w:pPr>
    </w:p>
    <w:p>
      <w:pPr>
        <w:ind w:left="960" w:hanging="322"/>
        <w:spacing w:after="0" w:line="256"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decline in asset values at one or more of our properties encumbered by mortgage debt, which could inhibit our ability to successfully refinance one or more such properties, result in the default under the applicable mortgage debt agreement and potentially cause the acceleration of such indebtedness; and</w:t>
      </w:r>
    </w:p>
    <w:p>
      <w:pPr>
        <w:spacing w:after="0" w:line="101" w:lineRule="exact"/>
        <w:rPr>
          <w:rFonts w:ascii="Times New Roman" w:cs="Times New Roman" w:eastAsia="Times New Roman" w:hAnsi="Times New Roman"/>
          <w:sz w:val="18"/>
          <w:szCs w:val="18"/>
          <w:color w:val="auto"/>
        </w:rPr>
      </w:pPr>
    </w:p>
    <w:p>
      <w:pPr>
        <w:ind w:left="960" w:hanging="322"/>
        <w:spacing w:after="0" w:line="256"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instability in the global financial markets or deteriorations in credit and financing conditions could make it difficult for us to access debt and equity capital on attractive terms, or at all, and could also impact our ability to fund business activities, repay debt on a timely basis and renew, extend or replace our credit facility prior to its maturity date at all or on terms that are favorable to us.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our financial condition and results of operations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620" w:firstLine="632"/>
        <w:spacing w:after="0" w:line="269" w:lineRule="auto"/>
        <w:rPr>
          <w:sz w:val="20"/>
          <w:szCs w:val="20"/>
          <w:color w:val="auto"/>
        </w:rPr>
      </w:pPr>
      <w:r>
        <w:rPr>
          <w:rFonts w:ascii="Times New Roman" w:cs="Times New Roman" w:eastAsia="Times New Roman" w:hAnsi="Times New Roman"/>
          <w:sz w:val="18"/>
          <w:szCs w:val="18"/>
          <w:color w:val="auto"/>
        </w:rPr>
        <w:t>Inflation in the United States increased throughout 2022 and 2023 and may continue to increase in the near-term. As a result of these inflation increases, we have experienced, and may continue to experience, some or all of the following:</w:t>
      </w:r>
    </w:p>
    <w:p>
      <w:pPr>
        <w:spacing w:after="0" w:line="102" w:lineRule="exact"/>
        <w:rPr>
          <w:sz w:val="20"/>
          <w:szCs w:val="20"/>
          <w:color w:val="auto"/>
        </w:rPr>
      </w:pPr>
    </w:p>
    <w:p>
      <w:pPr>
        <w:ind w:left="940" w:hanging="302"/>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on our outstanding floating-rate debt as well as higher interest rates on any new and refinanced fixed-rate debt;</w:t>
      </w:r>
    </w:p>
    <w:p>
      <w:pPr>
        <w:spacing w:after="0" w:line="135"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replacing or renewing expiring leases with new leases at higher rents; and</w:t>
      </w:r>
    </w:p>
    <w:p>
      <w:pPr>
        <w:spacing w:after="0" w:line="148" w:lineRule="exact"/>
        <w:rPr>
          <w:rFonts w:ascii="Times New Roman" w:cs="Times New Roman" w:eastAsia="Times New Roman" w:hAnsi="Times New Roman"/>
          <w:sz w:val="18"/>
          <w:szCs w:val="18"/>
          <w:color w:val="auto"/>
        </w:rPr>
      </w:pPr>
    </w:p>
    <w:p>
      <w:pPr>
        <w:ind w:left="960" w:right="480" w:hanging="322"/>
        <w:spacing w:after="0" w:line="269"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tenant sales as a result of decreased consumer spending which could adversely affect the ability of our tenants to meet their rent obligations and/or result in lower percentage rents.</w:t>
      </w:r>
    </w:p>
    <w:p>
      <w:pPr>
        <w:spacing w:after="0" w:line="102" w:lineRule="exact"/>
        <w:rPr>
          <w:sz w:val="20"/>
          <w:szCs w:val="20"/>
          <w:color w:val="auto"/>
        </w:rPr>
      </w:pPr>
    </w:p>
    <w:p>
      <w:pPr>
        <w:ind w:right="40" w:firstLine="632"/>
        <w:spacing w:after="0" w:line="252" w:lineRule="auto"/>
        <w:rPr>
          <w:sz w:val="20"/>
          <w:szCs w:val="20"/>
          <w:color w:val="auto"/>
        </w:rPr>
      </w:pPr>
      <w:r>
        <w:rPr>
          <w:rFonts w:ascii="Times New Roman" w:cs="Times New Roman" w:eastAsia="Times New Roman" w:hAnsi="Times New Roman"/>
          <w:sz w:val="18"/>
          <w:szCs w:val="18"/>
          <w:color w:val="auto"/>
        </w:rPr>
        <w:t>Additionally, even though most of our leases require tenants to pay their pro rata share of utilities and real estate taxes, as well as a stated amount for operating expenses regardless of the expenses actually incurred at any Center, substantial inflationary pressures and increased operating costs may increase our exposure to rising property expenses, which would reduce our cash flows and profits, and make it more difficult to maintain our historical cost controls at the Centers.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substantial debt that could affect our future operations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100" w:firstLine="632"/>
        <w:spacing w:after="0" w:line="247" w:lineRule="auto"/>
        <w:rPr>
          <w:sz w:val="20"/>
          <w:szCs w:val="20"/>
          <w:color w:val="auto"/>
        </w:rPr>
      </w:pPr>
      <w:r>
        <w:rPr>
          <w:rFonts w:ascii="Times New Roman" w:cs="Times New Roman" w:eastAsia="Times New Roman" w:hAnsi="Times New Roman"/>
          <w:sz w:val="18"/>
          <w:szCs w:val="18"/>
          <w:color w:val="auto"/>
        </w:rPr>
        <w:t>Our total outstanding loan indebtedness at December 31, 2023 was $6.92 billion (consisting of $4.23 billion of consolidated debt, less $0.16 billion attributable to noncontrolling interests, plus $2.85 billion of our pro rata share of mortgages and other notes payable on unconsolidated joint ventures). As a result of this substantial indebtedness, we are required to use a material portion of our cash flow to service principal and interest on our debt, which limits the amount of cash available for other business opportunities. Borrowing costs increased throughout 2022 and 2023 and may continue to increase in the near-term as the Federal Reserve continues to address rising inflation and, as a result, borrowing costs on our outstanding floating-rate debt as well as on new and refinanced fixed-rate debt has become more expensive and may continue to rise. We are subject to the risks normally associated with debt financing and increased borrowing costs, including the risk that our cash flow from operations will be insufficient to meet required debt service and that rising interest rates could adversely affect our debt service costs.</w:t>
      </w:r>
    </w:p>
    <w:p>
      <w:pPr>
        <w:spacing w:after="0" w:line="127" w:lineRule="exact"/>
        <w:rPr>
          <w:sz w:val="20"/>
          <w:szCs w:val="20"/>
          <w:color w:val="auto"/>
        </w:rPr>
      </w:pPr>
    </w:p>
    <w:p>
      <w:pPr>
        <w:ind w:right="80" w:firstLine="632"/>
        <w:spacing w:after="0" w:line="248" w:lineRule="auto"/>
        <w:rPr>
          <w:sz w:val="20"/>
          <w:szCs w:val="20"/>
          <w:color w:val="auto"/>
        </w:rPr>
      </w:pPr>
      <w:r>
        <w:rPr>
          <w:rFonts w:ascii="Times New Roman" w:cs="Times New Roman" w:eastAsia="Times New Roman" w:hAnsi="Times New Roman"/>
          <w:sz w:val="18"/>
          <w:szCs w:val="18"/>
          <w:color w:val="auto"/>
        </w:rPr>
        <w:t>In certain cases, we may limit our exposure to interest rate fluctuations related to a portion of our floating-rate debt by the use of interest rate cap and swap agreements. Such agreements, subject to current market conditions, allow us to replace floating-rate debt with fixed-rate debt in order to achieve our desired ratio of floating-rate to fixed-rate debt. However, in an increasing interest rate environment, the fixed rates we can obtain with such replacement fixed-rate cap and swap agreements or the fixed-rate on new and refinanced debt will also continue to increase. Our use of interest rate hedging arrangements may also expose us to additional risks, including that the counterparty to the arrangement may fail to honor its obligations and that termination of these arrangements typically involves costs such as transaction fees or breakage costs. There can be no assurance that our hedging activities will have the desired impact on our results of operations, liquidity or financial condition.</w:t>
      </w:r>
    </w:p>
    <w:p>
      <w:pPr>
        <w:spacing w:after="0" w:line="110" w:lineRule="exact"/>
        <w:rPr>
          <w:sz w:val="20"/>
          <w:szCs w:val="20"/>
          <w:color w:val="auto"/>
        </w:rPr>
      </w:pPr>
    </w:p>
    <w:p>
      <w:pPr>
        <w:ind w:right="140" w:firstLine="632"/>
        <w:spacing w:after="0" w:line="252" w:lineRule="auto"/>
        <w:rPr>
          <w:sz w:val="20"/>
          <w:szCs w:val="20"/>
          <w:color w:val="auto"/>
        </w:rPr>
      </w:pPr>
      <w:r>
        <w:rPr>
          <w:rFonts w:ascii="Times New Roman" w:cs="Times New Roman" w:eastAsia="Times New Roman" w:hAnsi="Times New Roman"/>
          <w:sz w:val="18"/>
          <w:szCs w:val="18"/>
          <w:color w:val="auto"/>
        </w:rPr>
        <w:t>Furthermore, most of our Centers are mortgaged to secure payment of indebtedness, and if income from the Center is insufficient to pay that indebtedness, the Center could be foreclosed upon by the mortgagee resulting in a loss of income and a decline in our total asset value. During the year ended December 31, 2023, we did not repay the outstanding mortgage loan on our Fashion Outlets of Niagara Falls property on its maturity and, as a result, the loan is in default. We are in negotiations with the lender on the terms of this non-recourse loan.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obligated to comply with financial and other covenants that could affect our operating activities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20" w:firstLine="632"/>
        <w:spacing w:after="0" w:line="256" w:lineRule="auto"/>
        <w:rPr>
          <w:sz w:val="20"/>
          <w:szCs w:val="20"/>
          <w:color w:val="auto"/>
        </w:rPr>
      </w:pPr>
      <w:r>
        <w:rPr>
          <w:rFonts w:ascii="Times New Roman" w:cs="Times New Roman" w:eastAsia="Times New Roman" w:hAnsi="Times New Roman"/>
          <w:sz w:val="18"/>
          <w:szCs w:val="18"/>
          <w:color w:val="auto"/>
        </w:rPr>
        <w:t>Our unsecured credit facilities contain financial covenants, including interest coverage requirements, as well as limitations on our ability to incur debt, make dividend payments and make certain acquisitions. These covenants may restrict our ability to pursue certain business initiatives or certain transactions that might otherwise be advantageous. In addition, failure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bookmarkStart w:id="23" w:name="page24"/>
    <w:bookmarkEnd w:id="23"/>
    <w:p>
      <w:pPr>
        <w:ind w:right="260"/>
        <w:spacing w:after="0" w:line="269" w:lineRule="auto"/>
        <w:rPr>
          <w:sz w:val="20"/>
          <w:szCs w:val="20"/>
          <w:color w:val="auto"/>
        </w:rPr>
      </w:pPr>
      <w:r>
        <w:rPr>
          <w:rFonts w:ascii="Times New Roman" w:cs="Times New Roman" w:eastAsia="Times New Roman" w:hAnsi="Times New Roman"/>
          <w:sz w:val="18"/>
          <w:szCs w:val="18"/>
          <w:color w:val="auto"/>
        </w:rPr>
        <w:t>to meet certain of these financial covenants could cause an event of default, which, if not cured or waived, could accelerate some or all of such indebtedness which could have a material adverse effect on us.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external financings for our growth and ongoing debt service requirements and are subject to refinancing risk</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120" w:firstLine="632"/>
        <w:spacing w:after="0" w:line="294" w:lineRule="auto"/>
        <w:rPr>
          <w:sz w:val="20"/>
          <w:szCs w:val="20"/>
          <w:color w:val="auto"/>
        </w:rPr>
      </w:pPr>
      <w:r>
        <w:rPr>
          <w:rFonts w:ascii="Times New Roman" w:cs="Times New Roman" w:eastAsia="Times New Roman" w:hAnsi="Times New Roman"/>
          <w:sz w:val="16"/>
          <w:szCs w:val="16"/>
          <w:color w:val="auto"/>
        </w:rPr>
        <w:t>We depend primarily on external financings, principally debt financings and, in more limited circumstances, equity financings, to fund the growth of our business and to ensure that we can meet ongoing maturities of our outstanding debt. Our access to financing depends on the willingness of banks, lenders and other institutions to lend to us based on their underwriting criteria which can fluctuate with market conditions and on conditions in the capital markets in general. In addition, levels of market disruption and volatility could materially adversely impact our ability to access the capital markets for equity financings.</w:t>
      </w:r>
    </w:p>
    <w:p>
      <w:pPr>
        <w:spacing w:after="0" w:line="73" w:lineRule="exact"/>
        <w:rPr>
          <w:sz w:val="20"/>
          <w:szCs w:val="20"/>
          <w:color w:val="auto"/>
        </w:rPr>
      </w:pPr>
    </w:p>
    <w:p>
      <w:pPr>
        <w:ind w:right="120" w:firstLine="632"/>
        <w:spacing w:after="0" w:line="250" w:lineRule="auto"/>
        <w:rPr>
          <w:sz w:val="20"/>
          <w:szCs w:val="20"/>
          <w:color w:val="auto"/>
        </w:rPr>
      </w:pPr>
      <w:r>
        <w:rPr>
          <w:rFonts w:ascii="Times New Roman" w:cs="Times New Roman" w:eastAsia="Times New Roman" w:hAnsi="Times New Roman"/>
          <w:sz w:val="18"/>
          <w:szCs w:val="18"/>
          <w:color w:val="auto"/>
        </w:rPr>
        <w:t>We are also subject to the risks normally associated with debt financings, including the risk that our cash flow from operations will be insufficient to meet required debt service or that we will be unable to refinance such indebtedness on acceptable terms, or at all. If principal payments due at maturity cannot be refinanced, extended or repaid with proceeds from other sources, such as new equity capital, our cash flow may not be sufficient to repay all maturing debt in years when significant “balloon” payments come due. In addition, there are no assurances that we will continue to be able to obtain the financing we need for future growth on acceptable terms, or at all, and any new or refinanced debt could also impose more restrictive terms.</w:t>
      </w:r>
    </w:p>
    <w:p>
      <w:pPr>
        <w:spacing w:after="0" w:line="10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attract and retain talented employees, and the loss of any one of our key personnel could adversely impact our business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firstLine="632"/>
        <w:spacing w:after="0" w:line="250" w:lineRule="auto"/>
        <w:rPr>
          <w:sz w:val="20"/>
          <w:szCs w:val="20"/>
          <w:color w:val="auto"/>
        </w:rPr>
      </w:pPr>
      <w:r>
        <w:rPr>
          <w:rFonts w:ascii="Times New Roman" w:cs="Times New Roman" w:eastAsia="Times New Roman" w:hAnsi="Times New Roman"/>
          <w:sz w:val="18"/>
          <w:szCs w:val="18"/>
          <w:color w:val="auto"/>
        </w:rPr>
        <w:t>The success of our business depends, in part, on the leadership and performance of our executive management team and key employees, and our ability to attract, retain and motivate talented employees could significantly impact our future performance. Competition for these individuals is intense, and we cannot assure you that we will retain our executive management team and key employees or that we will be able to attract and retain other highly qualified individuals for these positions in the future. Losing any one or more of these persons could have a material adverse effect on our results of operations, financial condition and cash flows.</w:t>
      </w:r>
    </w:p>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and may continue to fluctuate significantly, which may make it difficult for our stockholders to resell their shares when they want or at prices they find attractive</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firstLine="632"/>
        <w:spacing w:after="0" w:line="245" w:lineRule="auto"/>
        <w:rPr>
          <w:sz w:val="20"/>
          <w:szCs w:val="20"/>
          <w:color w:val="auto"/>
        </w:rPr>
      </w:pPr>
      <w:r>
        <w:rPr>
          <w:rFonts w:ascii="Times New Roman" w:cs="Times New Roman" w:eastAsia="Times New Roman" w:hAnsi="Times New Roman"/>
          <w:sz w:val="18"/>
          <w:szCs w:val="18"/>
          <w:color w:val="auto"/>
        </w:rPr>
        <w:t>The price of our common stock on the NYSE constantly changes and has been subject to significant price fluctuations. Our stock price can fluctuate as a result of a variety of factors, many of which are beyond our control. These factors may include, but are not limited to, actual or anticipated variations in our operating results or dividends; general market fluctuations, including potentially extreme increases or decreases in the market prices of certain of our publicly traded tenants, industry factors and general economic and geopolitical conditions and events, such as economic slowdowns or recessions, consumer confidence in the economy, ongoing military conflicts and terrorist attacks; 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and the potential for a “short squeeze” whereby short sellers are forced to cover their open positions, access to margin debt, trading in options and other derivatives on our common stock and other technical trading factors; changes in our funds from operations or earnings estimates; changes in the ability of our shopping centers to generate sufficient revenues to meet operating and other expenses; anchor or tenant bankruptcies, closures, mergers or consolidations; local economic and real estate conditions in geographic locations where we have a high concentration of Centers; competition by public or private mall companies or others, including competition for both acquisition of Centers and for tenants to occupy space; the ability of our tenants to pay rent and meet their other obligations to us under current lease terms and our ability to lease space on favorable terms; the success of our acquisition and real estate development strategy; our ability to comply with the financial covenants in our debt agreements and the impact of restrictive covenants in our debt agreements; our access to financing; inflation and increases in interest rates; the risk of our failure to qualify or maintain our status as a REIT; our ability to comply with our joint venture agreements and other risks associated with our joint venture investments; possible uninsured losses, including losses from casualty events or natural disasters, and possible environmental liabilities; adverse impacts from any future pandemic, epidemic or outbreak of any highly infectious disease on the U.S., regional and global economies and on our financial condition and results of operations and the financial condition and results of operations of our tenants; a decision by any of our significant stockholders to sell substantial amounts of our common stock; any future issuances of equity securities; and the realization of any of the other risk factors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individuals have substantial influence over the management of both us and the Operating Partnership, which may create conflicts of interest</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220" w:firstLine="632"/>
        <w:spacing w:after="0" w:line="248" w:lineRule="auto"/>
        <w:rPr>
          <w:sz w:val="20"/>
          <w:szCs w:val="20"/>
          <w:color w:val="auto"/>
        </w:rPr>
      </w:pPr>
      <w:r>
        <w:rPr>
          <w:rFonts w:ascii="Times New Roman" w:cs="Times New Roman" w:eastAsia="Times New Roman" w:hAnsi="Times New Roman"/>
          <w:sz w:val="18"/>
          <w:szCs w:val="18"/>
          <w:color w:val="auto"/>
        </w:rPr>
        <w:t>Under the limited partnership agreement of the Operating Partnership, we, as the sole general partner, are responsible for the management of the Operating Partnership’s business and affairs. Conflicts of interest may exist or could arise in the future as a result of the relationships between us and our affiliates, on the one hand, and our Operating Partnership or any of its partners, on the other. Our directors and officers have duties to our Company under Maryland law in connection with their management of our Company. At the same time, we have duties and obligations to our Operating Partnership and its limited partners under Delaware law as modified by the partnership agreement of our Operating Partnership in connection with the management of our Operating Partnership as the sole general partner. Our duties and obligations as the general partner of our Operating Partnership may come into conflict with the duties of our directors and officers to our Company and our stockholders.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Outside partners in Joint Venture Centers result in additional risks to our stockholders</w:t>
      </w:r>
      <w:r>
        <w:rPr>
          <w:rFonts w:ascii="Times New Roman" w:cs="Times New Roman" w:eastAsia="Times New Roman" w:hAnsi="Times New Roman"/>
          <w:sz w:val="18"/>
          <w:szCs w:val="18"/>
          <w:color w:val="auto"/>
        </w:rPr>
        <w:t>.</w:t>
      </w:r>
    </w:p>
    <w:p>
      <w:pPr>
        <w:spacing w:after="0" w:line="232" w:lineRule="exact"/>
        <w:rPr>
          <w:sz w:val="20"/>
          <w:szCs w:val="20"/>
          <w:color w:val="auto"/>
        </w:rPr>
      </w:pPr>
    </w:p>
    <w:p>
      <w:pPr>
        <w:ind w:right="100" w:firstLine="632"/>
        <w:spacing w:after="0" w:line="256" w:lineRule="auto"/>
        <w:rPr>
          <w:sz w:val="20"/>
          <w:szCs w:val="20"/>
          <w:color w:val="auto"/>
        </w:rPr>
      </w:pPr>
      <w:r>
        <w:rPr>
          <w:rFonts w:ascii="Times New Roman" w:cs="Times New Roman" w:eastAsia="Times New Roman" w:hAnsi="Times New Roman"/>
          <w:sz w:val="18"/>
          <w:szCs w:val="18"/>
          <w:color w:val="auto"/>
        </w:rPr>
        <w:t>We own partial interests in property partnerships that own 20 Joint Venture Centers and one development property, as well as several development sites. We may acquire partial interests in additional properties through joint venture arrangements. Investments in Joint Venture Centers involve risks different from those of investments in Wholly Owned Centers.</w:t>
      </w:r>
    </w:p>
    <w:p>
      <w:pPr>
        <w:spacing w:after="0" w:line="115" w:lineRule="exact"/>
        <w:rPr>
          <w:sz w:val="20"/>
          <w:szCs w:val="20"/>
          <w:color w:val="auto"/>
        </w:rPr>
      </w:pPr>
    </w:p>
    <w:p>
      <w:pPr>
        <w:jc w:val="both"/>
        <w:ind w:firstLine="632"/>
        <w:spacing w:after="0" w:line="303" w:lineRule="auto"/>
        <w:rPr>
          <w:sz w:val="20"/>
          <w:szCs w:val="20"/>
          <w:color w:val="auto"/>
        </w:rPr>
      </w:pPr>
      <w:r>
        <w:rPr>
          <w:rFonts w:ascii="Times New Roman" w:cs="Times New Roman" w:eastAsia="Times New Roman" w:hAnsi="Times New Roman"/>
          <w:sz w:val="16"/>
          <w:szCs w:val="16"/>
          <w:color w:val="auto"/>
        </w:rPr>
        <w:t>We have fiduciary responsibilities to our joint venture partners that could affect decisions concerning the Joint Venture Centers. Our partners in certain Joint Venture Centers (notwithstanding our majority legal ownership) share control of major decisions relating to the Joint Venture Centers, including decisions with respect to sales, refinancings and the timing and amount of additional capital contributions, as well as decisions that could have an adverse impact on us.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we may lose our management and other rights relating to the Joint Venture Centers if:</w:t>
      </w:r>
    </w:p>
    <w:p>
      <w:pPr>
        <w:spacing w:after="0" w:line="136" w:lineRule="exact"/>
        <w:rPr>
          <w:sz w:val="20"/>
          <w:szCs w:val="20"/>
          <w:color w:val="auto"/>
        </w:rPr>
      </w:pPr>
    </w:p>
    <w:p>
      <w:pPr>
        <w:ind w:left="940" w:hanging="302"/>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contribute our share of additional capital needed by the property partnerships; or</w:t>
      </w:r>
    </w:p>
    <w:p>
      <w:pPr>
        <w:spacing w:after="0" w:line="148" w:lineRule="exact"/>
        <w:rPr>
          <w:rFonts w:ascii="Times New Roman" w:cs="Times New Roman" w:eastAsia="Times New Roman" w:hAnsi="Times New Roman"/>
          <w:sz w:val="18"/>
          <w:szCs w:val="18"/>
          <w:color w:val="auto"/>
        </w:rPr>
      </w:pPr>
    </w:p>
    <w:p>
      <w:pPr>
        <w:ind w:left="960" w:right="100" w:hanging="322"/>
        <w:spacing w:after="0" w:line="269"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under a partnership agreement for a property partnership or other agreements relating to the property partnerships or the Joint Venture Centers.</w:t>
      </w:r>
    </w:p>
    <w:p>
      <w:pPr>
        <w:spacing w:after="0" w:line="102" w:lineRule="exact"/>
        <w:rPr>
          <w:sz w:val="20"/>
          <w:szCs w:val="20"/>
          <w:color w:val="auto"/>
        </w:rPr>
      </w:pPr>
    </w:p>
    <w:p>
      <w:pPr>
        <w:ind w:firstLine="632"/>
        <w:spacing w:after="0" w:line="249" w:lineRule="auto"/>
        <w:rPr>
          <w:sz w:val="20"/>
          <w:szCs w:val="20"/>
          <w:color w:val="auto"/>
        </w:rPr>
      </w:pPr>
      <w:r>
        <w:rPr>
          <w:rFonts w:ascii="Times New Roman" w:cs="Times New Roman" w:eastAsia="Times New Roman" w:hAnsi="Times New Roman"/>
          <w:sz w:val="18"/>
          <w:szCs w:val="18"/>
          <w:color w:val="auto"/>
        </w:rPr>
        <w:t>Furthermore, if one of our joint venture partners filed for bankruptcy, it could materially and adversely affect the respective property or properties. Pursuant to the bankruptcy code, we could be precluded from taking some actions affecting the estate of our joint venture partner without prior court approval which would, in most cases, entail prior notice to other parties and a hearing. At a minimum, the requirement to obtain court approval may delay the actions we would or might want to take. If the relevant joint venture through which we have invested in a Joint Venture Center has incurred recourse obligations, the discharge in bankruptcy of one of the joint venture partners might result in our ultimate liability for a greater portion of those obligations than would otherwise be required.</w:t>
      </w:r>
    </w:p>
    <w:p>
      <w:pPr>
        <w:spacing w:after="0" w:line="108" w:lineRule="exact"/>
        <w:rPr>
          <w:sz w:val="20"/>
          <w:szCs w:val="20"/>
          <w:color w:val="auto"/>
        </w:rPr>
      </w:pPr>
    </w:p>
    <w:p>
      <w:pPr>
        <w:ind w:right="80" w:firstLine="632"/>
        <w:spacing w:after="0" w:line="249" w:lineRule="auto"/>
        <w:rPr>
          <w:sz w:val="20"/>
          <w:szCs w:val="20"/>
          <w:color w:val="auto"/>
        </w:rPr>
      </w:pPr>
      <w:r>
        <w:rPr>
          <w:rFonts w:ascii="Times New Roman" w:cs="Times New Roman" w:eastAsia="Times New Roman" w:hAnsi="Times New Roman"/>
          <w:sz w:val="18"/>
          <w:szCs w:val="18"/>
          <w:color w:val="auto"/>
        </w:rPr>
        <w:t>Our legal ownership interest in a joint venture vehicle may, at times, not equal our economic interest in the entity because of various provisions in certain joint venture agreements regarding distributions of cash flow based on capital account balances, allocations of profits and losses and payments of preferred returns. As a result, our actual economic interest (as distinct from our legal ownership interest) in certain of the Joint Venture Centers could fluctuate from time to time and may not wholly align with our legal ownership interests. Substantially all of our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holding company structure makes us dependent on distributions from the Operating Partnership</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140" w:firstLine="632"/>
        <w:spacing w:after="0" w:line="249" w:lineRule="auto"/>
        <w:rPr>
          <w:sz w:val="20"/>
          <w:szCs w:val="20"/>
          <w:color w:val="auto"/>
        </w:rPr>
      </w:pPr>
      <w:r>
        <w:rPr>
          <w:rFonts w:ascii="Times New Roman" w:cs="Times New Roman" w:eastAsia="Times New Roman" w:hAnsi="Times New Roman"/>
          <w:sz w:val="18"/>
          <w:szCs w:val="18"/>
          <w:color w:val="auto"/>
        </w:rPr>
        <w:t>Because we conduct our operations through the Operating Partnership, our ability to service our debt obligations and pay dividends to our stockholders is strictly dependent upon the earnings and cash flows of the Operating Partnership and the ability of the Operating Partnership to make distributions to us. Under the Delaware Revised Uniform Limited Partnership Act, the Operating Partnership is prohibited from making any distribution to us to the extent that at the time of the distribution, after giving effect to the distribution, all liabilities of the Operating Partnership (other than some non-recourse liabilities and some liabilities to the partners) exceed the fair value of the assets of the Operating Partnership. An inability to make cash distributions from the Operating Partnership could jeopardize our ability to maintain qualification as a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An ownership limit and certain of our Charter and bylaw provisions could inhibit a change of control or reduce the value of our common stock</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firstLine="632"/>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The Ownership Limit. </w:t>
      </w:r>
      <w:r>
        <w:rPr>
          <w:rFonts w:ascii="Times New Roman" w:cs="Times New Roman" w:eastAsia="Times New Roman" w:hAnsi="Times New Roman"/>
          <w:sz w:val="18"/>
          <w:szCs w:val="18"/>
          <w:color w:val="auto"/>
        </w:rPr>
        <w:t>In order for us to maintain our qualification as a REIT, not more than 50% in value of our outstanding stock (after taking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certain options to acquire stock) may be owned, directly or indirectly or through the application of certain attribution rules, by five or fewer individuals (as defined in the Internal Revenue Code of 1986, as amended (the “Code”), to include some entities that would not ordinarily be considered “individuals”) at any time during the last half of a taxable year. To assist us in maintaining our qualification as a REIT, among other purposes, our Charter restricts ownership of more than 5% (the “Ownership Limit”) of the lesser of the number or value of our outstanding shares of stock by any single stockholder or a group of stockholders (with limited exceptions). In addition to enhancing preservation of our status as a REIT, the Ownership Limit may:</w:t>
      </w:r>
    </w:p>
    <w:p>
      <w:pPr>
        <w:spacing w:after="0" w:line="123" w:lineRule="exact"/>
        <w:rPr>
          <w:sz w:val="20"/>
          <w:szCs w:val="20"/>
          <w:color w:val="auto"/>
        </w:rPr>
      </w:pPr>
    </w:p>
    <w:p>
      <w:pPr>
        <w:ind w:left="960" w:right="200" w:hanging="322"/>
        <w:spacing w:after="0" w:line="269"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effect of delaying, deferring or preventing a change in control of us or other transaction without the approval of our board of directors, even if the change in control or other transaction is in the best interests of our stockholders; and</w:t>
      </w:r>
    </w:p>
    <w:p>
      <w:pPr>
        <w:spacing w:after="0" w:line="89" w:lineRule="exact"/>
        <w:rPr>
          <w:rFonts w:ascii="Times New Roman" w:cs="Times New Roman" w:eastAsia="Times New Roman" w:hAnsi="Times New Roman"/>
          <w:sz w:val="18"/>
          <w:szCs w:val="18"/>
          <w:color w:val="auto"/>
        </w:rPr>
      </w:pPr>
    </w:p>
    <w:p>
      <w:pPr>
        <w:ind w:left="960" w:right="100" w:hanging="322"/>
        <w:spacing w:after="0" w:line="269"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opportunity for our stockholders to receive a premium for their common stock or preferred stock that they might otherwise receive if an investor were attempting to acquire a block of stock in excess of the Ownership Limit or otherwise effect a change in control of us.</w:t>
      </w:r>
    </w:p>
    <w:p>
      <w:pPr>
        <w:spacing w:after="0" w:line="102" w:lineRule="exact"/>
        <w:rPr>
          <w:sz w:val="20"/>
          <w:szCs w:val="20"/>
          <w:color w:val="auto"/>
        </w:rPr>
      </w:pPr>
    </w:p>
    <w:p>
      <w:pPr>
        <w:ind w:right="340" w:firstLine="632"/>
        <w:spacing w:after="0" w:line="332" w:lineRule="auto"/>
        <w:rPr>
          <w:sz w:val="20"/>
          <w:szCs w:val="20"/>
          <w:color w:val="auto"/>
        </w:rPr>
      </w:pPr>
      <w:r>
        <w:rPr>
          <w:rFonts w:ascii="Times New Roman" w:cs="Times New Roman" w:eastAsia="Times New Roman" w:hAnsi="Times New Roman"/>
          <w:sz w:val="16"/>
          <w:szCs w:val="16"/>
          <w:color w:val="auto"/>
        </w:rPr>
        <w:t>Our board of directors, in its sole discretion, may waive or modify (subject to limitations and upon any conditions as it may direct) the Ownership Limit with respect to one or more of our stockholders, if it is satisfied that ownership in excess of this limit will not jeopardize our status as a REIT.</w:t>
      </w:r>
    </w:p>
    <w:p>
      <w:pPr>
        <w:spacing w:after="0" w:line="55" w:lineRule="exact"/>
        <w:rPr>
          <w:sz w:val="20"/>
          <w:szCs w:val="20"/>
          <w:color w:val="auto"/>
        </w:rPr>
      </w:pPr>
    </w:p>
    <w:p>
      <w:pPr>
        <w:ind w:right="40" w:firstLine="6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Selected Provisions of our Charter and bylaws. </w:t>
      </w:r>
      <w:r>
        <w:rPr>
          <w:rFonts w:ascii="Times New Roman" w:cs="Times New Roman" w:eastAsia="Times New Roman" w:hAnsi="Times New Roman"/>
          <w:sz w:val="18"/>
          <w:szCs w:val="18"/>
          <w:color w:val="auto"/>
        </w:rPr>
        <w:t>Some of the provisions of our Charter and bylaws may have the effect of delaying, deferring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These provisions include the following:</w:t>
      </w:r>
    </w:p>
    <w:p>
      <w:pPr>
        <w:spacing w:after="0" w:line="104" w:lineRule="exact"/>
        <w:rPr>
          <w:sz w:val="20"/>
          <w:szCs w:val="20"/>
          <w:color w:val="auto"/>
        </w:rPr>
      </w:pPr>
    </w:p>
    <w:p>
      <w:pPr>
        <w:ind w:left="940" w:hanging="302"/>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directors and stockholder proposals to be considered at stockholder meetings;</w:t>
      </w:r>
    </w:p>
    <w:p>
      <w:pPr>
        <w:spacing w:after="0" w:line="148" w:lineRule="exact"/>
        <w:rPr>
          <w:rFonts w:ascii="Times New Roman" w:cs="Times New Roman" w:eastAsia="Times New Roman" w:hAnsi="Times New Roman"/>
          <w:sz w:val="18"/>
          <w:szCs w:val="18"/>
          <w:color w:val="auto"/>
        </w:rPr>
      </w:pPr>
    </w:p>
    <w:p>
      <w:pPr>
        <w:ind w:left="960" w:right="680" w:hanging="322"/>
        <w:spacing w:after="0" w:line="269"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our directors to consider a variety of factors with respect to a proposed business combination or other change of control transaction;</w:t>
      </w:r>
    </w:p>
    <w:p>
      <w:pPr>
        <w:spacing w:after="0" w:line="102" w:lineRule="exact"/>
        <w:rPr>
          <w:rFonts w:ascii="Times New Roman" w:cs="Times New Roman" w:eastAsia="Times New Roman" w:hAnsi="Times New Roman"/>
          <w:sz w:val="18"/>
          <w:szCs w:val="18"/>
          <w:color w:val="auto"/>
        </w:rPr>
      </w:pPr>
    </w:p>
    <w:p>
      <w:pPr>
        <w:ind w:left="960" w:right="240" w:hanging="322"/>
        <w:spacing w:after="0" w:line="269"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directors to classify or reclassify unissued shares and cause the Company to issue shares of one or more classes or series of common stock or preferred stock;</w:t>
      </w:r>
    </w:p>
    <w:p>
      <w:pPr>
        <w:spacing w:after="0" w:line="89" w:lineRule="exact"/>
        <w:rPr>
          <w:rFonts w:ascii="Times New Roman" w:cs="Times New Roman" w:eastAsia="Times New Roman" w:hAnsi="Times New Roman"/>
          <w:sz w:val="18"/>
          <w:szCs w:val="18"/>
          <w:color w:val="auto"/>
        </w:rPr>
      </w:pPr>
    </w:p>
    <w:p>
      <w:pPr>
        <w:ind w:left="960" w:right="360" w:hanging="322"/>
        <w:spacing w:after="0" w:line="269"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directors to create and cause the Company to issue rights entitling the holders thereof to purchase shares of stock or other securities from us; and</w:t>
      </w:r>
    </w:p>
    <w:p>
      <w:pPr>
        <w:spacing w:after="0" w:line="102"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amendment of our Charter, the change in control of us, and the liability of our directors and officers.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Maryland law could inhibit a change in control or reduce the value of our common stock</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jc w:val="both"/>
        <w:ind w:right="260" w:firstLine="632"/>
        <w:spacing w:after="0" w:line="303" w:lineRule="auto"/>
        <w:rPr>
          <w:sz w:val="20"/>
          <w:szCs w:val="20"/>
          <w:color w:val="auto"/>
        </w:rPr>
      </w:pPr>
      <w:r>
        <w:rPr>
          <w:rFonts w:ascii="Times New Roman" w:cs="Times New Roman" w:eastAsia="Times New Roman" w:hAnsi="Times New Roman"/>
          <w:sz w:val="16"/>
          <w:szCs w:val="16"/>
          <w:color w:val="auto"/>
        </w:rPr>
        <w:t>Certain provisions of the Maryland General Corporation Law (the “MGCL”) may have the effect of delaying, deferring or 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including:</w:t>
      </w:r>
    </w:p>
    <w:p>
      <w:pPr>
        <w:spacing w:after="0" w:line="80" w:lineRule="exact"/>
        <w:rPr>
          <w:sz w:val="20"/>
          <w:szCs w:val="20"/>
          <w:color w:val="auto"/>
        </w:rPr>
      </w:pPr>
    </w:p>
    <w:p>
      <w:pPr>
        <w:ind w:left="960" w:right="20" w:hanging="322"/>
        <w:spacing w:after="0" w:line="249"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or associate of ours who, at any time within the two-year period immediately prior to the date in question, was the beneficial owner of 10% or more of our then outstanding stock) or an affiliate of an interested stockholder for five years after the most recent date on which the stockholder becomes an interested stockholder, and thereafter may impose special appraisal rights and special stockholder voting requirements on these combinations; and</w:t>
      </w:r>
    </w:p>
    <w:p>
      <w:pPr>
        <w:spacing w:after="0" w:line="121" w:lineRule="exact"/>
        <w:rPr>
          <w:rFonts w:ascii="Times New Roman" w:cs="Times New Roman" w:eastAsia="Times New Roman" w:hAnsi="Times New Roman"/>
          <w:sz w:val="18"/>
          <w:szCs w:val="18"/>
          <w:color w:val="auto"/>
        </w:rPr>
      </w:pPr>
    </w:p>
    <w:p>
      <w:pPr>
        <w:ind w:left="960" w:right="220" w:hanging="322"/>
        <w:spacing w:after="0" w:line="256"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Share” provisions that provide that holders of “control shares” of our Company (defined as shares which, when aggregated with other shares controlled by the stockholder, entitle the stockholder to exercise one of three increasing ranges of voting power in electing directors) acquired in a “control share acquisition” (defined as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26" w:name="page27"/>
    <w:bookmarkEnd w:id="26"/>
    <w:p>
      <w:pPr>
        <w:ind w:left="960" w:right="80"/>
        <w:spacing w:after="0" w:line="269" w:lineRule="auto"/>
        <w:rPr>
          <w:sz w:val="20"/>
          <w:szCs w:val="20"/>
          <w:color w:val="auto"/>
        </w:rPr>
      </w:pPr>
      <w:r>
        <w:rPr>
          <w:rFonts w:ascii="Times New Roman" w:cs="Times New Roman" w:eastAsia="Times New Roman" w:hAnsi="Times New Roman"/>
          <w:sz w:val="18"/>
          <w:szCs w:val="18"/>
          <w:color w:val="auto"/>
        </w:rPr>
        <w:t>direct or indirect acquisition of ownership or control of “control shares”) have no voting rights except to the extent approved by our stockholders by the affirmative vote of at least two-thirds of all the votes entitled to be cast on the matter, excluding all interested shares.</w:t>
      </w:r>
    </w:p>
    <w:p>
      <w:pPr>
        <w:spacing w:after="0" w:line="102" w:lineRule="exact"/>
        <w:rPr>
          <w:sz w:val="20"/>
          <w:szCs w:val="20"/>
          <w:color w:val="auto"/>
        </w:rPr>
      </w:pPr>
    </w:p>
    <w:p>
      <w:pPr>
        <w:ind w:firstLine="632"/>
        <w:spacing w:after="0" w:line="252" w:lineRule="auto"/>
        <w:rPr>
          <w:sz w:val="20"/>
          <w:szCs w:val="20"/>
          <w:color w:val="auto"/>
        </w:rPr>
      </w:pPr>
      <w:r>
        <w:rPr>
          <w:rFonts w:ascii="Times New Roman" w:cs="Times New Roman" w:eastAsia="Times New Roman" w:hAnsi="Times New Roman"/>
          <w:sz w:val="18"/>
          <w:szCs w:val="18"/>
          <w:color w:val="auto"/>
        </w:rPr>
        <w:t>As permitted by the MGCL, our Charter exempts from the “business combination” provisions any business combination between us and the principals and their respective affiliates and related persons. The MGCL also allows the board of directors to exempt particular business combinations before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106" w:lineRule="exact"/>
        <w:rPr>
          <w:sz w:val="20"/>
          <w:szCs w:val="20"/>
          <w:color w:val="auto"/>
        </w:rPr>
      </w:pPr>
    </w:p>
    <w:p>
      <w:pPr>
        <w:ind w:right="220" w:firstLine="632"/>
        <w:spacing w:after="0" w:line="252" w:lineRule="auto"/>
        <w:rPr>
          <w:sz w:val="20"/>
          <w:szCs w:val="20"/>
          <w:color w:val="auto"/>
        </w:rPr>
      </w:pPr>
      <w:r>
        <w:rPr>
          <w:rFonts w:ascii="Times New Roman" w:cs="Times New Roman" w:eastAsia="Times New Roman" w:hAnsi="Times New Roman"/>
          <w:sz w:val="18"/>
          <w:szCs w:val="18"/>
          <w:color w:val="auto"/>
        </w:rPr>
        <w:t>Additionally, pursuant to a provision in our bylaws, we have opted out of the “control share” acquisition provisions of the MGCL. However, in the future, we may, without the approval of our stockholders, by amendment to our bylaws, opt in to the control share provisions of the MGCL. The MGCL and our Charter also contain supermajority voting requirements with respect to our ability to amend certain provisions of our Charter, merge, or sell all or substantially all of our assets.</w:t>
      </w:r>
    </w:p>
    <w:p>
      <w:pPr>
        <w:spacing w:after="0" w:line="119" w:lineRule="exact"/>
        <w:rPr>
          <w:sz w:val="20"/>
          <w:szCs w:val="20"/>
          <w:color w:val="auto"/>
        </w:rPr>
      </w:pPr>
    </w:p>
    <w:p>
      <w:pPr>
        <w:ind w:right="20" w:firstLine="632"/>
        <w:spacing w:after="0" w:line="252" w:lineRule="auto"/>
        <w:rPr>
          <w:sz w:val="20"/>
          <w:szCs w:val="20"/>
          <w:color w:val="auto"/>
        </w:rPr>
      </w:pPr>
      <w:r>
        <w:rPr>
          <w:rFonts w:ascii="Times New Roman" w:cs="Times New Roman" w:eastAsia="Times New Roman" w:hAnsi="Times New Roman"/>
          <w:sz w:val="18"/>
          <w:szCs w:val="18"/>
          <w:color w:val="auto"/>
        </w:rPr>
        <w:t>Furthermore, our board of directors has adopted a resolution prohibiting us from electing to be subject to the provisions of Title 3, Subtitle 8 of the MGCL that would, among other things, permit our board of directors to classify the board without stockholder approval. Such provisions of Title 3, Subtitle 8 of the MGCL could have an anti-takeover effect. We may only elect to be subject to the classified board provisions of Title 3, Subtitle 8 after first obtaining the approval of our stockholders.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RISKS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 consequences of the sale of some of the Centers and certain holdings of the principals may create conflicts of interest</w:t>
      </w:r>
      <w:r>
        <w:rPr>
          <w:rFonts w:ascii="Times New Roman" w:cs="Times New Roman" w:eastAsia="Times New Roman" w:hAnsi="Times New Roman"/>
          <w:sz w:val="18"/>
          <w:szCs w:val="18"/>
          <w:color w:val="auto"/>
        </w:rPr>
        <w:t>.</w:t>
      </w:r>
    </w:p>
    <w:p>
      <w:pPr>
        <w:spacing w:after="0" w:line="232" w:lineRule="exact"/>
        <w:rPr>
          <w:sz w:val="20"/>
          <w:szCs w:val="20"/>
          <w:color w:val="auto"/>
        </w:rPr>
      </w:pPr>
    </w:p>
    <w:p>
      <w:pPr>
        <w:ind w:right="80" w:firstLine="632"/>
        <w:spacing w:after="0" w:line="256" w:lineRule="auto"/>
        <w:rPr>
          <w:sz w:val="20"/>
          <w:szCs w:val="20"/>
          <w:color w:val="auto"/>
        </w:rPr>
      </w:pPr>
      <w:r>
        <w:rPr>
          <w:rFonts w:ascii="Times New Roman" w:cs="Times New Roman" w:eastAsia="Times New Roman" w:hAnsi="Times New Roman"/>
          <w:sz w:val="18"/>
          <w:szCs w:val="18"/>
          <w:color w:val="auto"/>
        </w:rPr>
        <w:t>The principals will experience negative tax consequences if some of the Centers are sold. As a result, the principals may not favor a sale of these Centers even though such a sale may benefit our other stockholders. In addition, the principals may have different interests than our stockholders because they are significant holders of limited partnership units in the Operating Partnership.</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fail to qualify as a REIT, we would have reduced funds available for distributions to our stockholders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60" w:firstLine="632"/>
        <w:spacing w:after="0" w:line="248" w:lineRule="auto"/>
        <w:rPr>
          <w:sz w:val="20"/>
          <w:szCs w:val="20"/>
          <w:color w:val="auto"/>
        </w:rPr>
      </w:pPr>
      <w:r>
        <w:rPr>
          <w:rFonts w:ascii="Times New Roman" w:cs="Times New Roman" w:eastAsia="Times New Roman" w:hAnsi="Times New Roman"/>
          <w:sz w:val="18"/>
          <w:szCs w:val="18"/>
          <w:color w:val="auto"/>
        </w:rPr>
        <w:t>We believe that we currently qualify as a REIT. No assurance can be given that we will remain qualified as a REIT. Qualification as a REIT involves the application of highly technical and complex Code provisions for which there are only limited judicial or administrative interpretations. The complexity of these provisions and of the applicable income tax regulations is greater in the case of a REIT structure like ours that holds assets through the Operating Partnership and joint ventures. The determination of various factual matters and circumstances not entirely within our control, including determinations by our partners in the Joint Venture Centers, may affect our continued qualification as a REIT. In addition, legislation, new regulations, administrative interpretations or court decisions could significantly change the tax laws with respect to our qualification as a REIT or the U.S. federal income tax consequences of that qualification.</w:t>
      </w:r>
    </w:p>
    <w:p>
      <w:pPr>
        <w:spacing w:after="0" w:line="123" w:lineRule="exact"/>
        <w:rPr>
          <w:sz w:val="20"/>
          <w:szCs w:val="20"/>
          <w:color w:val="auto"/>
        </w:rPr>
      </w:pPr>
    </w:p>
    <w:p>
      <w:pPr>
        <w:ind w:right="40" w:firstLine="632"/>
        <w:spacing w:after="0" w:line="303" w:lineRule="auto"/>
        <w:rPr>
          <w:sz w:val="20"/>
          <w:szCs w:val="20"/>
          <w:color w:val="auto"/>
        </w:rPr>
      </w:pPr>
      <w:r>
        <w:rPr>
          <w:rFonts w:ascii="Times New Roman" w:cs="Times New Roman" w:eastAsia="Times New Roman" w:hAnsi="Times New Roman"/>
          <w:sz w:val="16"/>
          <w:szCs w:val="16"/>
          <w:color w:val="auto"/>
        </w:rPr>
        <w:t>In addition, we currently hold certain of our properties through subsidiaries that have elected to be taxed as REITs and we may in the future determine that it is in our best interests to hold one or more of our other properties through one or more subsidiaries that elect to be taxed as REITs. If any of these subsidiaries fails to qualify as a REIT for U.S. federal income tax purposes, then we may also fail to qualify as a REIT for U.S. federal income tax purposes.</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in any taxable year we were to fail to qualify as a REIT, we will suffer the following negative results:</w:t>
      </w:r>
    </w:p>
    <w:p>
      <w:pPr>
        <w:spacing w:after="0" w:line="149" w:lineRule="exact"/>
        <w:rPr>
          <w:sz w:val="20"/>
          <w:szCs w:val="20"/>
          <w:color w:val="auto"/>
        </w:rPr>
      </w:pPr>
    </w:p>
    <w:p>
      <w:pPr>
        <w:ind w:left="940" w:hanging="302"/>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allowed a deduction for distributions to stockholders in computing our taxable income; and</w:t>
      </w:r>
    </w:p>
    <w:p>
      <w:pPr>
        <w:spacing w:after="0" w:line="148" w:lineRule="exact"/>
        <w:rPr>
          <w:rFonts w:ascii="Times New Roman" w:cs="Times New Roman" w:eastAsia="Times New Roman" w:hAnsi="Times New Roman"/>
          <w:sz w:val="18"/>
          <w:szCs w:val="18"/>
          <w:color w:val="auto"/>
        </w:rPr>
      </w:pPr>
    </w:p>
    <w:p>
      <w:pPr>
        <w:ind w:left="940" w:hanging="302"/>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U.S. federal and state income tax on our taxable income at regular corporate rates.</w:t>
      </w:r>
    </w:p>
    <w:p>
      <w:pPr>
        <w:spacing w:after="0" w:line="136" w:lineRule="exact"/>
        <w:rPr>
          <w:sz w:val="20"/>
          <w:szCs w:val="20"/>
          <w:color w:val="auto"/>
        </w:rPr>
      </w:pPr>
    </w:p>
    <w:p>
      <w:pPr>
        <w:ind w:right="40" w:firstLine="632"/>
        <w:spacing w:after="0" w:line="249" w:lineRule="auto"/>
        <w:rPr>
          <w:sz w:val="20"/>
          <w:szCs w:val="20"/>
          <w:color w:val="auto"/>
        </w:rPr>
      </w:pPr>
      <w:r>
        <w:rPr>
          <w:rFonts w:ascii="Times New Roman" w:cs="Times New Roman" w:eastAsia="Times New Roman" w:hAnsi="Times New Roman"/>
          <w:sz w:val="18"/>
          <w:szCs w:val="18"/>
          <w:color w:val="auto"/>
        </w:rPr>
        <w:t>In addition, if we were to lose our REIT status, we would be prohibited from qualifying as a REIT for the four taxable years following the year during which the qualification was lost, absent relief under statutory provisions. As a result, net income and the funds available for distributions to our stockholders would be reduced for at least five years and the fair market value of our shares could be materially adversely affected. Furthermore, the Internal Revenue Service could challenge our REIT status for past periods. Such a challenge, if successful, could result in us owing a material amount of tax, interest and penalties for prior periods. It is possible that future economic, market, legal, tax or other considerations might cause our board of directors to revoke our REIT election.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32" w:right="359" w:bottom="1440" w:gutter="0" w:footer="0" w:header="0"/>
        </w:sectPr>
      </w:pPr>
    </w:p>
    <w:bookmarkStart w:id="27" w:name="page28"/>
    <w:bookmarkEnd w:id="27"/>
    <w:p>
      <w:pPr>
        <w:ind w:right="140" w:firstLine="632"/>
        <w:spacing w:after="0" w:line="269" w:lineRule="auto"/>
        <w:rPr>
          <w:sz w:val="20"/>
          <w:szCs w:val="20"/>
          <w:color w:val="auto"/>
        </w:rPr>
      </w:pPr>
      <w:r>
        <w:rPr>
          <w:rFonts w:ascii="Times New Roman" w:cs="Times New Roman" w:eastAsia="Times New Roman" w:hAnsi="Times New Roman"/>
          <w:sz w:val="18"/>
          <w:szCs w:val="18"/>
          <w:color w:val="auto"/>
        </w:rPr>
        <w:t>Even if we remain qualified as a REIT, we might face other tax liabilities that reduce our cash flow. Further, we might be subject to federal, state and local taxes on our income and property. Any of these taxes would decrease cash available for distributions to stockholders.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might cause us to forego otherwise attractive opportunities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firstLine="632"/>
        <w:spacing w:after="0" w:line="252" w:lineRule="auto"/>
        <w:rPr>
          <w:sz w:val="20"/>
          <w:szCs w:val="20"/>
          <w:color w:val="auto"/>
        </w:rPr>
      </w:pPr>
      <w:r>
        <w:rPr>
          <w:rFonts w:ascii="Times New Roman" w:cs="Times New Roman" w:eastAsia="Times New Roman" w:hAnsi="Times New Roman"/>
          <w:sz w:val="18"/>
          <w:szCs w:val="18"/>
          <w:color w:val="auto"/>
        </w:rPr>
        <w:t>In order to qualify as a REIT for U.S. federal income tax purposes, we must satisfy tests concerning, among other things, our sources of income, the nature of our assets, the amounts we distribute to our stockholders and the ownership of our stock. We may also be required to make distributions to our stockholders at disadvantageous times or when we do not have funds readily available for distribution. Thus, compliance with REIT requirements may cause us to forego opportunities we would otherwise pursue.</w:t>
      </w:r>
    </w:p>
    <w:p>
      <w:pPr>
        <w:spacing w:after="0" w:line="106" w:lineRule="exact"/>
        <w:rPr>
          <w:sz w:val="20"/>
          <w:szCs w:val="20"/>
          <w:color w:val="auto"/>
        </w:rPr>
      </w:pPr>
    </w:p>
    <w:p>
      <w:pPr>
        <w:ind w:right="40" w:firstLine="632"/>
        <w:spacing w:after="0" w:line="252" w:lineRule="auto"/>
        <w:rPr>
          <w:sz w:val="20"/>
          <w:szCs w:val="20"/>
          <w:color w:val="auto"/>
        </w:rPr>
      </w:pPr>
      <w:r>
        <w:rPr>
          <w:rFonts w:ascii="Times New Roman" w:cs="Times New Roman" w:eastAsia="Times New Roman" w:hAnsi="Times New Roman"/>
          <w:sz w:val="18"/>
          <w:szCs w:val="18"/>
          <w:color w:val="auto"/>
        </w:rPr>
        <w:t>In addition, the REIT provisions of the Code impose a 100% tax on income from “prohibited transactions.” Prohibited transactions generally include sales of assets that do not qualify for a statutory safe harbor if such assets constitute inventory or other property held for sale in the ordinary course of business, other than foreclosure property. This 100% tax could impact our desire to sell assets and other investments at otherwise opportune times if we believe such sales could be considered prohibited transactions.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force us to borrow or take other measures to make distributions to our stockholders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40" w:firstLine="632"/>
        <w:spacing w:after="0" w:line="247" w:lineRule="auto"/>
        <w:rPr>
          <w:sz w:val="20"/>
          <w:szCs w:val="20"/>
          <w:color w:val="auto"/>
        </w:rPr>
      </w:pPr>
      <w:r>
        <w:rPr>
          <w:rFonts w:ascii="Times New Roman" w:cs="Times New Roman" w:eastAsia="Times New Roman" w:hAnsi="Times New Roman"/>
          <w:sz w:val="18"/>
          <w:szCs w:val="18"/>
          <w:color w:val="auto"/>
        </w:rPr>
        <w:t>As a REIT, we generally must distribute 90% of our annual taxable income (subject to certain adjustments) to our stockholders. From time to time, we might generate taxable income greater than our net income for financial reporting purposes, or our taxable income might be greater than our cash flow available for distributions to our stockholders. If we do not have other funds available in these situations, we might be unable to distribute 90% of our taxable income as required by the REIT rules. In that case, we would need to borrow funds, liquidate or sell a portion of our properties or investments (potentially at disadvantageous or unfavorable prices), in certain limited cases distribute a combination of cash and stock (at our stockholders’ election but subject to an aggregate cash limit established by the Company) or find another alternative source of funds. These alternatives could increase our costs or reduce our equity. In addition, to the extent we borrow funds to pay distributions, the amount of cash available to us in future periods will be decreased by the amount of cash flow we will need to service principal and interest on the amounts we borrow, which will limit cash flow available to us for other investments or business opportunities.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in connection with Section 1031 Exchanges</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right="40" w:firstLine="632"/>
        <w:spacing w:after="0" w:line="250" w:lineRule="auto"/>
        <w:rPr>
          <w:sz w:val="20"/>
          <w:szCs w:val="20"/>
          <w:color w:val="auto"/>
        </w:rPr>
      </w:pPr>
      <w:r>
        <w:rPr>
          <w:rFonts w:ascii="Times New Roman" w:cs="Times New Roman" w:eastAsia="Times New Roman" w:hAnsi="Times New Roman"/>
          <w:sz w:val="18"/>
          <w:szCs w:val="18"/>
          <w:color w:val="auto"/>
        </w:rPr>
        <w:t>If a transaction intended to qualify as a Section 1031 Exchange is later determined to be taxable, we may face adverse consequences, and if the laws applicable to such transactions are amended or repealed, we may not be able to dispose of properties on a tax deferred basis. Section 1031 Exchanges now only apply to real property and do not apply to any related personal property transferred with the real property. As a result, any appreciated personal property that is transferred in connection with a Section 1031 Exchange of real property will cause gain to be recognized, and such gain is generally treated as non-qualifying income for the 95% and 75% gross income tests. Any such non-qualifying income could have an adverse effect on our REIT status.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Operating Partnership fails to maintain its status as a partnership for tax purposes, we would face adverse tax consequences.</w:t>
      </w:r>
    </w:p>
    <w:p>
      <w:pPr>
        <w:spacing w:after="0" w:line="245" w:lineRule="exact"/>
        <w:rPr>
          <w:sz w:val="20"/>
          <w:szCs w:val="20"/>
          <w:color w:val="auto"/>
        </w:rPr>
      </w:pPr>
    </w:p>
    <w:p>
      <w:pPr>
        <w:ind w:firstLine="632"/>
        <w:spacing w:after="0" w:line="284" w:lineRule="auto"/>
        <w:rPr>
          <w:sz w:val="20"/>
          <w:szCs w:val="20"/>
          <w:color w:val="auto"/>
        </w:rPr>
      </w:pPr>
      <w:r>
        <w:rPr>
          <w:rFonts w:ascii="Times New Roman" w:cs="Times New Roman" w:eastAsia="Times New Roman" w:hAnsi="Times New Roman"/>
          <w:sz w:val="16"/>
          <w:szCs w:val="16"/>
          <w:color w:val="auto"/>
        </w:rPr>
        <w:t>We intend to maintain the status of the Operating Partnership as a partnership for federal income tax purposes. However, if the Internal Revenue Service were to successfully challenge the status of the Operating Partnership as an entity taxable as a partnership, the Operating Partnership would be taxable as a corporation. This would reduce the amount of distributions that the Operating Partnership could make to us. This could also result in our losing REIT status, with the consequences described above. This would substantially reduce the cash available to us to make distributions and the return on your investment. In addition, if any of the partnerships or limited liability companies through which the Operating Partnership owns its property, in whole or in part, loses its characterization as a partnership or disregarded entity for federal income tax purposes, it would be subject to taxation as a corporation, thereby reducing distributions to the Operating Partnership. Such a recharacterization of an underlying entity could also threaten our ability to maintain REIT status.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action could adversely affect our stockholders.</w:t>
      </w:r>
    </w:p>
    <w:p>
      <w:pPr>
        <w:spacing w:after="0" w:line="245" w:lineRule="exact"/>
        <w:rPr>
          <w:sz w:val="20"/>
          <w:szCs w:val="20"/>
          <w:color w:val="auto"/>
        </w:rPr>
      </w:pPr>
    </w:p>
    <w:p>
      <w:pPr>
        <w:ind w:right="240" w:firstLine="632"/>
        <w:spacing w:after="0" w:line="256" w:lineRule="auto"/>
        <w:rPr>
          <w:sz w:val="20"/>
          <w:szCs w:val="20"/>
          <w:color w:val="auto"/>
        </w:rPr>
      </w:pPr>
      <w:r>
        <w:rPr>
          <w:rFonts w:ascii="Times New Roman" w:cs="Times New Roman" w:eastAsia="Times New Roman" w:hAnsi="Times New Roman"/>
          <w:sz w:val="18"/>
          <w:szCs w:val="18"/>
          <w:color w:val="auto"/>
        </w:rPr>
        <w:t>In recent years, numerous legislative, judicial and administrative changes have been made to the U.S. federal income tax laws applicable to investments similar to an investment in our stock. Additional changes to tax laws are likely to continue in the future, and we cannot assure you that any such changes will not adversely affect the taxation of us or our stockholders.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8"/>
          <w:szCs w:val="18"/>
          <w:color w:val="auto"/>
        </w:rPr>
        <w:t>Any such changes could have an adverse effect on an investment in our stock or on the market value or the resale potential of our properties.</w:t>
      </w:r>
    </w:p>
    <w:p>
      <w:pPr>
        <w:spacing w:after="0" w:line="14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6"/>
          <w:szCs w:val="16"/>
          <w:b w:val="1"/>
          <w:bCs w:val="1"/>
          <w:color w:val="auto"/>
        </w:rPr>
        <w:t>CYBERSECURITY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13" w:lineRule="exact"/>
        <w:rPr>
          <w:sz w:val="20"/>
          <w:szCs w:val="20"/>
          <w:color w:val="auto"/>
        </w:rPr>
      </w:pPr>
    </w:p>
    <w:p>
      <w:pPr>
        <w:ind w:right="20" w:firstLine="632"/>
        <w:spacing w:after="0" w:line="228" w:lineRule="auto"/>
        <w:rPr>
          <w:sz w:val="20"/>
          <w:szCs w:val="20"/>
          <w:color w:val="auto"/>
        </w:rPr>
      </w:pPr>
      <w:r>
        <w:rPr>
          <w:rFonts w:ascii="Times New Roman" w:cs="Times New Roman" w:eastAsia="Times New Roman" w:hAnsi="Times New Roman"/>
          <w:sz w:val="18"/>
          <w:szCs w:val="18"/>
          <w:color w:val="auto"/>
        </w:rPr>
        <w:t>The Company, under the oversight of the Audit Committee of its Board of Directors, has implemented and maintains a cybersecurity risk management program that includes processes for the systematic identification, assessment and treatment (through mitigation, transfer, avoidance and/or acceptance) of cybersecurity risks. This program extends to third-party vendors and the various properties under the Company’s management, including corporate and commercial properties, through establishing vendor risk requirements and conducting vendor risk assessments.</w:t>
      </w:r>
    </w:p>
    <w:p>
      <w:pPr>
        <w:spacing w:after="0" w:line="208" w:lineRule="exact"/>
        <w:rPr>
          <w:sz w:val="20"/>
          <w:szCs w:val="20"/>
          <w:color w:val="auto"/>
        </w:rPr>
      </w:pPr>
    </w:p>
    <w:p>
      <w:pPr>
        <w:ind w:right="20" w:firstLine="632"/>
        <w:spacing w:after="0" w:line="236" w:lineRule="auto"/>
        <w:rPr>
          <w:sz w:val="20"/>
          <w:szCs w:val="20"/>
          <w:color w:val="auto"/>
        </w:rPr>
      </w:pPr>
      <w:r>
        <w:rPr>
          <w:rFonts w:ascii="Times New Roman" w:cs="Times New Roman" w:eastAsia="Times New Roman" w:hAnsi="Times New Roman"/>
          <w:sz w:val="18"/>
          <w:szCs w:val="18"/>
          <w:color w:val="auto"/>
        </w:rPr>
        <w:t>This risk management program addresses, but is not limited to, risks identified by external auditors and assessors, internal auditors and assessors, threat intelligence providers, internal stakeholders, vulnerability management programs and security management programs. An internal audit team at the Company manages and maintains remediation strategies for identified risks, and reports on them regularly to senior leadership. As part of the Company’s cyber risk management program, the Company has engaged external independent assessors to conduct cyber risk assessments, evaluate cyber risk management controls, and report both findings and recommendations to management.</w:t>
      </w:r>
    </w:p>
    <w:p>
      <w:pPr>
        <w:spacing w:after="0" w:line="207" w:lineRule="exact"/>
        <w:rPr>
          <w:sz w:val="20"/>
          <w:szCs w:val="20"/>
          <w:color w:val="auto"/>
        </w:rPr>
      </w:pPr>
    </w:p>
    <w:p>
      <w:pPr>
        <w:ind w:right="20" w:firstLine="632"/>
        <w:spacing w:after="0" w:line="234" w:lineRule="auto"/>
        <w:rPr>
          <w:sz w:val="20"/>
          <w:szCs w:val="20"/>
          <w:color w:val="auto"/>
        </w:rPr>
      </w:pPr>
      <w:r>
        <w:rPr>
          <w:rFonts w:ascii="Times New Roman" w:cs="Times New Roman" w:eastAsia="Times New Roman" w:hAnsi="Times New Roman"/>
          <w:sz w:val="18"/>
          <w:szCs w:val="18"/>
          <w:color w:val="auto"/>
        </w:rPr>
        <w:t>The Company, like other companies in its industry, faces a number of cybersecurity risks in connection with its business. Although such risks have not materially affected the Company, including its business strategy, results of operations or financial condition, to date, the Company has, from time to time, experienced threats to and security incidents related to its data and systems. For more information about the cybersecurity risks the Company faces, see Item 1A. Risk Factors.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95" w:lineRule="exact"/>
        <w:rPr>
          <w:sz w:val="20"/>
          <w:szCs w:val="20"/>
          <w:color w:val="auto"/>
        </w:rPr>
      </w:pPr>
    </w:p>
    <w:p>
      <w:pPr>
        <w:ind w:right="140" w:firstLine="632"/>
        <w:spacing w:after="0" w:line="233" w:lineRule="auto"/>
        <w:rPr>
          <w:sz w:val="20"/>
          <w:szCs w:val="20"/>
          <w:color w:val="auto"/>
        </w:rPr>
      </w:pPr>
      <w:r>
        <w:rPr>
          <w:rFonts w:ascii="Times New Roman" w:cs="Times New Roman" w:eastAsia="Times New Roman" w:hAnsi="Times New Roman"/>
          <w:sz w:val="18"/>
          <w:szCs w:val="18"/>
          <w:color w:val="auto"/>
        </w:rPr>
        <w:t>The Company’s cyber risk management program and related operations and processes are directed by the Senior Vice President of Information Technology (the “SVP-IT”). Currently, the SVP-IT role is held by an individual who has over twenty five years of cybersecurity, information technology and systems engineering experience. The SVP-IT meets with the Chief Financial Officer and Chief Legal Officer quarterly to monitor and review the outcomes of the Company’s cybersecurity risk management processes and to discuss and decide matters related to cybersecurity risk treatment strategy (including mitigations).</w:t>
      </w:r>
    </w:p>
    <w:p>
      <w:pPr>
        <w:spacing w:after="0" w:line="3" w:lineRule="exact"/>
        <w:rPr>
          <w:sz w:val="20"/>
          <w:szCs w:val="20"/>
          <w:color w:val="auto"/>
        </w:rPr>
      </w:pPr>
    </w:p>
    <w:p>
      <w:pPr>
        <w:ind w:firstLine="632"/>
        <w:spacing w:after="0" w:line="229" w:lineRule="auto"/>
        <w:rPr>
          <w:sz w:val="20"/>
          <w:szCs w:val="20"/>
          <w:color w:val="auto"/>
        </w:rPr>
      </w:pPr>
      <w:r>
        <w:rPr>
          <w:rFonts w:ascii="Times New Roman" w:cs="Times New Roman" w:eastAsia="Times New Roman" w:hAnsi="Times New Roman"/>
          <w:sz w:val="18"/>
          <w:szCs w:val="18"/>
          <w:color w:val="auto"/>
        </w:rPr>
        <w:t>The Company also formed the Business Continuity Plan ("BCP") and Cyber Security Risk Committee (the “Security Committee”), which oversees the prioritization and escalation of risks from cybersecurity threats to senior leadership, is chaired by the SVP-IT and the Executive Vice President of Portfolio Operations and People. The Security Committee reports to the Chief Financial Officer and Chief Legal Officer, and the committee’s members include senior company leadership responsible for asset management, risk management, marketing, and business development. Collectively, the Security Committee members possess experience in information security, risk management, oversight and legal compliance.</w:t>
      </w:r>
    </w:p>
    <w:p>
      <w:pPr>
        <w:spacing w:after="0" w:line="1" w:lineRule="exact"/>
        <w:rPr>
          <w:sz w:val="20"/>
          <w:szCs w:val="20"/>
          <w:color w:val="auto"/>
        </w:rPr>
      </w:pPr>
    </w:p>
    <w:p>
      <w:pPr>
        <w:ind w:right="60" w:firstLine="632"/>
        <w:spacing w:after="0" w:line="254" w:lineRule="auto"/>
        <w:rPr>
          <w:sz w:val="20"/>
          <w:szCs w:val="20"/>
          <w:color w:val="auto"/>
        </w:rPr>
      </w:pPr>
      <w:r>
        <w:rPr>
          <w:rFonts w:ascii="Times New Roman" w:cs="Times New Roman" w:eastAsia="Times New Roman" w:hAnsi="Times New Roman"/>
          <w:sz w:val="16"/>
          <w:szCs w:val="16"/>
          <w:color w:val="auto"/>
        </w:rPr>
        <w:t>The Company’s Board of Directors plays an important role in risk oversight and discharges its duties both as a full board and through its committees. The Board has delegated oversight of risk management matters, including cybersecurity and information technology matters, to its Audit Committee. As reflected in the Audit Committee charter, the committee is responsible for reviewing information technology, cybersecurity and other data protection strategies and plans, as well as assessing incident response protocols. The Security Committee provides quarterly reports to the Audit Committee and the SVP-IT attends board meetings yearly, or more frequently as appropriate, to inform the Company’s Board of Directors on cybersecurity risks.</w:t>
      </w:r>
    </w:p>
    <w:p>
      <w:pPr>
        <w:spacing w:after="0" w:line="1" w:lineRule="exact"/>
        <w:rPr>
          <w:sz w:val="20"/>
          <w:szCs w:val="20"/>
          <w:color w:val="auto"/>
        </w:rPr>
      </w:pPr>
    </w:p>
    <w:p>
      <w:pPr>
        <w:ind w:right="240" w:firstLine="632"/>
        <w:spacing w:after="0" w:line="233" w:lineRule="auto"/>
        <w:rPr>
          <w:sz w:val="20"/>
          <w:szCs w:val="20"/>
          <w:color w:val="auto"/>
        </w:rPr>
      </w:pPr>
      <w:r>
        <w:rPr>
          <w:rFonts w:ascii="Times New Roman" w:cs="Times New Roman" w:eastAsia="Times New Roman" w:hAnsi="Times New Roman"/>
          <w:sz w:val="18"/>
          <w:szCs w:val="18"/>
          <w:color w:val="auto"/>
        </w:rPr>
        <w:t>Additionally, the Company is subject to the requirements of the Sarbanes-Oxley Act of 2002 and information technology general controls are an important part of the Company's internal control over financial reporting and are subject to controls testing. Control deficiencies that represent cybersecurity risks would be reported by management to the Audit Committee.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9" w:name="page30"/>
    <w:bookmarkEnd w:id="29"/>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38" w:lineRule="exact"/>
        <w:rPr>
          <w:sz w:val="20"/>
          <w:szCs w:val="20"/>
          <w:color w:val="auto"/>
        </w:rPr>
      </w:pPr>
    </w:p>
    <w:p>
      <w:pPr>
        <w:ind w:firstLine="435"/>
        <w:spacing w:after="0" w:line="26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Centers and other locations that are wholly owned or partly owned by the Company as of December 31, 2023.</w:t>
      </w:r>
    </w:p>
    <w:tbl>
      <w:tblPr>
        <w:tblLayout w:type="fixed"/>
        <w:tblInd w:w="0" w:type="dxa"/>
        <w:tblCellMar>
          <w:top w:w="0" w:type="dxa"/>
          <w:left w:w="0" w:type="dxa"/>
          <w:bottom w:w="0" w:type="dxa"/>
          <w:right w:w="0" w:type="dxa"/>
        </w:tblCellMar>
      </w:tblPr>
      <w:tr>
        <w:trPr>
          <w:trHeight w:val="109"/>
        </w:trPr>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w w:val="90"/>
              </w:rPr>
              <w:t>Year of</w:t>
            </w:r>
          </w:p>
        </w:tc>
        <w:tc>
          <w:tcPr>
            <w:tcW w:w="900" w:type="dxa"/>
            <w:vAlign w:val="bottom"/>
            <w:gridSpan w:val="2"/>
          </w:tcPr>
          <w:p>
            <w:pPr>
              <w:jc w:val="center"/>
              <w:ind w:right="120"/>
              <w:spacing w:after="0" w:line="110" w:lineRule="exact"/>
              <w:rPr>
                <w:sz w:val="20"/>
                <w:szCs w:val="20"/>
                <w:color w:val="auto"/>
              </w:rPr>
            </w:pPr>
            <w:r>
              <w:rPr>
                <w:rFonts w:ascii="Times New Roman" w:cs="Times New Roman" w:eastAsia="Times New Roman" w:hAnsi="Times New Roman"/>
                <w:sz w:val="11"/>
                <w:szCs w:val="11"/>
                <w:b w:val="1"/>
                <w:bCs w:val="1"/>
                <w:color w:val="auto"/>
                <w:w w:val="93"/>
              </w:rPr>
              <w:t>Year of Most</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Mall and</w:t>
            </w:r>
          </w:p>
        </w:tc>
        <w:tc>
          <w:tcPr>
            <w:tcW w:w="1080" w:type="dxa"/>
            <w:vAlign w:val="bottom"/>
            <w:gridSpan w:val="2"/>
          </w:tcPr>
          <w:p>
            <w:pPr>
              <w:jc w:val="center"/>
              <w:ind w:right="100"/>
              <w:spacing w:after="0" w:line="110" w:lineRule="exact"/>
              <w:rPr>
                <w:sz w:val="20"/>
                <w:szCs w:val="20"/>
                <w:color w:val="auto"/>
              </w:rPr>
            </w:pPr>
            <w:r>
              <w:rPr>
                <w:rFonts w:ascii="Times New Roman" w:cs="Times New Roman" w:eastAsia="Times New Roman" w:hAnsi="Times New Roman"/>
                <w:sz w:val="11"/>
                <w:szCs w:val="11"/>
                <w:b w:val="1"/>
                <w:bCs w:val="1"/>
                <w:color w:val="auto"/>
                <w:w w:val="96"/>
              </w:rPr>
              <w:t>Percentage</w:t>
            </w:r>
          </w:p>
        </w:tc>
        <w:tc>
          <w:tcPr>
            <w:tcW w:w="10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80" w:type="dxa"/>
            <w:vAlign w:val="bottom"/>
          </w:tcPr>
          <w:p>
            <w:pPr>
              <w:spacing w:after="0"/>
              <w:rPr>
                <w:sz w:val="9"/>
                <w:szCs w:val="9"/>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Company's</w:t>
            </w:r>
          </w:p>
        </w:tc>
        <w:tc>
          <w:tcPr>
            <w:tcW w:w="1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Name of</w:t>
            </w:r>
          </w:p>
        </w:tc>
        <w:tc>
          <w:tcPr>
            <w:tcW w:w="10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90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2"/>
              </w:rPr>
              <w:t>Recent</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1140" w:type="dxa"/>
            <w:vAlign w:val="bottom"/>
            <w:gridSpan w:val="2"/>
            <w:vMerge w:val="continue"/>
          </w:tcPr>
          <w:p>
            <w:pPr>
              <w:spacing w:after="0"/>
              <w:rPr>
                <w:sz w:val="9"/>
                <w:szCs w:val="9"/>
                <w:color w:val="auto"/>
              </w:rPr>
            </w:pPr>
          </w:p>
        </w:tc>
        <w:tc>
          <w:tcPr>
            <w:tcW w:w="1080" w:type="dxa"/>
            <w:vAlign w:val="bottom"/>
            <w:gridSpan w:val="2"/>
          </w:tcPr>
          <w:p>
            <w:pPr>
              <w:jc w:val="center"/>
              <w:ind w:right="8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of Mall and</w:t>
            </w:r>
          </w:p>
        </w:tc>
        <w:tc>
          <w:tcPr>
            <w:tcW w:w="1040" w:type="dxa"/>
            <w:vAlign w:val="bottom"/>
            <w:vMerge w:val="restart"/>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4"/>
              </w:rPr>
              <w:t>Non-Owned</w:t>
            </w:r>
          </w:p>
        </w:tc>
        <w:tc>
          <w:tcPr>
            <w:tcW w:w="1340" w:type="dxa"/>
            <w:vAlign w:val="bottom"/>
            <w:vMerge w:val="restart"/>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5"/>
              </w:rPr>
              <w:t>Company-Owned Anchors</w:t>
            </w:r>
          </w:p>
        </w:tc>
        <w:tc>
          <w:tcPr>
            <w:tcW w:w="0" w:type="dxa"/>
            <w:vAlign w:val="bottom"/>
          </w:tcPr>
          <w:p>
            <w:pPr>
              <w:spacing w:after="0"/>
              <w:rPr>
                <w:sz w:val="1"/>
                <w:szCs w:val="1"/>
                <w:color w:val="auto"/>
              </w:rPr>
            </w:pPr>
          </w:p>
        </w:tc>
      </w:tr>
      <w:tr>
        <w:trPr>
          <w:trHeight w:val="105"/>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Count</w:t>
            </w:r>
          </w:p>
        </w:tc>
        <w:tc>
          <w:tcPr>
            <w:tcW w:w="110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Construction/</w:t>
            </w:r>
          </w:p>
        </w:tc>
        <w:tc>
          <w:tcPr>
            <w:tcW w:w="90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4"/>
              </w:rPr>
              <w:t>Expansion/</w:t>
            </w:r>
          </w:p>
        </w:tc>
        <w:tc>
          <w:tcPr>
            <w:tcW w:w="980" w:type="dxa"/>
            <w:vAlign w:val="bottom"/>
            <w:gridSpan w:val="2"/>
            <w:vMerge w:val="continue"/>
          </w:tcPr>
          <w:p>
            <w:pPr>
              <w:spacing w:after="0"/>
              <w:rPr>
                <w:sz w:val="9"/>
                <w:szCs w:val="9"/>
                <w:color w:val="auto"/>
              </w:rPr>
            </w:pPr>
          </w:p>
        </w:tc>
        <w:tc>
          <w:tcPr>
            <w:tcW w:w="114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108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3"/>
              </w:rPr>
              <w:t>Freestanding</w:t>
            </w:r>
          </w:p>
        </w:tc>
        <w:tc>
          <w:tcPr>
            <w:tcW w:w="10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80" w:type="dxa"/>
            <w:vAlign w:val="bottom"/>
            <w:vMerge w:val="continue"/>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Ownership(1)</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Center/Location(2)</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Renovation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GLA(3)</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GLA</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GLA Leased</w:t>
            </w: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7"/>
              </w:rPr>
              <w:t>Anchors (3)</w:t>
            </w: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0" w:type="dxa"/>
            <w:vAlign w:val="bottom"/>
          </w:tcPr>
          <w:p>
            <w:pPr>
              <w:spacing w:after="0"/>
              <w:rPr>
                <w:sz w:val="1"/>
                <w:szCs w:val="1"/>
                <w:color w:val="auto"/>
              </w:rPr>
            </w:pPr>
          </w:p>
        </w:tc>
      </w:tr>
      <w:tr>
        <w:trPr>
          <w:trHeight w:val="40"/>
        </w:trPr>
        <w:tc>
          <w:tcPr>
            <w:tcW w:w="48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shd w:val="clear" w:color="auto" w:fill="CCEEFF"/>
          </w:tcPr>
          <w:p>
            <w:pPr>
              <w:spacing w:after="0"/>
              <w:rPr>
                <w:sz w:val="14"/>
                <w:szCs w:val="14"/>
                <w:color w:val="auto"/>
              </w:rPr>
            </w:pPr>
          </w:p>
        </w:tc>
        <w:tc>
          <w:tcPr>
            <w:tcW w:w="264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CONSOLIDATED CENTERS:</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w:t>
            </w:r>
          </w:p>
        </w:tc>
        <w:tc>
          <w:tcPr>
            <w:tcW w:w="980" w:type="dxa"/>
            <w:vAlign w:val="bottom"/>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rPr>
              <w:t>50.1%</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Chandler Fashion Center(4)</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2001/2002</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2023</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1,402,000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683,000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97.8 %</w:t>
            </w:r>
          </w:p>
        </w:tc>
        <w:tc>
          <w:tcPr>
            <w:tcW w:w="100" w:type="dxa"/>
            <w:vAlign w:val="bottom"/>
          </w:tcPr>
          <w:p>
            <w:pPr>
              <w:spacing w:after="0"/>
              <w:rPr>
                <w:sz w:val="11"/>
                <w:szCs w:val="11"/>
                <w:color w:val="auto"/>
              </w:rPr>
            </w:pPr>
          </w:p>
        </w:tc>
        <w:tc>
          <w:tcPr>
            <w:tcW w:w="1040" w:type="dxa"/>
            <w:vAlign w:val="bottom"/>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rPr>
              <w:t>Dillard's, Macy's,</w:t>
            </w:r>
          </w:p>
        </w:tc>
        <w:tc>
          <w:tcPr>
            <w:tcW w:w="1340" w:type="dxa"/>
            <w:vAlign w:val="bottom"/>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59"/>
              <w:spacing w:after="0" w:line="124" w:lineRule="exact"/>
              <w:rPr>
                <w:sz w:val="20"/>
                <w:szCs w:val="20"/>
                <w:color w:val="auto"/>
              </w:rPr>
            </w:pPr>
            <w:r>
              <w:rPr>
                <w:rFonts w:ascii="Times New Roman" w:cs="Times New Roman" w:eastAsia="Times New Roman" w:hAnsi="Times New Roman"/>
                <w:sz w:val="12"/>
                <w:szCs w:val="12"/>
                <w:color w:val="auto"/>
              </w:rPr>
              <w:t>Scheels All</w:t>
            </w: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Chandler, Arizona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rPr>
              <w:t>Sports</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2</w:t>
            </w:r>
          </w:p>
        </w:tc>
        <w:tc>
          <w:tcPr>
            <w:tcW w:w="980" w:type="dxa"/>
            <w:vAlign w:val="bottom"/>
            <w:shd w:val="clear" w:color="auto" w:fill="CCEEFF"/>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Danbury Fair Mall(4)</w:t>
            </w: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1986/2005</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2016</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1,275,000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593,000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99.3 %</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JCPenney,</w:t>
            </w:r>
          </w:p>
        </w:tc>
        <w:tc>
          <w:tcPr>
            <w:tcW w:w="1340" w:type="dxa"/>
            <w:vAlign w:val="bottom"/>
            <w:shd w:val="clear" w:color="auto" w:fill="CCEEFF"/>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w w:val="99"/>
              </w:rPr>
              <w:t>Primark, Target(5)</w:t>
            </w:r>
          </w:p>
        </w:tc>
        <w:tc>
          <w:tcPr>
            <w:tcW w:w="0" w:type="dxa"/>
            <w:vAlign w:val="bottom"/>
          </w:tcPr>
          <w:p>
            <w:pPr>
              <w:spacing w:after="0"/>
              <w:rPr>
                <w:sz w:val="1"/>
                <w:szCs w:val="1"/>
                <w:color w:val="auto"/>
              </w:rPr>
            </w:pPr>
          </w:p>
        </w:tc>
      </w:tr>
      <w:tr>
        <w:trPr>
          <w:trHeight w:val="221"/>
        </w:trPr>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Danbury, Connecticut</w:t>
            </w: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3</w:t>
            </w:r>
          </w:p>
        </w:tc>
        <w:tc>
          <w:tcPr>
            <w:tcW w:w="980" w:type="dxa"/>
            <w:vAlign w:val="bottom"/>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Desert Sky Mall</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1981/2002</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2007</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738,000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271,000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96.7 %</w:t>
            </w:r>
          </w:p>
        </w:tc>
        <w:tc>
          <w:tcPr>
            <w:tcW w:w="100" w:type="dxa"/>
            <w:vAlign w:val="bottom"/>
          </w:tcPr>
          <w:p>
            <w:pPr>
              <w:spacing w:after="0"/>
              <w:rPr>
                <w:sz w:val="11"/>
                <w:szCs w:val="11"/>
                <w:color w:val="auto"/>
              </w:rPr>
            </w:pPr>
          </w:p>
        </w:tc>
        <w:tc>
          <w:tcPr>
            <w:tcW w:w="10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Burlington,</w:t>
            </w:r>
          </w:p>
        </w:tc>
        <w:tc>
          <w:tcPr>
            <w:tcW w:w="13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La Curacao, Mercado</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Phoenix, Arizona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Dillard's</w:t>
            </w: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de los Cielos</w:t>
            </w: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9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Eastland Mall(6)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1978/1998</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1,017,000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528,000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93.1 %</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Dillard's, Macy's</w:t>
            </w:r>
          </w:p>
        </w:tc>
        <w:tc>
          <w:tcPr>
            <w:tcW w:w="13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Evansville, Indiana</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5</w:t>
            </w:r>
          </w:p>
        </w:tc>
        <w:tc>
          <w:tcPr>
            <w:tcW w:w="980" w:type="dxa"/>
            <w:vAlign w:val="bottom"/>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Fashion District</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1977/2014</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2019</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802,000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575,000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80.9 %</w:t>
            </w:r>
          </w:p>
        </w:tc>
        <w:tc>
          <w:tcPr>
            <w:tcW w:w="100" w:type="dxa"/>
            <w:vAlign w:val="bottom"/>
          </w:tcPr>
          <w:p>
            <w:pPr>
              <w:spacing w:after="0"/>
              <w:rPr>
                <w:sz w:val="11"/>
                <w:szCs w:val="11"/>
                <w:color w:val="auto"/>
              </w:rPr>
            </w:pPr>
          </w:p>
        </w:tc>
        <w:tc>
          <w:tcPr>
            <w:tcW w:w="10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Burlington, Primark,</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Philadelphia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w w:val="99"/>
              </w:rPr>
              <w:t>Shoppers World</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Philadelphia, Pennsylvania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9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Fashion Outlets of Chicago</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530,000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529,000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98.2 %</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83"/>
        </w:trPr>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Rosemont, Illinois</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7</w:t>
            </w:r>
          </w:p>
        </w:tc>
        <w:tc>
          <w:tcPr>
            <w:tcW w:w="980" w:type="dxa"/>
            <w:vAlign w:val="bottom"/>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Fashion Outlets of Niagara</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1982/2011</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2014</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674,000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674,000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83.4 %</w:t>
            </w:r>
          </w:p>
        </w:tc>
        <w:tc>
          <w:tcPr>
            <w:tcW w:w="100" w:type="dxa"/>
            <w:vAlign w:val="bottom"/>
          </w:tcPr>
          <w:p>
            <w:pPr>
              <w:spacing w:after="0"/>
              <w:rPr>
                <w:sz w:val="11"/>
                <w:szCs w:val="11"/>
                <w:color w:val="auto"/>
              </w:rPr>
            </w:pPr>
          </w:p>
        </w:tc>
        <w:tc>
          <w:tcPr>
            <w:tcW w:w="10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Falls USA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Niagara Falls, New York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8</w:t>
            </w:r>
          </w:p>
        </w:tc>
        <w:tc>
          <w:tcPr>
            <w:tcW w:w="980" w:type="dxa"/>
            <w:vAlign w:val="bottom"/>
            <w:shd w:val="clear" w:color="auto" w:fill="CCEEFF"/>
          </w:tcPr>
          <w:p>
            <w:pPr>
              <w:jc w:val="center"/>
              <w:ind w:left="39"/>
              <w:spacing w:after="0" w:line="136" w:lineRule="exact"/>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Freehold Raceway Mall(4)</w:t>
            </w: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1990/2005</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2007</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1,546,000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857,000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95.1 %</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center"/>
              <w:ind w:right="59"/>
              <w:spacing w:after="0" w:line="136" w:lineRule="exact"/>
              <w:rPr>
                <w:sz w:val="20"/>
                <w:szCs w:val="20"/>
                <w:color w:val="auto"/>
              </w:rPr>
            </w:pPr>
            <w:r>
              <w:rPr>
                <w:rFonts w:ascii="Times New Roman" w:cs="Times New Roman" w:eastAsia="Times New Roman" w:hAnsi="Times New Roman"/>
                <w:sz w:val="12"/>
                <w:szCs w:val="12"/>
                <w:color w:val="auto"/>
              </w:rPr>
              <w:t>JCPenney,</w:t>
            </w:r>
          </w:p>
        </w:tc>
        <w:tc>
          <w:tcPr>
            <w:tcW w:w="1340" w:type="dxa"/>
            <w:vAlign w:val="bottom"/>
            <w:shd w:val="clear" w:color="auto" w:fill="CCEEFF"/>
          </w:tcPr>
          <w:p>
            <w:pPr>
              <w:jc w:val="center"/>
              <w:ind w:right="59"/>
              <w:spacing w:after="0" w:line="136"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Primark</w:t>
            </w:r>
          </w:p>
        </w:tc>
        <w:tc>
          <w:tcPr>
            <w:tcW w:w="0" w:type="dxa"/>
            <w:vAlign w:val="bottom"/>
          </w:tcPr>
          <w:p>
            <w:pPr>
              <w:spacing w:after="0"/>
              <w:rPr>
                <w:sz w:val="1"/>
                <w:szCs w:val="1"/>
                <w:color w:val="auto"/>
              </w:rPr>
            </w:pPr>
          </w:p>
        </w:tc>
      </w:tr>
      <w:tr>
        <w:trPr>
          <w:trHeight w:val="188"/>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Freehold, New Jersey</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9</w:t>
            </w:r>
          </w:p>
        </w:tc>
        <w:tc>
          <w:tcPr>
            <w:tcW w:w="980" w:type="dxa"/>
            <w:vAlign w:val="bottom"/>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Fresno Fashion Fair</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1970/1996</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2006</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974,000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419,000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98.2 %</w:t>
            </w:r>
          </w:p>
        </w:tc>
        <w:tc>
          <w:tcPr>
            <w:tcW w:w="100" w:type="dxa"/>
            <w:vAlign w:val="bottom"/>
          </w:tcPr>
          <w:p>
            <w:pPr>
              <w:spacing w:after="0"/>
              <w:rPr>
                <w:sz w:val="11"/>
                <w:szCs w:val="11"/>
                <w:color w:val="auto"/>
              </w:rPr>
            </w:pPr>
          </w:p>
        </w:tc>
        <w:tc>
          <w:tcPr>
            <w:tcW w:w="1040" w:type="dxa"/>
            <w:vAlign w:val="bottom"/>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Forever 21, JCPenney,</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w w:val="99"/>
              </w:rPr>
              <w:t>Macy's</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Fresno,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10</w:t>
            </w:r>
          </w:p>
        </w:tc>
        <w:tc>
          <w:tcPr>
            <w:tcW w:w="980" w:type="dxa"/>
            <w:vAlign w:val="bottom"/>
            <w:shd w:val="clear" w:color="auto" w:fill="CCEEFF"/>
          </w:tcPr>
          <w:p>
            <w:pPr>
              <w:jc w:val="center"/>
              <w:ind w:left="39"/>
              <w:spacing w:after="0" w:line="136" w:lineRule="exact"/>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Green Acres Mall(4)(6)(7)</w:t>
            </w: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1956/2013</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2016</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2,058,000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952,000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97.7 %</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center"/>
              <w:ind w:right="59"/>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center"/>
              <w:ind w:right="59"/>
              <w:spacing w:after="0" w:line="136" w:lineRule="exact"/>
              <w:rPr>
                <w:sz w:val="20"/>
                <w:szCs w:val="20"/>
                <w:color w:val="auto"/>
              </w:rPr>
            </w:pPr>
            <w:r>
              <w:rPr>
                <w:rFonts w:ascii="Times New Roman" w:cs="Times New Roman" w:eastAsia="Times New Roman" w:hAnsi="Times New Roman"/>
                <w:sz w:val="12"/>
                <w:szCs w:val="12"/>
                <w:color w:val="auto"/>
              </w:rPr>
              <w:t>BJ's Wholesale Club,</w:t>
            </w:r>
          </w:p>
        </w:tc>
        <w:tc>
          <w:tcPr>
            <w:tcW w:w="0" w:type="dxa"/>
            <w:vAlign w:val="bottom"/>
          </w:tcPr>
          <w:p>
            <w:pPr>
              <w:spacing w:after="0"/>
              <w:rPr>
                <w:sz w:val="1"/>
                <w:szCs w:val="1"/>
                <w:color w:val="auto"/>
              </w:rPr>
            </w:pPr>
          </w:p>
        </w:tc>
      </w:tr>
      <w:tr>
        <w:trPr>
          <w:trHeight w:val="124"/>
        </w:trPr>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340" w:type="dxa"/>
            <w:vAlign w:val="bottom"/>
            <w:shd w:val="clear" w:color="auto" w:fill="CCEEFF"/>
          </w:tcPr>
          <w:p>
            <w:pPr>
              <w:jc w:val="center"/>
              <w:ind w:right="59"/>
              <w:spacing w:after="0" w:line="124"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340" w:type="dxa"/>
            <w:vAlign w:val="bottom"/>
            <w:shd w:val="clear" w:color="auto" w:fill="CCEEFF"/>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Macy's (two), Primark,</w:t>
            </w: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Valley Stream, New York</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340" w:type="dxa"/>
            <w:vAlign w:val="bottom"/>
            <w:shd w:val="clear" w:color="auto" w:fill="CCEEFF"/>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Shoppers World,</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gridSpan w:val="2"/>
            <w:vMerge w:val="continue"/>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w w:val="99"/>
              </w:rPr>
              <w:t>Walmart</w:t>
            </w:r>
          </w:p>
        </w:tc>
        <w:tc>
          <w:tcPr>
            <w:tcW w:w="0" w:type="dxa"/>
            <w:vAlign w:val="bottom"/>
          </w:tcPr>
          <w:p>
            <w:pPr>
              <w:spacing w:after="0"/>
              <w:rPr>
                <w:sz w:val="1"/>
                <w:szCs w:val="1"/>
                <w:color w:val="auto"/>
              </w:rPr>
            </w:pPr>
          </w:p>
        </w:tc>
      </w:tr>
      <w:tr>
        <w:trPr>
          <w:trHeight w:val="333"/>
        </w:trPr>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980" w:type="dxa"/>
            <w:vAlign w:val="bottom"/>
          </w:tcPr>
          <w:p>
            <w:pPr>
              <w:jc w:val="center"/>
              <w:ind w:left="39"/>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Inland Center</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1966/2004</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270,000</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95.9 %</w:t>
            </w: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rPr>
              <w:t>Forever 21, JCPenney</w:t>
            </w: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 Bernardino,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12</w:t>
            </w:r>
          </w:p>
        </w:tc>
        <w:tc>
          <w:tcPr>
            <w:tcW w:w="980" w:type="dxa"/>
            <w:vAlign w:val="bottom"/>
            <w:shd w:val="clear" w:color="auto" w:fill="CCEEFF"/>
          </w:tcPr>
          <w:p>
            <w:pPr>
              <w:jc w:val="center"/>
              <w:ind w:left="39"/>
              <w:spacing w:after="0" w:line="136" w:lineRule="exact"/>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Kings Plaza Shopping</w:t>
            </w: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1971/2012</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2018</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1,146,000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445,000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99.1 %</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center"/>
              <w:ind w:right="39"/>
              <w:spacing w:after="0" w:line="136" w:lineRule="exact"/>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shd w:val="clear" w:color="auto" w:fill="CCEEFF"/>
          </w:tcPr>
          <w:p>
            <w:pPr>
              <w:jc w:val="center"/>
              <w:ind w:right="59"/>
              <w:spacing w:after="0" w:line="136" w:lineRule="exact"/>
              <w:rPr>
                <w:sz w:val="20"/>
                <w:szCs w:val="20"/>
                <w:color w:val="auto"/>
              </w:rPr>
            </w:pPr>
            <w:r>
              <w:rPr>
                <w:rFonts w:ascii="Times New Roman" w:cs="Times New Roman" w:eastAsia="Times New Roman" w:hAnsi="Times New Roman"/>
                <w:sz w:val="12"/>
                <w:szCs w:val="12"/>
                <w:color w:val="auto"/>
              </w:rPr>
              <w:t>Burlington, Lowe's,</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Center(6)</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Primark, Target</w:t>
            </w:r>
          </w:p>
        </w:tc>
        <w:tc>
          <w:tcPr>
            <w:tcW w:w="0" w:type="dxa"/>
            <w:vAlign w:val="bottom"/>
          </w:tcPr>
          <w:p>
            <w:pPr>
              <w:spacing w:after="0"/>
              <w:rPr>
                <w:sz w:val="1"/>
                <w:szCs w:val="1"/>
                <w:color w:val="auto"/>
              </w:rPr>
            </w:pPr>
          </w:p>
        </w:tc>
      </w:tr>
      <w:tr>
        <w:trPr>
          <w:trHeight w:val="188"/>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Brooklyn, New York</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13</w:t>
            </w:r>
          </w:p>
        </w:tc>
        <w:tc>
          <w:tcPr>
            <w:tcW w:w="980" w:type="dxa"/>
            <w:vAlign w:val="bottom"/>
          </w:tcPr>
          <w:p>
            <w:pPr>
              <w:jc w:val="center"/>
              <w:ind w:left="39"/>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 Cumbre Plaza(6)</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1967/2004</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1989</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173,000</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92.5 %</w:t>
            </w: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 Barbara,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80" w:type="dxa"/>
            <w:vAlign w:val="bottom"/>
            <w:shd w:val="clear" w:color="auto" w:fill="CCEEFF"/>
          </w:tcPr>
          <w:p>
            <w:pPr>
              <w:jc w:val="center"/>
              <w:spacing w:after="0" w:line="136" w:lineRule="exact"/>
              <w:rPr>
                <w:sz w:val="20"/>
                <w:szCs w:val="20"/>
                <w:color w:val="auto"/>
              </w:rPr>
            </w:pPr>
            <w:r>
              <w:rPr>
                <w:rFonts w:ascii="Times New Roman" w:cs="Times New Roman" w:eastAsia="Times New Roman" w:hAnsi="Times New Roman"/>
                <w:sz w:val="12"/>
                <w:szCs w:val="12"/>
                <w:color w:val="auto"/>
                <w:w w:val="99"/>
              </w:rPr>
              <w:t>14</w:t>
            </w:r>
          </w:p>
        </w:tc>
        <w:tc>
          <w:tcPr>
            <w:tcW w:w="980" w:type="dxa"/>
            <w:vAlign w:val="bottom"/>
            <w:shd w:val="clear" w:color="auto" w:fill="CCEEFF"/>
          </w:tcPr>
          <w:p>
            <w:pPr>
              <w:jc w:val="center"/>
              <w:ind w:left="39"/>
              <w:spacing w:after="0" w:line="136" w:lineRule="exact"/>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NorthPark Mall(4)</w:t>
            </w:r>
          </w:p>
        </w:tc>
        <w:tc>
          <w:tcPr>
            <w:tcW w:w="90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1973/1998</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2001</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934,000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399,000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82.0 %</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center"/>
              <w:ind w:right="39"/>
              <w:spacing w:after="0" w:line="136" w:lineRule="exact"/>
              <w:rPr>
                <w:sz w:val="20"/>
                <w:szCs w:val="20"/>
                <w:color w:val="auto"/>
              </w:rPr>
            </w:pPr>
            <w:r>
              <w:rPr>
                <w:rFonts w:ascii="Times New Roman" w:cs="Times New Roman" w:eastAsia="Times New Roman" w:hAnsi="Times New Roman"/>
                <w:sz w:val="12"/>
                <w:szCs w:val="12"/>
                <w:color w:val="auto"/>
              </w:rPr>
              <w:t>Dillard's,</w:t>
            </w:r>
          </w:p>
        </w:tc>
        <w:tc>
          <w:tcPr>
            <w:tcW w:w="1340" w:type="dxa"/>
            <w:vAlign w:val="bottom"/>
            <w:shd w:val="clear" w:color="auto" w:fill="CCEEFF"/>
          </w:tcPr>
          <w:p>
            <w:pPr>
              <w:jc w:val="center"/>
              <w:ind w:right="39"/>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24"/>
        </w:trPr>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center"/>
              <w:ind w:right="39"/>
              <w:spacing w:after="0" w:line="124" w:lineRule="exact"/>
              <w:rPr>
                <w:sz w:val="20"/>
                <w:szCs w:val="20"/>
                <w:color w:val="auto"/>
              </w:rPr>
            </w:pPr>
            <w:r>
              <w:rPr>
                <w:rFonts w:ascii="Times New Roman" w:cs="Times New Roman" w:eastAsia="Times New Roman" w:hAnsi="Times New Roman"/>
                <w:sz w:val="12"/>
                <w:szCs w:val="12"/>
                <w:color w:val="auto"/>
                <w:w w:val="99"/>
              </w:rPr>
              <w:t>JCPenney, Von</w:t>
            </w: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Davenport, Iowa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Maur</w:t>
            </w: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40" w:type="dxa"/>
            <w:vAlign w:val="bottom"/>
            <w:gridSpan w:val="2"/>
            <w:vMerge w:val="continue"/>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15</w:t>
            </w:r>
          </w:p>
        </w:tc>
        <w:tc>
          <w:tcPr>
            <w:tcW w:w="980" w:type="dxa"/>
            <w:vAlign w:val="bottom"/>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Oaks, The</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1978/2002</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2017</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1,207,000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605,000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90.0 %</w:t>
            </w:r>
          </w:p>
        </w:tc>
        <w:tc>
          <w:tcPr>
            <w:tcW w:w="100" w:type="dxa"/>
            <w:vAlign w:val="bottom"/>
          </w:tcPr>
          <w:p>
            <w:pPr>
              <w:spacing w:after="0"/>
              <w:rPr>
                <w:sz w:val="11"/>
                <w:szCs w:val="11"/>
                <w:color w:val="auto"/>
              </w:rPr>
            </w:pPr>
          </w:p>
        </w:tc>
        <w:tc>
          <w:tcPr>
            <w:tcW w:w="10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JCPenney,</w:t>
            </w:r>
          </w:p>
        </w:tc>
        <w:tc>
          <w:tcPr>
            <w:tcW w:w="13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Macy's (two)</w:t>
            </w: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rPr>
              <w:t>Nordstrom</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Thousand Oaks,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9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Pacific View</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1965/1996</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886,000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401,000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81.0 %</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JCPenney, Target</w:t>
            </w:r>
          </w:p>
        </w:tc>
        <w:tc>
          <w:tcPr>
            <w:tcW w:w="13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w w:val="99"/>
              </w:rPr>
              <w:t>Macy's</w:t>
            </w:r>
          </w:p>
        </w:tc>
        <w:tc>
          <w:tcPr>
            <w:tcW w:w="0" w:type="dxa"/>
            <w:vAlign w:val="bottom"/>
          </w:tcPr>
          <w:p>
            <w:pPr>
              <w:spacing w:after="0"/>
              <w:rPr>
                <w:sz w:val="1"/>
                <w:szCs w:val="1"/>
                <w:color w:val="auto"/>
              </w:rPr>
            </w:pPr>
          </w:p>
        </w:tc>
      </w:tr>
      <w:tr>
        <w:trPr>
          <w:trHeight w:val="183"/>
        </w:trPr>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Ventura, California</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17</w:t>
            </w:r>
          </w:p>
        </w:tc>
        <w:tc>
          <w:tcPr>
            <w:tcW w:w="980" w:type="dxa"/>
            <w:vAlign w:val="bottom"/>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2"/>
                <w:szCs w:val="12"/>
                <w:color w:val="auto"/>
              </w:rPr>
              <w:t>Queens Center(6)</w:t>
            </w:r>
          </w:p>
        </w:tc>
        <w:tc>
          <w:tcPr>
            <w:tcW w:w="90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1973/1995</w:t>
            </w:r>
          </w:p>
        </w:tc>
        <w:tc>
          <w:tcPr>
            <w:tcW w:w="100" w:type="dxa"/>
            <w:vAlign w:val="bottom"/>
          </w:tcPr>
          <w:p>
            <w:pPr>
              <w:spacing w:after="0"/>
              <w:rPr>
                <w:sz w:val="11"/>
                <w:szCs w:val="11"/>
                <w:color w:val="auto"/>
              </w:rPr>
            </w:pPr>
          </w:p>
        </w:tc>
        <w:tc>
          <w:tcPr>
            <w:tcW w:w="7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2004</w:t>
            </w:r>
          </w:p>
        </w:tc>
        <w:tc>
          <w:tcPr>
            <w:tcW w:w="12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968,000</w:t>
            </w:r>
          </w:p>
        </w:tc>
        <w:tc>
          <w:tcPr>
            <w:tcW w:w="100" w:type="dxa"/>
            <w:vAlign w:val="bottom"/>
          </w:tcPr>
          <w:p>
            <w:pPr>
              <w:spacing w:after="0"/>
              <w:rPr>
                <w:sz w:val="11"/>
                <w:szCs w:val="11"/>
                <w:color w:val="auto"/>
              </w:rPr>
            </w:pPr>
          </w:p>
        </w:tc>
        <w:tc>
          <w:tcPr>
            <w:tcW w:w="10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412,000</w:t>
            </w:r>
          </w:p>
        </w:tc>
        <w:tc>
          <w:tcPr>
            <w:tcW w:w="100" w:type="dxa"/>
            <w:vAlign w:val="bottom"/>
          </w:tcPr>
          <w:p>
            <w:pPr>
              <w:spacing w:after="0"/>
              <w:rPr>
                <w:sz w:val="11"/>
                <w:szCs w:val="11"/>
                <w:color w:val="auto"/>
              </w:rPr>
            </w:pPr>
          </w:p>
        </w:tc>
        <w:tc>
          <w:tcPr>
            <w:tcW w:w="9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98.9 %</w:t>
            </w:r>
          </w:p>
        </w:tc>
        <w:tc>
          <w:tcPr>
            <w:tcW w:w="100" w:type="dxa"/>
            <w:vAlign w:val="bottom"/>
          </w:tcPr>
          <w:p>
            <w:pPr>
              <w:spacing w:after="0"/>
              <w:rPr>
                <w:sz w:val="11"/>
                <w:szCs w:val="11"/>
                <w:color w:val="auto"/>
              </w:rPr>
            </w:pPr>
          </w:p>
        </w:tc>
        <w:tc>
          <w:tcPr>
            <w:tcW w:w="1040" w:type="dxa"/>
            <w:vAlign w:val="bottom"/>
          </w:tcPr>
          <w:p>
            <w:pPr>
              <w:jc w:val="center"/>
              <w:ind w:right="59"/>
              <w:spacing w:after="0" w:line="127" w:lineRule="exact"/>
              <w:rPr>
                <w:sz w:val="20"/>
                <w:szCs w:val="20"/>
                <w:color w:val="auto"/>
              </w:rPr>
            </w:pPr>
            <w:r>
              <w:rPr>
                <w:rFonts w:ascii="Times New Roman" w:cs="Times New Roman" w:eastAsia="Times New Roman" w:hAnsi="Times New Roman"/>
                <w:sz w:val="12"/>
                <w:szCs w:val="12"/>
                <w:color w:val="auto"/>
              </w:rPr>
              <w:t>JCPenney,</w:t>
            </w:r>
          </w:p>
        </w:tc>
        <w:tc>
          <w:tcPr>
            <w:tcW w:w="1340" w:type="dxa"/>
            <w:vAlign w:val="bottom"/>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Macy's</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Queens, New York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9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w w:val="99"/>
              </w:rPr>
              <w:t>100%</w:t>
            </w:r>
          </w:p>
        </w:tc>
        <w:tc>
          <w:tcPr>
            <w:tcW w:w="1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 Monica Place(4)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1980/1999</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Ongoing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358,000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85.8 %</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2"/>
                <w:szCs w:val="12"/>
                <w:color w:val="auto"/>
              </w:rPr>
              <w:t>Nordstrom</w:t>
            </w:r>
          </w:p>
        </w:tc>
        <w:tc>
          <w:tcPr>
            <w:tcW w:w="0" w:type="dxa"/>
            <w:vAlign w:val="bottom"/>
          </w:tcPr>
          <w:p>
            <w:pPr>
              <w:spacing w:after="0"/>
              <w:rPr>
                <w:sz w:val="1"/>
                <w:szCs w:val="1"/>
                <w:color w:val="auto"/>
              </w:rPr>
            </w:pPr>
          </w:p>
        </w:tc>
      </w:tr>
      <w:tr>
        <w:trPr>
          <w:trHeight w:val="183"/>
        </w:trPr>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 Monica, California</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17" w:right="3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0"/>
              </w:rPr>
              <w:t>Year of</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3"/>
              </w:rPr>
              <w:t>Year of Most</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Mall and</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80" w:type="dxa"/>
            <w:vAlign w:val="bottom"/>
          </w:tcPr>
          <w:p>
            <w:pPr>
              <w:spacing w:after="0"/>
              <w:rPr>
                <w:sz w:val="9"/>
                <w:szCs w:val="9"/>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Company's</w:t>
            </w:r>
          </w:p>
        </w:tc>
        <w:tc>
          <w:tcPr>
            <w:tcW w:w="15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Name of</w:t>
            </w:r>
          </w:p>
        </w:tc>
        <w:tc>
          <w:tcPr>
            <w:tcW w:w="10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90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2"/>
              </w:rPr>
              <w:t>Recent</w:t>
            </w:r>
          </w:p>
        </w:tc>
        <w:tc>
          <w:tcPr>
            <w:tcW w:w="1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of Mall and</w:t>
            </w:r>
          </w:p>
        </w:tc>
        <w:tc>
          <w:tcPr>
            <w:tcW w:w="1020" w:type="dxa"/>
            <w:vAlign w:val="bottom"/>
            <w:vMerge w:val="restart"/>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8"/>
              </w:rPr>
              <w:t>Non-Owned</w:t>
            </w:r>
          </w:p>
        </w:tc>
        <w:tc>
          <w:tcPr>
            <w:tcW w:w="136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5"/>
              </w:rPr>
              <w:t>Company-Owned Anchors</w:t>
            </w:r>
          </w:p>
        </w:tc>
        <w:tc>
          <w:tcPr>
            <w:tcW w:w="0" w:type="dxa"/>
            <w:vAlign w:val="bottom"/>
          </w:tcPr>
          <w:p>
            <w:pPr>
              <w:spacing w:after="0"/>
              <w:rPr>
                <w:sz w:val="1"/>
                <w:szCs w:val="1"/>
                <w:color w:val="auto"/>
              </w:rPr>
            </w:pPr>
          </w:p>
        </w:tc>
      </w:tr>
      <w:tr>
        <w:trPr>
          <w:trHeight w:val="105"/>
        </w:trPr>
        <w:tc>
          <w:tcPr>
            <w:tcW w:w="480" w:type="dxa"/>
            <w:vAlign w:val="bottom"/>
            <w:vMerge w:val="restart"/>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w w:val="95"/>
              </w:rPr>
              <w:t>Count</w:t>
            </w:r>
          </w:p>
        </w:tc>
        <w:tc>
          <w:tcPr>
            <w:tcW w:w="108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Construction/</w:t>
            </w:r>
          </w:p>
        </w:tc>
        <w:tc>
          <w:tcPr>
            <w:tcW w:w="90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4"/>
              </w:rPr>
              <w:t>Expansion/</w:t>
            </w:r>
          </w:p>
        </w:tc>
        <w:tc>
          <w:tcPr>
            <w:tcW w:w="1000" w:type="dxa"/>
            <w:vAlign w:val="bottom"/>
            <w:gridSpan w:val="2"/>
            <w:vMerge w:val="continue"/>
          </w:tcPr>
          <w:p>
            <w:pPr>
              <w:spacing w:after="0"/>
              <w:rPr>
                <w:sz w:val="9"/>
                <w:szCs w:val="9"/>
                <w:color w:val="auto"/>
              </w:rPr>
            </w:pPr>
          </w:p>
        </w:tc>
        <w:tc>
          <w:tcPr>
            <w:tcW w:w="1040" w:type="dxa"/>
            <w:vAlign w:val="bottom"/>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3"/>
              </w:rPr>
              <w:t>Freestanding</w:t>
            </w: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3"/>
              </w:rPr>
              <w:t>Freestanding</w:t>
            </w:r>
          </w:p>
        </w:tc>
        <w:tc>
          <w:tcPr>
            <w:tcW w:w="10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Ownership(1)</w:t>
            </w:r>
          </w:p>
        </w:tc>
        <w:tc>
          <w:tcPr>
            <w:tcW w:w="100" w:type="dxa"/>
            <w:vAlign w:val="bottom"/>
          </w:tcPr>
          <w:p>
            <w:pPr>
              <w:spacing w:after="0"/>
              <w:rPr>
                <w:sz w:val="13"/>
                <w:szCs w:val="13"/>
                <w:color w:val="auto"/>
              </w:rPr>
            </w:pPr>
          </w:p>
        </w:tc>
        <w:tc>
          <w:tcPr>
            <w:tcW w:w="14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Center/Location(2)</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Acquisition</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Renovation</w:t>
            </w: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GLA(3)</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GLA</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GLA Leased</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3"/>
              </w:rPr>
              <w:t>Anchors (3)</w:t>
            </w: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0" w:type="dxa"/>
            <w:vAlign w:val="bottom"/>
          </w:tcPr>
          <w:p>
            <w:pPr>
              <w:spacing w:after="0"/>
              <w:rPr>
                <w:sz w:val="1"/>
                <w:szCs w:val="1"/>
                <w:color w:val="auto"/>
              </w:rPr>
            </w:pPr>
          </w:p>
        </w:tc>
      </w:tr>
      <w:tr>
        <w:trPr>
          <w:trHeight w:val="158"/>
        </w:trPr>
        <w:tc>
          <w:tcPr>
            <w:tcW w:w="48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19</w:t>
            </w:r>
          </w:p>
        </w:tc>
        <w:tc>
          <w:tcPr>
            <w:tcW w:w="980" w:type="dxa"/>
            <w:vAlign w:val="bottom"/>
          </w:tcPr>
          <w:p>
            <w:pPr>
              <w:jc w:val="center"/>
              <w:ind w:left="39"/>
              <w:spacing w:after="0"/>
              <w:rPr>
                <w:sz w:val="20"/>
                <w:szCs w:val="20"/>
                <w:color w:val="auto"/>
              </w:rPr>
            </w:pPr>
            <w:r>
              <w:rPr>
                <w:rFonts w:ascii="Times New Roman" w:cs="Times New Roman" w:eastAsia="Times New Roman" w:hAnsi="Times New Roman"/>
                <w:sz w:val="12"/>
                <w:szCs w:val="12"/>
                <w:color w:val="auto"/>
              </w:rPr>
              <w:t>84.9%</w:t>
            </w: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SanTan Village Regional</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2007/—</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2018</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1,203,000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96.5 %</w:t>
            </w: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Dillard's, Macy's</w:t>
            </w: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Center</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Gilbert, Arizona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jc w:val="right"/>
              <w:ind w:right="119"/>
              <w:spacing w:after="0" w:line="127" w:lineRule="exact"/>
              <w:rPr>
                <w:sz w:val="20"/>
                <w:szCs w:val="20"/>
                <w:color w:val="auto"/>
              </w:rPr>
            </w:pPr>
            <w:r>
              <w:rPr>
                <w:rFonts w:ascii="Times New Roman" w:cs="Times New Roman" w:eastAsia="Times New Roman" w:hAnsi="Times New Roman"/>
                <w:sz w:val="12"/>
                <w:szCs w:val="12"/>
                <w:color w:val="auto"/>
              </w:rPr>
              <w:t>20</w:t>
            </w:r>
          </w:p>
        </w:tc>
        <w:tc>
          <w:tcPr>
            <w:tcW w:w="980" w:type="dxa"/>
            <w:vAlign w:val="bottom"/>
            <w:shd w:val="clear" w:color="auto" w:fill="CCEEFF"/>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SouthPark Mall(4)</w:t>
            </w: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1974/1998</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802,000</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290,000</w:t>
            </w:r>
          </w:p>
        </w:tc>
        <w:tc>
          <w:tcPr>
            <w:tcW w:w="10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72.6 %</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rPr>
              <w:t>Dillard's, Von</w:t>
            </w:r>
          </w:p>
        </w:tc>
        <w:tc>
          <w:tcPr>
            <w:tcW w:w="1360" w:type="dxa"/>
            <w:vAlign w:val="bottom"/>
            <w:shd w:val="clear" w:color="auto" w:fill="CCEEFF"/>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Moline, Illinois</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Maur</w:t>
            </w:r>
          </w:p>
        </w:tc>
        <w:tc>
          <w:tcPr>
            <w:tcW w:w="13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123"/>
        </w:trPr>
        <w:tc>
          <w:tcPr>
            <w:tcW w:w="48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540" w:type="dxa"/>
            <w:vAlign w:val="bottom"/>
            <w:tcBorders>
              <w:bottom w:val="single" w:sz="8" w:color="CCEEFF"/>
            </w:tcBorders>
            <w:gridSpan w:val="2"/>
            <w:vMerge w:val="continue"/>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3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21</w:t>
            </w:r>
          </w:p>
        </w:tc>
        <w:tc>
          <w:tcPr>
            <w:tcW w:w="980" w:type="dxa"/>
            <w:vAlign w:val="bottom"/>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Stonewood Center(4)(6)</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1953/1997</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1991</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927,000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356,000</w:t>
            </w:r>
          </w:p>
        </w:tc>
        <w:tc>
          <w:tcPr>
            <w:tcW w:w="10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95.8 %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JCPenney, Kohl's,</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Macy's</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Downey, California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22</w:t>
            </w:r>
          </w:p>
        </w:tc>
        <w:tc>
          <w:tcPr>
            <w:tcW w:w="980" w:type="dxa"/>
            <w:vAlign w:val="bottom"/>
            <w:shd w:val="clear" w:color="auto" w:fill="CCEEFF"/>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Superstition Springs</w:t>
            </w: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1990/2002</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2002</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955,000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384,000</w:t>
            </w:r>
          </w:p>
        </w:tc>
        <w:tc>
          <w:tcPr>
            <w:tcW w:w="108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89.4 %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Dillard's,</w:t>
            </w:r>
          </w:p>
        </w:tc>
        <w:tc>
          <w:tcPr>
            <w:tcW w:w="1360" w:type="dxa"/>
            <w:vAlign w:val="bottom"/>
            <w:shd w:val="clear" w:color="auto" w:fill="CCEEFF"/>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Center(4)</w:t>
            </w: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JCPenney,</w:t>
            </w: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Mesa, Arizona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Macy's</w:t>
            </w: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4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4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23</w:t>
            </w:r>
          </w:p>
        </w:tc>
        <w:tc>
          <w:tcPr>
            <w:tcW w:w="980" w:type="dxa"/>
            <w:vAlign w:val="bottom"/>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Valley Mall</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1978/1998</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1992</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506,000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191,000</w:t>
            </w:r>
          </w:p>
        </w:tc>
        <w:tc>
          <w:tcPr>
            <w:tcW w:w="10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88.4 %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Target</w:t>
            </w:r>
          </w:p>
        </w:tc>
        <w:tc>
          <w:tcPr>
            <w:tcW w:w="136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Belk, Dick's Sporting</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Harrisonburg, Virginia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Goods, JCPenney</w:t>
            </w:r>
          </w:p>
        </w:tc>
        <w:tc>
          <w:tcPr>
            <w:tcW w:w="0" w:type="dxa"/>
            <w:vAlign w:val="bottom"/>
          </w:tcPr>
          <w:p>
            <w:pPr>
              <w:spacing w:after="0"/>
              <w:rPr>
                <w:sz w:val="1"/>
                <w:szCs w:val="1"/>
                <w:color w:val="auto"/>
              </w:rPr>
            </w:pPr>
          </w:p>
        </w:tc>
      </w:tr>
      <w:tr>
        <w:trPr>
          <w:trHeight w:val="87"/>
        </w:trPr>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24</w:t>
            </w:r>
          </w:p>
        </w:tc>
        <w:tc>
          <w:tcPr>
            <w:tcW w:w="9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Valley River Center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1969/2006</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2007</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814,000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96.3 %</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Macy's</w:t>
            </w:r>
          </w:p>
        </w:tc>
        <w:tc>
          <w:tcPr>
            <w:tcW w:w="13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347"/>
        </w:trPr>
        <w:tc>
          <w:tcPr>
            <w:tcW w:w="4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Eugene, Oregon</w:t>
            </w: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25</w:t>
            </w:r>
          </w:p>
        </w:tc>
        <w:tc>
          <w:tcPr>
            <w:tcW w:w="980" w:type="dxa"/>
            <w:vAlign w:val="bottom"/>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Victor Valley, Mall of(4)</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1986/2004</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2012</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578,000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259,000</w:t>
            </w:r>
          </w:p>
        </w:tc>
        <w:tc>
          <w:tcPr>
            <w:tcW w:w="10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99.1 %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Macy's</w:t>
            </w:r>
          </w:p>
        </w:tc>
        <w:tc>
          <w:tcPr>
            <w:tcW w:w="136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Victorville, California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26</w:t>
            </w:r>
          </w:p>
        </w:tc>
        <w:tc>
          <w:tcPr>
            <w:tcW w:w="980" w:type="dxa"/>
            <w:vAlign w:val="bottom"/>
            <w:shd w:val="clear" w:color="auto" w:fill="CCEEFF"/>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Vintage Faire Mall</w:t>
            </w: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1977/1996</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2020</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916,000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472,000</w:t>
            </w:r>
          </w:p>
        </w:tc>
        <w:tc>
          <w:tcPr>
            <w:tcW w:w="108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97.0 %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Macy's</w:t>
            </w:r>
          </w:p>
        </w:tc>
        <w:tc>
          <w:tcPr>
            <w:tcW w:w="136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Modesto, California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JCPenney, Macy's</w:t>
            </w:r>
          </w:p>
        </w:tc>
        <w:tc>
          <w:tcPr>
            <w:tcW w:w="0" w:type="dxa"/>
            <w:vAlign w:val="bottom"/>
          </w:tcPr>
          <w:p>
            <w:pPr>
              <w:spacing w:after="0"/>
              <w:rPr>
                <w:sz w:val="1"/>
                <w:szCs w:val="1"/>
                <w:color w:val="auto"/>
              </w:rPr>
            </w:pPr>
          </w:p>
        </w:tc>
      </w:tr>
      <w:tr>
        <w:trPr>
          <w:trHeight w:val="87"/>
        </w:trPr>
        <w:tc>
          <w:tcPr>
            <w:tcW w:w="4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40" w:type="dxa"/>
            <w:vAlign w:val="bottom"/>
            <w:gridSpan w:val="2"/>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27</w:t>
            </w:r>
          </w:p>
        </w:tc>
        <w:tc>
          <w:tcPr>
            <w:tcW w:w="980" w:type="dxa"/>
            <w:vAlign w:val="bottom"/>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w w:val="99"/>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Wilton Mall(4)</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1990/2005</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741,000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422,000</w:t>
            </w:r>
          </w:p>
        </w:tc>
        <w:tc>
          <w:tcPr>
            <w:tcW w:w="10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95.9 %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JCPenney, BJ's</w:t>
            </w:r>
          </w:p>
        </w:tc>
        <w:tc>
          <w:tcPr>
            <w:tcW w:w="136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Saratoga Springs, New</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Wholesale Club</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York</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4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Consolidated Centers</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25,127,000</w:t>
            </w:r>
          </w:p>
        </w:tc>
        <w:tc>
          <w:tcPr>
            <w:tcW w:w="12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12,728,000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93.6 %</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3620" w:type="dxa"/>
            <w:vAlign w:val="bottom"/>
            <w:gridSpan w:val="6"/>
          </w:tcPr>
          <w:p>
            <w:pPr>
              <w:ind w:left="120"/>
              <w:spacing w:after="0"/>
              <w:rPr>
                <w:sz w:val="20"/>
                <w:szCs w:val="20"/>
                <w:color w:val="auto"/>
              </w:rPr>
            </w:pPr>
            <w:r>
              <w:rPr>
                <w:rFonts w:ascii="Times New Roman" w:cs="Times New Roman" w:eastAsia="Times New Roman" w:hAnsi="Times New Roman"/>
                <w:sz w:val="12"/>
                <w:szCs w:val="12"/>
                <w:b w:val="1"/>
                <w:bCs w:val="1"/>
                <w:color w:val="auto"/>
              </w:rPr>
              <w:t>UNCONSOLIDATED JOINT VENTURE CENTERS: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80" w:type="dxa"/>
            <w:vAlign w:val="bottom"/>
            <w:shd w:val="clear" w:color="auto" w:fill="CCEEFF"/>
          </w:tcPr>
          <w:p>
            <w:pPr>
              <w:jc w:val="right"/>
              <w:ind w:right="119"/>
              <w:spacing w:after="0" w:line="124" w:lineRule="exact"/>
              <w:rPr>
                <w:sz w:val="20"/>
                <w:szCs w:val="20"/>
                <w:color w:val="auto"/>
              </w:rPr>
            </w:pPr>
            <w:r>
              <w:rPr>
                <w:rFonts w:ascii="Times New Roman" w:cs="Times New Roman" w:eastAsia="Times New Roman" w:hAnsi="Times New Roman"/>
                <w:sz w:val="12"/>
                <w:szCs w:val="12"/>
                <w:color w:val="auto"/>
              </w:rPr>
              <w:t>28</w:t>
            </w:r>
          </w:p>
        </w:tc>
        <w:tc>
          <w:tcPr>
            <w:tcW w:w="980" w:type="dxa"/>
            <w:vAlign w:val="bottom"/>
            <w:shd w:val="clear" w:color="auto" w:fill="CCEEFF"/>
          </w:tcPr>
          <w:p>
            <w:pPr>
              <w:jc w:val="center"/>
              <w:ind w:left="39"/>
              <w:spacing w:after="0" w:line="124" w:lineRule="exact"/>
              <w:rPr>
                <w:sz w:val="20"/>
                <w:szCs w:val="20"/>
                <w:color w:val="auto"/>
              </w:rPr>
            </w:pPr>
            <w:r>
              <w:rPr>
                <w:rFonts w:ascii="Times New Roman" w:cs="Times New Roman" w:eastAsia="Times New Roman" w:hAnsi="Times New Roman"/>
                <w:sz w:val="12"/>
                <w:szCs w:val="12"/>
                <w:color w:val="auto"/>
              </w:rPr>
              <w:t>60%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Arrowhead Towne Center</w:t>
            </w:r>
          </w:p>
        </w:tc>
        <w:tc>
          <w:tcPr>
            <w:tcW w:w="9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1993/2002</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1,078,000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472,000</w:t>
            </w:r>
          </w:p>
        </w:tc>
        <w:tc>
          <w:tcPr>
            <w:tcW w:w="10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99.6 %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24" w:lineRule="exact"/>
              <w:rPr>
                <w:sz w:val="20"/>
                <w:szCs w:val="20"/>
                <w:color w:val="auto"/>
              </w:rPr>
            </w:pPr>
            <w:r>
              <w:rPr>
                <w:rFonts w:ascii="Times New Roman" w:cs="Times New Roman" w:eastAsia="Times New Roman" w:hAnsi="Times New Roman"/>
                <w:sz w:val="12"/>
                <w:szCs w:val="12"/>
                <w:color w:val="auto"/>
              </w:rPr>
              <w:t>Dillard's,</w:t>
            </w:r>
          </w:p>
        </w:tc>
        <w:tc>
          <w:tcPr>
            <w:tcW w:w="1360" w:type="dxa"/>
            <w:vAlign w:val="bottom"/>
            <w:shd w:val="clear" w:color="auto" w:fill="CCEEFF"/>
          </w:tcPr>
          <w:p>
            <w:pPr>
              <w:jc w:val="center"/>
              <w:ind w:right="39"/>
              <w:spacing w:after="0" w:line="124"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JCPenney,</w:t>
            </w: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Macy's</w:t>
            </w: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Glendale, Arizona</w:t>
            </w: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29</w:t>
            </w:r>
          </w:p>
        </w:tc>
        <w:tc>
          <w:tcPr>
            <w:tcW w:w="980" w:type="dxa"/>
            <w:vAlign w:val="bottom"/>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Biltmore Fashion Park</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1963/2003</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611,000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306,000</w:t>
            </w:r>
          </w:p>
        </w:tc>
        <w:tc>
          <w:tcPr>
            <w:tcW w:w="10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93.1 %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Macy's, Saks Fifth</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Phoenix, Arizona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Avenue</w:t>
            </w:r>
          </w:p>
        </w:tc>
        <w:tc>
          <w:tcPr>
            <w:tcW w:w="0" w:type="dxa"/>
            <w:vAlign w:val="bottom"/>
          </w:tcPr>
          <w:p>
            <w:pPr>
              <w:spacing w:after="0"/>
              <w:rPr>
                <w:sz w:val="1"/>
                <w:szCs w:val="1"/>
                <w:color w:val="auto"/>
              </w:rPr>
            </w:pPr>
          </w:p>
        </w:tc>
      </w:tr>
      <w:tr>
        <w:trPr>
          <w:trHeight w:val="127"/>
        </w:trPr>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30</w:t>
            </w:r>
          </w:p>
        </w:tc>
        <w:tc>
          <w:tcPr>
            <w:tcW w:w="9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Broadway Plaza(4)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1951/1985</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996,000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95.3 %</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Macy's</w:t>
            </w:r>
          </w:p>
        </w:tc>
        <w:tc>
          <w:tcPr>
            <w:tcW w:w="13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Nordstrom</w:t>
            </w:r>
          </w:p>
        </w:tc>
        <w:tc>
          <w:tcPr>
            <w:tcW w:w="0" w:type="dxa"/>
            <w:vAlign w:val="bottom"/>
          </w:tcPr>
          <w:p>
            <w:pPr>
              <w:spacing w:after="0"/>
              <w:rPr>
                <w:sz w:val="1"/>
                <w:szCs w:val="1"/>
                <w:color w:val="auto"/>
              </w:rPr>
            </w:pPr>
          </w:p>
        </w:tc>
      </w:tr>
      <w:tr>
        <w:trPr>
          <w:trHeight w:val="206"/>
        </w:trPr>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Walnut Creek, California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31</w:t>
            </w:r>
          </w:p>
        </w:tc>
        <w:tc>
          <w:tcPr>
            <w:tcW w:w="980" w:type="dxa"/>
            <w:vAlign w:val="bottom"/>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rPr>
              <w:t>50.1%</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Corte Madera, The Village</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1985/1998</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502,000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265,000</w:t>
            </w:r>
          </w:p>
        </w:tc>
        <w:tc>
          <w:tcPr>
            <w:tcW w:w="10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96.4 %</w:t>
            </w:r>
          </w:p>
        </w:tc>
        <w:tc>
          <w:tcPr>
            <w:tcW w:w="100" w:type="dxa"/>
            <w:vAlign w:val="bottom"/>
          </w:tcPr>
          <w:p>
            <w:pPr>
              <w:spacing w:after="0"/>
              <w:rPr>
                <w:sz w:val="10"/>
                <w:szCs w:val="10"/>
                <w:color w:val="auto"/>
              </w:rPr>
            </w:pPr>
          </w:p>
        </w:tc>
        <w:tc>
          <w:tcPr>
            <w:tcW w:w="1020" w:type="dxa"/>
            <w:vAlign w:val="bottom"/>
          </w:tcPr>
          <w:p>
            <w:pPr>
              <w:jc w:val="center"/>
              <w:ind w:right="19"/>
              <w:spacing w:after="0" w:line="119" w:lineRule="exact"/>
              <w:rPr>
                <w:sz w:val="20"/>
                <w:szCs w:val="20"/>
                <w:color w:val="auto"/>
              </w:rPr>
            </w:pPr>
            <w:r>
              <w:rPr>
                <w:rFonts w:ascii="Times New Roman" w:cs="Times New Roman" w:eastAsia="Times New Roman" w:hAnsi="Times New Roman"/>
                <w:sz w:val="12"/>
                <w:szCs w:val="12"/>
                <w:color w:val="auto"/>
              </w:rPr>
              <w:t>Macy's,</w:t>
            </w:r>
          </w:p>
        </w:tc>
        <w:tc>
          <w:tcPr>
            <w:tcW w:w="1360" w:type="dxa"/>
            <w:vAlign w:val="bottom"/>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at</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Nordstrom</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Corte Madera, California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32</w:t>
            </w:r>
          </w:p>
        </w:tc>
        <w:tc>
          <w:tcPr>
            <w:tcW w:w="9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Country Club Plaza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1922/2016</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83.7 %</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242"/>
        </w:trPr>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Kansas City, Missouri</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33</w:t>
            </w:r>
          </w:p>
        </w:tc>
        <w:tc>
          <w:tcPr>
            <w:tcW w:w="980" w:type="dxa"/>
            <w:vAlign w:val="bottom"/>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Deptford Mall</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1975/2006</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1,016,000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444,000</w:t>
            </w:r>
          </w:p>
        </w:tc>
        <w:tc>
          <w:tcPr>
            <w:tcW w:w="10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95.9 %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JCPenney,</w:t>
            </w:r>
          </w:p>
        </w:tc>
        <w:tc>
          <w:tcPr>
            <w:tcW w:w="136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Boscov's, Dick's</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Deptford, New Jersey</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Macy's</w:t>
            </w: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Sporting Goods</w:t>
            </w:r>
          </w:p>
        </w:tc>
        <w:tc>
          <w:tcPr>
            <w:tcW w:w="0" w:type="dxa"/>
            <w:vAlign w:val="bottom"/>
          </w:tcPr>
          <w:p>
            <w:pPr>
              <w:spacing w:after="0"/>
              <w:rPr>
                <w:sz w:val="1"/>
                <w:szCs w:val="1"/>
                <w:color w:val="auto"/>
              </w:rPr>
            </w:pPr>
          </w:p>
        </w:tc>
      </w:tr>
      <w:tr>
        <w:trPr>
          <w:trHeight w:val="87"/>
        </w:trPr>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34</w:t>
            </w:r>
          </w:p>
        </w:tc>
        <w:tc>
          <w:tcPr>
            <w:tcW w:w="980" w:type="dxa"/>
            <w:vAlign w:val="bottom"/>
            <w:shd w:val="clear" w:color="auto" w:fill="CCEEFF"/>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rPr>
              <w:t>51%</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FlatIron Crossing(4)</w:t>
            </w: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2000/2002</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2009</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1,393,000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694,000</w:t>
            </w:r>
          </w:p>
        </w:tc>
        <w:tc>
          <w:tcPr>
            <w:tcW w:w="108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93.7 %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Dillard's, Macy's</w:t>
            </w:r>
          </w:p>
        </w:tc>
        <w:tc>
          <w:tcPr>
            <w:tcW w:w="136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rPr>
              <w:t>Forever 21</w:t>
            </w:r>
          </w:p>
        </w:tc>
        <w:tc>
          <w:tcPr>
            <w:tcW w:w="0" w:type="dxa"/>
            <w:vAlign w:val="bottom"/>
          </w:tcPr>
          <w:p>
            <w:pPr>
              <w:spacing w:after="0"/>
              <w:rPr>
                <w:sz w:val="1"/>
                <w:szCs w:val="1"/>
                <w:color w:val="auto"/>
              </w:rPr>
            </w:pPr>
          </w:p>
        </w:tc>
      </w:tr>
      <w:tr>
        <w:trPr>
          <w:trHeight w:val="229"/>
        </w:trPr>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Broomfield, Colorado</w:t>
            </w: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80" w:type="dxa"/>
            <w:vAlign w:val="bottom"/>
          </w:tcPr>
          <w:p>
            <w:pPr>
              <w:jc w:val="right"/>
              <w:ind w:right="119"/>
              <w:spacing w:after="0"/>
              <w:rPr>
                <w:sz w:val="20"/>
                <w:szCs w:val="20"/>
                <w:color w:val="auto"/>
              </w:rPr>
            </w:pPr>
            <w:r>
              <w:rPr>
                <w:rFonts w:ascii="Times New Roman" w:cs="Times New Roman" w:eastAsia="Times New Roman" w:hAnsi="Times New Roman"/>
                <w:sz w:val="12"/>
                <w:szCs w:val="12"/>
                <w:color w:val="auto"/>
              </w:rPr>
              <w:t>35</w:t>
            </w:r>
          </w:p>
        </w:tc>
        <w:tc>
          <w:tcPr>
            <w:tcW w:w="980" w:type="dxa"/>
            <w:vAlign w:val="bottom"/>
          </w:tcPr>
          <w:p>
            <w:pPr>
              <w:jc w:val="center"/>
              <w:ind w:left="39"/>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Kierland Commons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1999/2005</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2003</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438,000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438,000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98.1 %</w:t>
            </w: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Phoenix, Arizona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jc w:val="right"/>
              <w:ind w:right="119"/>
              <w:spacing w:after="0" w:line="127" w:lineRule="exact"/>
              <w:rPr>
                <w:sz w:val="20"/>
                <w:szCs w:val="20"/>
                <w:color w:val="auto"/>
              </w:rPr>
            </w:pPr>
            <w:r>
              <w:rPr>
                <w:rFonts w:ascii="Times New Roman" w:cs="Times New Roman" w:eastAsia="Times New Roman" w:hAnsi="Times New Roman"/>
                <w:sz w:val="12"/>
                <w:szCs w:val="12"/>
                <w:color w:val="auto"/>
              </w:rPr>
              <w:t>36</w:t>
            </w:r>
          </w:p>
        </w:tc>
        <w:tc>
          <w:tcPr>
            <w:tcW w:w="980" w:type="dxa"/>
            <w:vAlign w:val="bottom"/>
            <w:shd w:val="clear" w:color="auto" w:fill="CCEEFF"/>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rPr>
              <w:t>60%</w:t>
            </w:r>
          </w:p>
        </w:tc>
        <w:tc>
          <w:tcPr>
            <w:tcW w:w="1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Lakewood Center</w:t>
            </w: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1953/1975</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2008</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2,050,000</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985,000</w:t>
            </w:r>
          </w:p>
        </w:tc>
        <w:tc>
          <w:tcPr>
            <w:tcW w:w="10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96.0 %</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rPr>
              <w:t>Costco, Forever 21,</w:t>
            </w: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Lakewood, California</w:t>
            </w: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360" w:type="dxa"/>
            <w:vAlign w:val="bottom"/>
            <w:shd w:val="clear" w:color="auto" w:fill="CCEEFF"/>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Home Depot,</w:t>
            </w: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continue"/>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rPr>
              <w:t>JCPenney, Macy's,</w:t>
            </w:r>
          </w:p>
        </w:tc>
        <w:tc>
          <w:tcPr>
            <w:tcW w:w="0" w:type="dxa"/>
            <w:vAlign w:val="bottom"/>
          </w:tcPr>
          <w:p>
            <w:pPr>
              <w:spacing w:after="0"/>
              <w:rPr>
                <w:sz w:val="1"/>
                <w:szCs w:val="1"/>
                <w:color w:val="auto"/>
              </w:rPr>
            </w:pPr>
          </w:p>
        </w:tc>
      </w:tr>
      <w:tr>
        <w:trPr>
          <w:trHeight w:val="196"/>
        </w:trPr>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37</w:t>
            </w:r>
          </w:p>
        </w:tc>
        <w:tc>
          <w:tcPr>
            <w:tcW w:w="980" w:type="dxa"/>
            <w:vAlign w:val="bottom"/>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Los Cerritos Center(7)</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1971/1999</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1,011,000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536,000</w:t>
            </w:r>
          </w:p>
        </w:tc>
        <w:tc>
          <w:tcPr>
            <w:tcW w:w="10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96.7 %</w:t>
            </w:r>
          </w:p>
        </w:tc>
        <w:tc>
          <w:tcPr>
            <w:tcW w:w="100" w:type="dxa"/>
            <w:vAlign w:val="bottom"/>
          </w:tcPr>
          <w:p>
            <w:pPr>
              <w:spacing w:after="0"/>
              <w:rPr>
                <w:sz w:val="10"/>
                <w:szCs w:val="10"/>
                <w:color w:val="auto"/>
              </w:rPr>
            </w:pPr>
          </w:p>
        </w:tc>
        <w:tc>
          <w:tcPr>
            <w:tcW w:w="1020" w:type="dxa"/>
            <w:vAlign w:val="bottom"/>
          </w:tcPr>
          <w:p>
            <w:pPr>
              <w:jc w:val="center"/>
              <w:ind w:right="19"/>
              <w:spacing w:after="0" w:line="119" w:lineRule="exact"/>
              <w:rPr>
                <w:sz w:val="20"/>
                <w:szCs w:val="20"/>
                <w:color w:val="auto"/>
              </w:rPr>
            </w:pPr>
            <w:r>
              <w:rPr>
                <w:rFonts w:ascii="Times New Roman" w:cs="Times New Roman" w:eastAsia="Times New Roman" w:hAnsi="Times New Roman"/>
                <w:sz w:val="12"/>
                <w:szCs w:val="12"/>
                <w:color w:val="auto"/>
              </w:rPr>
              <w:t>Macy's,</w:t>
            </w:r>
          </w:p>
        </w:tc>
        <w:tc>
          <w:tcPr>
            <w:tcW w:w="136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Cerritos, California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Nordstrom</w:t>
            </w: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Forever 21</w:t>
            </w: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jc w:val="right"/>
              <w:ind w:right="119"/>
              <w:spacing w:after="0" w:line="127" w:lineRule="exact"/>
              <w:rPr>
                <w:sz w:val="20"/>
                <w:szCs w:val="20"/>
                <w:color w:val="auto"/>
              </w:rPr>
            </w:pPr>
            <w:r>
              <w:rPr>
                <w:rFonts w:ascii="Times New Roman" w:cs="Times New Roman" w:eastAsia="Times New Roman" w:hAnsi="Times New Roman"/>
                <w:sz w:val="12"/>
                <w:szCs w:val="12"/>
                <w:color w:val="auto"/>
              </w:rPr>
              <w:t>38</w:t>
            </w:r>
          </w:p>
        </w:tc>
        <w:tc>
          <w:tcPr>
            <w:tcW w:w="980" w:type="dxa"/>
            <w:vAlign w:val="bottom"/>
            <w:shd w:val="clear" w:color="auto" w:fill="CCEEFF"/>
          </w:tcPr>
          <w:p>
            <w:pPr>
              <w:jc w:val="center"/>
              <w:ind w:left="39"/>
              <w:spacing w:after="0" w:line="127" w:lineRule="exact"/>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Scottsdale Fashion Square</w:t>
            </w: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1961/2002</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27" w:lineRule="exact"/>
              <w:rPr>
                <w:sz w:val="20"/>
                <w:szCs w:val="20"/>
                <w:color w:val="auto"/>
              </w:rPr>
            </w:pPr>
            <w:r>
              <w:rPr>
                <w:rFonts w:ascii="Times New Roman" w:cs="Times New Roman" w:eastAsia="Times New Roman" w:hAnsi="Times New Roman"/>
                <w:sz w:val="12"/>
                <w:szCs w:val="12"/>
                <w:color w:val="auto"/>
              </w:rPr>
              <w:t>Ongoing</w:t>
            </w:r>
          </w:p>
        </w:tc>
        <w:tc>
          <w:tcPr>
            <w:tcW w:w="8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1,871,000</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910,000</w:t>
            </w:r>
          </w:p>
        </w:tc>
        <w:tc>
          <w:tcPr>
            <w:tcW w:w="10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92.8 %</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19"/>
              <w:spacing w:after="0" w:line="127" w:lineRule="exact"/>
              <w:rPr>
                <w:sz w:val="20"/>
                <w:szCs w:val="20"/>
                <w:color w:val="auto"/>
              </w:rPr>
            </w:pPr>
            <w:r>
              <w:rPr>
                <w:rFonts w:ascii="Times New Roman" w:cs="Times New Roman" w:eastAsia="Times New Roman" w:hAnsi="Times New Roman"/>
                <w:sz w:val="12"/>
                <w:szCs w:val="12"/>
                <w:color w:val="auto"/>
              </w:rPr>
              <w:t>Dillard's</w:t>
            </w:r>
          </w:p>
        </w:tc>
        <w:tc>
          <w:tcPr>
            <w:tcW w:w="1360" w:type="dxa"/>
            <w:vAlign w:val="bottom"/>
            <w:shd w:val="clear" w:color="auto" w:fill="CCEEFF"/>
          </w:tcPr>
          <w:p>
            <w:pPr>
              <w:jc w:val="center"/>
              <w:ind w:right="39"/>
              <w:spacing w:after="0" w:line="127"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360" w:type="dxa"/>
            <w:vAlign w:val="bottom"/>
            <w:shd w:val="clear" w:color="auto" w:fill="CCEEFF"/>
          </w:tcPr>
          <w:p>
            <w:pPr>
              <w:jc w:val="center"/>
              <w:ind w:right="59"/>
              <w:spacing w:after="0" w:line="119" w:lineRule="exact"/>
              <w:rPr>
                <w:sz w:val="20"/>
                <w:szCs w:val="20"/>
                <w:color w:val="auto"/>
              </w:rPr>
            </w:pPr>
            <w:r>
              <w:rPr>
                <w:rFonts w:ascii="Times New Roman" w:cs="Times New Roman" w:eastAsia="Times New Roman" w:hAnsi="Times New Roman"/>
                <w:sz w:val="12"/>
                <w:szCs w:val="12"/>
                <w:color w:val="auto"/>
              </w:rPr>
              <w:t>Macy's, Neiman</w:t>
            </w: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Scottsdale, Arizona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2"/>
                <w:szCs w:val="12"/>
                <w:color w:val="auto"/>
              </w:rPr>
              <w:t>Marcus, Nordstrom</w:t>
            </w:r>
          </w:p>
        </w:tc>
        <w:tc>
          <w:tcPr>
            <w:tcW w:w="0" w:type="dxa"/>
            <w:vAlign w:val="bottom"/>
          </w:tcPr>
          <w:p>
            <w:pPr>
              <w:spacing w:after="0"/>
              <w:rPr>
                <w:sz w:val="1"/>
                <w:szCs w:val="1"/>
                <w:color w:val="auto"/>
              </w:rPr>
            </w:pPr>
          </w:p>
        </w:tc>
      </w:tr>
      <w:tr>
        <w:trPr>
          <w:trHeight w:val="74"/>
        </w:trPr>
        <w:tc>
          <w:tcPr>
            <w:tcW w:w="4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Times New Roman" w:cs="Times New Roman" w:eastAsia="Times New Roman" w:hAnsi="Times New Roman"/>
                <w:sz w:val="12"/>
                <w:szCs w:val="12"/>
                <w:color w:val="auto"/>
              </w:rPr>
              <w:t>39</w:t>
            </w:r>
          </w:p>
        </w:tc>
        <w:tc>
          <w:tcPr>
            <w:tcW w:w="980" w:type="dxa"/>
            <w:vAlign w:val="bottom"/>
          </w:tcPr>
          <w:p>
            <w:pPr>
              <w:jc w:val="center"/>
              <w:ind w:left="39"/>
              <w:spacing w:after="0" w:line="119" w:lineRule="exact"/>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South Plains Mall(4)</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1972/1998</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2017</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1,243,000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494,000</w:t>
            </w:r>
          </w:p>
        </w:tc>
        <w:tc>
          <w:tcPr>
            <w:tcW w:w="10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2"/>
                <w:szCs w:val="12"/>
                <w:color w:val="auto"/>
              </w:rPr>
              <w:t>91.1 %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Home Depot</w:t>
            </w:r>
          </w:p>
        </w:tc>
        <w:tc>
          <w:tcPr>
            <w:tcW w:w="136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color w:val="auto"/>
              </w:rPr>
              <w:t>Dillard's (two)(8),</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auto"/>
              </w:rPr>
              <w:t>Lubbock, Texas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127"/>
        </w:trPr>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40</w:t>
            </w:r>
          </w:p>
        </w:tc>
        <w:tc>
          <w:tcPr>
            <w:tcW w:w="9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Twenty Ninth Street(6)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1963/1979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2007</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694,000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553,000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94.3 %</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rPr>
              <w:t>Home Depot</w:t>
            </w:r>
          </w:p>
        </w:tc>
        <w:tc>
          <w:tcPr>
            <w:tcW w:w="0" w:type="dxa"/>
            <w:vAlign w:val="bottom"/>
          </w:tcPr>
          <w:p>
            <w:pPr>
              <w:spacing w:after="0"/>
              <w:rPr>
                <w:sz w:val="1"/>
                <w:szCs w:val="1"/>
                <w:color w:val="auto"/>
              </w:rPr>
            </w:pPr>
          </w:p>
        </w:tc>
      </w:tr>
      <w:tr>
        <w:trPr>
          <w:trHeight w:val="157"/>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6725920" cy="334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25920" cy="334645"/>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2"/>
          <w:szCs w:val="12"/>
          <w:color w:val="auto"/>
        </w:rPr>
        <w:t>Boulder, Colorado</w:t>
      </w:r>
    </w:p>
    <w:p>
      <w:pPr>
        <w:sectPr>
          <w:pgSz w:w="11900" w:h="16838" w:orient="portrait"/>
          <w:cols w:equalWidth="0" w:num="1">
            <w:col w:w="10600"/>
          </w:cols>
          <w:pgMar w:left="760" w:top="843"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00"/>
          </w:cols>
          <w:pgMar w:left="760" w:top="843" w:right="539" w:bottom="1440" w:gutter="0" w:footer="0" w:header="0"/>
          <w:type w:val="continuous"/>
        </w:sectPr>
      </w:pPr>
    </w:p>
    <w:bookmarkStart w:id="31" w:name="page32"/>
    <w:bookmarkEnd w:id="31"/>
    <w:tbl>
      <w:tblPr>
        <w:tblLayout w:type="fixed"/>
        <w:tblInd w:w="440" w:type="dxa"/>
        <w:tblCellMar>
          <w:top w:w="0" w:type="dxa"/>
          <w:left w:w="0" w:type="dxa"/>
          <w:bottom w:w="0" w:type="dxa"/>
          <w:right w:w="0" w:type="dxa"/>
        </w:tblCellMar>
      </w:tblPr>
      <w:tr>
        <w:trPr>
          <w:trHeight w:val="126"/>
        </w:trPr>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Year of</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3"/>
              </w:rPr>
              <w:t>Year of Most</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Mall and</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10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60" w:type="dxa"/>
            <w:vAlign w:val="bottom"/>
          </w:tcPr>
          <w:p>
            <w:pPr>
              <w:spacing w:after="0"/>
              <w:rPr>
                <w:sz w:val="9"/>
                <w:szCs w:val="9"/>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Company's</w:t>
            </w:r>
          </w:p>
        </w:tc>
        <w:tc>
          <w:tcPr>
            <w:tcW w:w="16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Name of</w:t>
            </w:r>
          </w:p>
        </w:tc>
        <w:tc>
          <w:tcPr>
            <w:tcW w:w="88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Original</w:t>
            </w:r>
          </w:p>
        </w:tc>
        <w:tc>
          <w:tcPr>
            <w:tcW w:w="9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8"/>
              </w:rPr>
              <w:t>Recent</w:t>
            </w:r>
          </w:p>
        </w:tc>
        <w:tc>
          <w:tcPr>
            <w:tcW w:w="10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1"/>
                <w:szCs w:val="11"/>
                <w:b w:val="1"/>
                <w:bCs w:val="1"/>
                <w:color w:val="auto"/>
                <w:w w:val="95"/>
              </w:rPr>
              <w:t>of Mall and</w:t>
            </w:r>
          </w:p>
        </w:tc>
        <w:tc>
          <w:tcPr>
            <w:tcW w:w="1020" w:type="dxa"/>
            <w:vAlign w:val="bottom"/>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Non-Owned</w:t>
            </w:r>
          </w:p>
        </w:tc>
        <w:tc>
          <w:tcPr>
            <w:tcW w:w="1380" w:type="dxa"/>
            <w:vAlign w:val="bottom"/>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Company-Owned Anchors</w:t>
            </w:r>
          </w:p>
        </w:tc>
        <w:tc>
          <w:tcPr>
            <w:tcW w:w="0" w:type="dxa"/>
            <w:vAlign w:val="bottom"/>
          </w:tcPr>
          <w:p>
            <w:pPr>
              <w:spacing w:after="0"/>
              <w:rPr>
                <w:sz w:val="1"/>
                <w:szCs w:val="1"/>
                <w:color w:val="auto"/>
              </w:rPr>
            </w:pPr>
          </w:p>
        </w:tc>
      </w:tr>
      <w:tr>
        <w:trPr>
          <w:trHeight w:val="105"/>
        </w:trPr>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Count</w:t>
            </w:r>
          </w:p>
        </w:tc>
        <w:tc>
          <w:tcPr>
            <w:tcW w:w="1100" w:type="dxa"/>
            <w:vAlign w:val="bottom"/>
            <w:gridSpan w:val="2"/>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88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Construction/</w:t>
            </w:r>
          </w:p>
        </w:tc>
        <w:tc>
          <w:tcPr>
            <w:tcW w:w="90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8"/>
              </w:rPr>
              <w:t>Expansion/</w:t>
            </w:r>
          </w:p>
        </w:tc>
        <w:tc>
          <w:tcPr>
            <w:tcW w:w="1000" w:type="dxa"/>
            <w:vAlign w:val="bottom"/>
            <w:gridSpan w:val="2"/>
            <w:vMerge w:val="continue"/>
          </w:tcPr>
          <w:p>
            <w:pPr>
              <w:spacing w:after="0"/>
              <w:rPr>
                <w:sz w:val="9"/>
                <w:szCs w:val="9"/>
                <w:color w:val="auto"/>
              </w:rPr>
            </w:pPr>
          </w:p>
        </w:tc>
        <w:tc>
          <w:tcPr>
            <w:tcW w:w="1040" w:type="dxa"/>
            <w:vAlign w:val="bottom"/>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7"/>
              </w:rPr>
              <w:t>Freestanding</w:t>
            </w: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5" w:lineRule="exact"/>
              <w:rPr>
                <w:sz w:val="20"/>
                <w:szCs w:val="20"/>
                <w:color w:val="auto"/>
              </w:rPr>
            </w:pPr>
            <w:r>
              <w:rPr>
                <w:rFonts w:ascii="Times New Roman" w:cs="Times New Roman" w:eastAsia="Times New Roman" w:hAnsi="Times New Roman"/>
                <w:sz w:val="11"/>
                <w:szCs w:val="11"/>
                <w:b w:val="1"/>
                <w:bCs w:val="1"/>
                <w:color w:val="auto"/>
                <w:w w:val="93"/>
              </w:rPr>
              <w:t>Freestanding</w:t>
            </w:r>
          </w:p>
        </w:tc>
        <w:tc>
          <w:tcPr>
            <w:tcW w:w="10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Ownership(1)</w:t>
            </w:r>
          </w:p>
        </w:tc>
        <w:tc>
          <w:tcPr>
            <w:tcW w:w="12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Center/Location(2)</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w w:val="92"/>
              </w:rPr>
              <w:t>Acquisition</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Renovation</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GLA(3)</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GLA</w:t>
            </w:r>
          </w:p>
        </w:tc>
        <w:tc>
          <w:tcPr>
            <w:tcW w:w="10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GLA Leased</w:t>
            </w:r>
          </w:p>
        </w:tc>
        <w:tc>
          <w:tcPr>
            <w:tcW w:w="120" w:type="dxa"/>
            <w:vAlign w:val="bottom"/>
          </w:tcPr>
          <w:p>
            <w:pPr>
              <w:spacing w:after="0"/>
              <w:rPr>
                <w:sz w:val="13"/>
                <w:szCs w:val="13"/>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3"/>
              </w:rPr>
              <w:t>Anchors (3)</w:t>
            </w:r>
          </w:p>
        </w:tc>
        <w:tc>
          <w:tcPr>
            <w:tcW w:w="13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0" w:type="dxa"/>
            <w:vAlign w:val="bottom"/>
          </w:tcPr>
          <w:p>
            <w:pPr>
              <w:spacing w:after="0"/>
              <w:rPr>
                <w:sz w:val="1"/>
                <w:szCs w:val="1"/>
                <w:color w:val="auto"/>
              </w:rPr>
            </w:pPr>
          </w:p>
        </w:tc>
      </w:tr>
      <w:tr>
        <w:trPr>
          <w:trHeight w:val="158"/>
        </w:trPr>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41</w:t>
            </w:r>
          </w:p>
        </w:tc>
        <w:tc>
          <w:tcPr>
            <w:tcW w:w="9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Tysons Corner Center(7)</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1968/2005</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1,848,000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1,108,000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97.3 %</w:t>
            </w:r>
          </w:p>
        </w:tc>
        <w:tc>
          <w:tcPr>
            <w:tcW w:w="120" w:type="dxa"/>
            <w:vAlign w:val="bottom"/>
          </w:tcPr>
          <w:p>
            <w:pPr>
              <w:spacing w:after="0"/>
              <w:rPr>
                <w:sz w:val="13"/>
                <w:szCs w:val="13"/>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Bloomingdale's, Macy's,</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Nordstrom, Primark(9)</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Tysons Corner, Virginia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42</w:t>
            </w:r>
          </w:p>
        </w:tc>
        <w:tc>
          <w:tcPr>
            <w:tcW w:w="980" w:type="dxa"/>
            <w:vAlign w:val="bottom"/>
            <w:shd w:val="clear" w:color="auto" w:fill="CCEEFF"/>
          </w:tcPr>
          <w:p>
            <w:pPr>
              <w:jc w:val="center"/>
              <w:ind w:left="60"/>
              <w:spacing w:after="0" w:line="119" w:lineRule="exact"/>
              <w:rPr>
                <w:sz w:val="20"/>
                <w:szCs w:val="20"/>
                <w:color w:val="auto"/>
              </w:rPr>
            </w:pPr>
            <w:r>
              <w:rPr>
                <w:rFonts w:ascii="Times New Roman" w:cs="Times New Roman" w:eastAsia="Times New Roman" w:hAnsi="Times New Roman"/>
                <w:sz w:val="12"/>
                <w:szCs w:val="12"/>
                <w:color w:val="auto"/>
                <w:w w:val="99"/>
              </w:rPr>
              <w:t>60%</w:t>
            </w:r>
          </w:p>
        </w:tc>
        <w:tc>
          <w:tcPr>
            <w:tcW w:w="1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ind w:left="20"/>
              <w:spacing w:after="0" w:line="119" w:lineRule="exact"/>
              <w:rPr>
                <w:sz w:val="20"/>
                <w:szCs w:val="20"/>
                <w:color w:val="auto"/>
              </w:rPr>
            </w:pPr>
            <w:r>
              <w:rPr>
                <w:rFonts w:ascii="Times New Roman" w:cs="Times New Roman" w:eastAsia="Times New Roman" w:hAnsi="Times New Roman"/>
                <w:sz w:val="12"/>
                <w:szCs w:val="12"/>
                <w:color w:val="auto"/>
              </w:rPr>
              <w:t>Washington Square(7)</w:t>
            </w:r>
          </w:p>
        </w:tc>
        <w:tc>
          <w:tcPr>
            <w:tcW w:w="7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1974/1999</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2005</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1,301,000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578,000</w:t>
            </w:r>
          </w:p>
        </w:tc>
        <w:tc>
          <w:tcPr>
            <w:tcW w:w="106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97.0 %</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40"/>
              <w:spacing w:after="0" w:line="119" w:lineRule="exact"/>
              <w:rPr>
                <w:sz w:val="20"/>
                <w:szCs w:val="20"/>
                <w:color w:val="auto"/>
              </w:rPr>
            </w:pPr>
            <w:r>
              <w:rPr>
                <w:rFonts w:ascii="Times New Roman" w:cs="Times New Roman" w:eastAsia="Times New Roman" w:hAnsi="Times New Roman"/>
                <w:sz w:val="12"/>
                <w:szCs w:val="12"/>
                <w:color w:val="auto"/>
              </w:rPr>
              <w:t>Macy's</w:t>
            </w:r>
          </w:p>
        </w:tc>
        <w:tc>
          <w:tcPr>
            <w:tcW w:w="1380" w:type="dxa"/>
            <w:vAlign w:val="bottom"/>
            <w:shd w:val="clear" w:color="auto" w:fill="CCEEFF"/>
          </w:tcPr>
          <w:p>
            <w:pPr>
              <w:jc w:val="center"/>
              <w:ind w:right="60"/>
              <w:spacing w:after="0" w:line="119" w:lineRule="exact"/>
              <w:rPr>
                <w:sz w:val="20"/>
                <w:szCs w:val="20"/>
                <w:color w:val="auto"/>
              </w:rPr>
            </w:pPr>
            <w:r>
              <w:rPr>
                <w:rFonts w:ascii="Times New Roman" w:cs="Times New Roman" w:eastAsia="Times New Roman" w:hAnsi="Times New Roman"/>
                <w:sz w:val="12"/>
                <w:szCs w:val="12"/>
                <w:color w:val="auto"/>
              </w:rPr>
              <w:t>Dick's Sporting Goods,</w:t>
            </w: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JCPenney, Nordstrom</w:t>
            </w:r>
          </w:p>
        </w:tc>
        <w:tc>
          <w:tcPr>
            <w:tcW w:w="0" w:type="dxa"/>
            <w:vAlign w:val="bottom"/>
          </w:tcPr>
          <w:p>
            <w:pPr>
              <w:spacing w:after="0"/>
              <w:rPr>
                <w:sz w:val="1"/>
                <w:szCs w:val="1"/>
                <w:color w:val="auto"/>
              </w:rPr>
            </w:pPr>
          </w:p>
        </w:tc>
      </w:tr>
      <w:tr>
        <w:trPr>
          <w:trHeight w:val="229"/>
        </w:trPr>
        <w:tc>
          <w:tcPr>
            <w:tcW w:w="4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Portland, Oregon</w:t>
            </w: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43</w:t>
            </w:r>
          </w:p>
        </w:tc>
        <w:tc>
          <w:tcPr>
            <w:tcW w:w="9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19%</w:t>
            </w: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West Acres</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1972/1986</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94.7 %</w:t>
            </w:r>
          </w:p>
        </w:tc>
        <w:tc>
          <w:tcPr>
            <w:tcW w:w="120" w:type="dxa"/>
            <w:vAlign w:val="bottom"/>
          </w:tcPr>
          <w:p>
            <w:pPr>
              <w:spacing w:after="0"/>
              <w:rPr>
                <w:sz w:val="13"/>
                <w:szCs w:val="13"/>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Macy's</w:t>
            </w: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JCPenney</w:t>
            </w:r>
          </w:p>
        </w:tc>
        <w:tc>
          <w:tcPr>
            <w:tcW w:w="0" w:type="dxa"/>
            <w:vAlign w:val="bottom"/>
          </w:tcPr>
          <w:p>
            <w:pPr>
              <w:spacing w:after="0"/>
              <w:rPr>
                <w:sz w:val="1"/>
                <w:szCs w:val="1"/>
                <w:color w:val="auto"/>
              </w:rPr>
            </w:pPr>
          </w:p>
        </w:tc>
      </w:tr>
      <w:tr>
        <w:trPr>
          <w:trHeight w:val="255"/>
        </w:trPr>
        <w:tc>
          <w:tcPr>
            <w:tcW w:w="4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Fargo, North Dakota</w:t>
            </w: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5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Unconsolidated Joint Ventures</w:t>
            </w: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17,715,000</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9,631,000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93.5 %</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jc w:val="center"/>
              <w:spacing w:after="0" w:line="119" w:lineRule="exact"/>
              <w:rPr>
                <w:sz w:val="20"/>
                <w:szCs w:val="20"/>
                <w:color w:val="auto"/>
              </w:rPr>
            </w:pPr>
            <w:r>
              <w:rPr>
                <w:rFonts w:ascii="Times New Roman" w:cs="Times New Roman" w:eastAsia="Times New Roman" w:hAnsi="Times New Roman"/>
                <w:sz w:val="12"/>
                <w:szCs w:val="12"/>
                <w:color w:val="auto"/>
              </w:rPr>
              <w:t>43</w:t>
            </w: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jc w:val="center"/>
              <w:ind w:right="240"/>
              <w:spacing w:after="0" w:line="119" w:lineRule="exact"/>
              <w:rPr>
                <w:sz w:val="20"/>
                <w:szCs w:val="20"/>
                <w:color w:val="auto"/>
              </w:rPr>
            </w:pPr>
            <w:r>
              <w:rPr>
                <w:rFonts w:ascii="Times New Roman" w:cs="Times New Roman" w:eastAsia="Times New Roman" w:hAnsi="Times New Roman"/>
                <w:sz w:val="12"/>
                <w:szCs w:val="12"/>
                <w:color w:val="auto"/>
              </w:rPr>
              <w:t>Total Regional Town</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42,842,000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2"/>
                <w:szCs w:val="12"/>
                <w:color w:val="auto"/>
              </w:rPr>
              <w:t>22,359,000</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93.5 %</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2"/>
                <w:szCs w:val="12"/>
                <w:color w:val="auto"/>
              </w:rPr>
              <w:t>Centers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60" w:type="dxa"/>
            <w:vAlign w:val="bottom"/>
          </w:tcPr>
          <w:p>
            <w:pPr>
              <w:spacing w:after="0"/>
              <w:rPr>
                <w:sz w:val="12"/>
                <w:szCs w:val="12"/>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COMMUNITY/POWER SHOPPING CENTERS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60" w:type="dxa"/>
            <w:vAlign w:val="bottom"/>
            <w:shd w:val="clear" w:color="auto" w:fill="CCEEFF"/>
          </w:tcPr>
          <w:p>
            <w:pPr>
              <w:jc w:val="center"/>
              <w:spacing w:after="0" w:line="124" w:lineRule="exact"/>
              <w:rPr>
                <w:sz w:val="20"/>
                <w:szCs w:val="20"/>
                <w:color w:val="auto"/>
              </w:rPr>
            </w:pPr>
            <w:r>
              <w:rPr>
                <w:rFonts w:ascii="Times New Roman" w:cs="Times New Roman" w:eastAsia="Times New Roman" w:hAnsi="Times New Roman"/>
                <w:sz w:val="12"/>
                <w:szCs w:val="12"/>
                <w:color w:val="auto"/>
                <w:w w:val="99"/>
              </w:rPr>
              <w:t>1</w:t>
            </w:r>
          </w:p>
        </w:tc>
        <w:tc>
          <w:tcPr>
            <w:tcW w:w="980" w:type="dxa"/>
            <w:vAlign w:val="bottom"/>
            <w:shd w:val="clear" w:color="auto" w:fill="CCEEFF"/>
          </w:tcPr>
          <w:p>
            <w:pPr>
              <w:jc w:val="center"/>
              <w:ind w:left="60"/>
              <w:spacing w:after="0" w:line="124" w:lineRule="exact"/>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Atlas Park, The Shops</w:t>
            </w:r>
          </w:p>
        </w:tc>
        <w:tc>
          <w:tcPr>
            <w:tcW w:w="7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2006/2011</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2013</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373,000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373,000</w:t>
            </w:r>
          </w:p>
        </w:tc>
        <w:tc>
          <w:tcPr>
            <w:tcW w:w="10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94.2 %</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4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center"/>
              <w:ind w:right="4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at(10)</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Queens, New York</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9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Boulevard Shops(10)</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2001/2002</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2004</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95.3 %</w:t>
            </w:r>
          </w:p>
        </w:tc>
        <w:tc>
          <w:tcPr>
            <w:tcW w:w="120" w:type="dxa"/>
            <w:vAlign w:val="bottom"/>
          </w:tcPr>
          <w:p>
            <w:pPr>
              <w:spacing w:after="0"/>
              <w:rPr>
                <w:sz w:val="13"/>
                <w:szCs w:val="13"/>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Chandler, Arizona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60" w:type="dxa"/>
            <w:vAlign w:val="bottom"/>
            <w:shd w:val="clear" w:color="auto" w:fill="CCEEFF"/>
          </w:tcPr>
          <w:p>
            <w:pPr>
              <w:jc w:val="center"/>
              <w:spacing w:after="0" w:line="127" w:lineRule="exact"/>
              <w:rPr>
                <w:sz w:val="20"/>
                <w:szCs w:val="20"/>
                <w:color w:val="auto"/>
              </w:rPr>
            </w:pPr>
            <w:r>
              <w:rPr>
                <w:rFonts w:ascii="Times New Roman" w:cs="Times New Roman" w:eastAsia="Times New Roman" w:hAnsi="Times New Roman"/>
                <w:sz w:val="12"/>
                <w:szCs w:val="12"/>
                <w:color w:val="auto"/>
                <w:w w:val="99"/>
              </w:rPr>
              <w:t>3</w:t>
            </w:r>
          </w:p>
        </w:tc>
        <w:tc>
          <w:tcPr>
            <w:tcW w:w="980" w:type="dxa"/>
            <w:vAlign w:val="bottom"/>
            <w:shd w:val="clear" w:color="auto" w:fill="CCEEFF"/>
          </w:tcPr>
          <w:p>
            <w:pPr>
              <w:jc w:val="center"/>
              <w:ind w:left="60"/>
              <w:spacing w:after="0" w:line="127" w:lineRule="exact"/>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Southridge Center(4)(11)</w:t>
            </w: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1975/1998</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2013</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801,000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519,000</w:t>
            </w:r>
          </w:p>
        </w:tc>
        <w:tc>
          <w:tcPr>
            <w:tcW w:w="106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73.3 %</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60"/>
              <w:spacing w:after="0" w:line="127" w:lineRule="exact"/>
              <w:rPr>
                <w:sz w:val="20"/>
                <w:szCs w:val="20"/>
                <w:color w:val="auto"/>
              </w:rPr>
            </w:pPr>
            <w:r>
              <w:rPr>
                <w:rFonts w:ascii="Times New Roman" w:cs="Times New Roman" w:eastAsia="Times New Roman" w:hAnsi="Times New Roman"/>
                <w:sz w:val="12"/>
                <w:szCs w:val="12"/>
                <w:color w:val="auto"/>
              </w:rPr>
              <w:t>Des Moines Area</w:t>
            </w:r>
          </w:p>
        </w:tc>
        <w:tc>
          <w:tcPr>
            <w:tcW w:w="1380" w:type="dxa"/>
            <w:vAlign w:val="bottom"/>
            <w:shd w:val="clear" w:color="auto" w:fill="CCEEFF"/>
          </w:tcPr>
          <w:p>
            <w:pPr>
              <w:jc w:val="center"/>
              <w:ind w:right="60"/>
              <w:spacing w:after="0" w:line="127" w:lineRule="exact"/>
              <w:rPr>
                <w:sz w:val="20"/>
                <w:szCs w:val="20"/>
                <w:color w:val="auto"/>
              </w:rPr>
            </w:pPr>
            <w:r>
              <w:rPr>
                <w:rFonts w:ascii="Times New Roman" w:cs="Times New Roman" w:eastAsia="Times New Roman" w:hAnsi="Times New Roman"/>
                <w:sz w:val="12"/>
                <w:szCs w:val="12"/>
                <w:color w:val="auto"/>
                <w:w w:val="95"/>
              </w:rPr>
              <w:t>Target</w:t>
            </w: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60"/>
              <w:spacing w:after="0" w:line="119" w:lineRule="exact"/>
              <w:rPr>
                <w:sz w:val="20"/>
                <w:szCs w:val="20"/>
                <w:color w:val="auto"/>
              </w:rPr>
            </w:pPr>
            <w:r>
              <w:rPr>
                <w:rFonts w:ascii="Times New Roman" w:cs="Times New Roman" w:eastAsia="Times New Roman" w:hAnsi="Times New Roman"/>
                <w:sz w:val="12"/>
                <w:szCs w:val="12"/>
                <w:color w:val="auto"/>
              </w:rPr>
              <w:t>Community</w:t>
            </w: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Des Moines, Iowa</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rPr>
              <w:t>College</w:t>
            </w: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gridSpan w:val="3"/>
            <w:vMerge w:val="continue"/>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Total Community/Power Shopping Centers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1,379,000</w:t>
            </w:r>
          </w:p>
        </w:tc>
        <w:tc>
          <w:tcPr>
            <w:tcW w:w="10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1,097,000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84.5 %</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46</w:t>
            </w: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Total before Other Assets</w:t>
            </w: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44,221,000</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23,456,000</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OTHER ASSETS:</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9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Various(11)(12)</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184,000</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Kohl's</w:t>
            </w: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980" w:type="dxa"/>
            <w:vAlign w:val="bottom"/>
          </w:tcPr>
          <w:p>
            <w:pPr>
              <w:jc w:val="center"/>
              <w:ind w:left="60"/>
              <w:spacing w:after="0" w:line="130" w:lineRule="exact"/>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tcPr>
          <w:p>
            <w:pPr>
              <w:spacing w:after="0"/>
              <w:rPr>
                <w:sz w:val="11"/>
                <w:szCs w:val="11"/>
                <w:color w:val="auto"/>
              </w:rPr>
            </w:pPr>
          </w:p>
        </w:tc>
        <w:tc>
          <w:tcPr>
            <w:tcW w:w="1640" w:type="dxa"/>
            <w:vAlign w:val="bottom"/>
            <w:gridSpan w:val="3"/>
          </w:tcPr>
          <w:p>
            <w:pPr>
              <w:ind w:left="20"/>
              <w:spacing w:after="0" w:line="130" w:lineRule="exact"/>
              <w:rPr>
                <w:sz w:val="20"/>
                <w:szCs w:val="20"/>
                <w:color w:val="auto"/>
              </w:rPr>
            </w:pPr>
            <w:r>
              <w:rPr>
                <w:rFonts w:ascii="Times New Roman" w:cs="Times New Roman" w:eastAsia="Times New Roman" w:hAnsi="Times New Roman"/>
                <w:sz w:val="12"/>
                <w:szCs w:val="12"/>
                <w:color w:val="auto"/>
              </w:rPr>
              <w:t>Scottsdale Fashion Square-</w:t>
            </w: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1984/2002</w:t>
            </w:r>
          </w:p>
        </w:tc>
        <w:tc>
          <w:tcPr>
            <w:tcW w:w="100" w:type="dxa"/>
            <w:vAlign w:val="bottom"/>
          </w:tcPr>
          <w:p>
            <w:pPr>
              <w:spacing w:after="0"/>
              <w:rPr>
                <w:sz w:val="11"/>
                <w:szCs w:val="11"/>
                <w:color w:val="auto"/>
              </w:rPr>
            </w:pPr>
          </w:p>
        </w:tc>
        <w:tc>
          <w:tcPr>
            <w:tcW w:w="8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2016</w:t>
            </w:r>
          </w:p>
        </w:tc>
        <w:tc>
          <w:tcPr>
            <w:tcW w:w="10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123,000</w:t>
            </w:r>
          </w:p>
        </w:tc>
        <w:tc>
          <w:tcPr>
            <w:tcW w:w="10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080" w:type="dxa"/>
            <w:vAlign w:val="bottom"/>
            <w:gridSpan w:val="2"/>
          </w:tcPr>
          <w:p>
            <w:pPr>
              <w:jc w:val="right"/>
              <w:ind w:right="2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center"/>
              <w:ind w:right="40"/>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ind w:right="40"/>
              <w:spacing w:after="0" w:line="130"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Office(10)</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Scottsdale, Arizona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left="60"/>
              <w:spacing w:after="0" w:line="127" w:lineRule="exact"/>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Tysons Corner Center-</w:t>
            </w: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1999/2005</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2012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170,000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center"/>
              <w:ind w:right="4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center"/>
              <w:ind w:right="4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Office(10)</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Tysons Corner, Virginia</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80" w:type="dxa"/>
            <w:vAlign w:val="bottom"/>
          </w:tcPr>
          <w:p>
            <w:pPr>
              <w:jc w:val="center"/>
              <w:ind w:left="60"/>
              <w:spacing w:after="0" w:line="119" w:lineRule="exact"/>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2"/>
                <w:szCs w:val="12"/>
                <w:color w:val="auto"/>
              </w:rPr>
              <w:t>Hyatt Regency Tysons</w:t>
            </w: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2015</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2015</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290,000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80" w:type="dxa"/>
            <w:vAlign w:val="bottom"/>
            <w:gridSpan w:val="2"/>
          </w:tcPr>
          <w:p>
            <w:pPr>
              <w:jc w:val="right"/>
              <w:ind w:right="280"/>
              <w:spacing w:after="0" w:line="119"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center"/>
              <w:ind w:right="40"/>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ind w:right="40"/>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Corner Center(10)</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Tysons Corner, Virginia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left="60"/>
              <w:spacing w:after="0" w:line="127" w:lineRule="exact"/>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20"/>
              <w:spacing w:after="0" w:line="127" w:lineRule="exact"/>
              <w:rPr>
                <w:sz w:val="20"/>
                <w:szCs w:val="20"/>
                <w:color w:val="auto"/>
              </w:rPr>
            </w:pPr>
            <w:r>
              <w:rPr>
                <w:rFonts w:ascii="Times New Roman" w:cs="Times New Roman" w:eastAsia="Times New Roman" w:hAnsi="Times New Roman"/>
                <w:sz w:val="12"/>
                <w:szCs w:val="12"/>
                <w:color w:val="auto"/>
              </w:rPr>
              <w:t>VITA Tysons Corner</w:t>
            </w:r>
          </w:p>
        </w:tc>
        <w:tc>
          <w:tcPr>
            <w:tcW w:w="7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2015</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2015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398,000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27"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center"/>
              <w:ind w:right="4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center"/>
              <w:ind w:right="40"/>
              <w:spacing w:after="0" w:line="127"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Center(10)</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Tysons Corner, Virginia</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9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50%</w:t>
            </w: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Tysons Tower(10)</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2014</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Tysons Corner, Virginia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 w:type="dxa"/>
            <w:vAlign w:val="bottom"/>
            <w:shd w:val="clear" w:color="auto" w:fill="CCEEFF"/>
          </w:tcPr>
          <w:p>
            <w:pPr>
              <w:spacing w:after="0"/>
              <w:rPr>
                <w:sz w:val="15"/>
                <w:szCs w:val="15"/>
                <w:color w:val="auto"/>
              </w:rPr>
            </w:pPr>
          </w:p>
        </w:tc>
        <w:tc>
          <w:tcPr>
            <w:tcW w:w="27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OTHER ASSETS UNDER DEVELOPMENT: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80" w:type="dxa"/>
            <w:vAlign w:val="bottom"/>
          </w:tcPr>
          <w:p>
            <w:pPr>
              <w:jc w:val="center"/>
              <w:ind w:left="40"/>
              <w:spacing w:after="0" w:line="119" w:lineRule="exact"/>
              <w:rPr>
                <w:sz w:val="20"/>
                <w:szCs w:val="20"/>
                <w:color w:val="auto"/>
              </w:rPr>
            </w:pPr>
            <w:r>
              <w:rPr>
                <w:rFonts w:ascii="Times New Roman" w:cs="Times New Roman" w:eastAsia="Times New Roman" w:hAnsi="Times New Roman"/>
                <w:sz w:val="12"/>
                <w:szCs w:val="12"/>
                <w:color w:val="auto"/>
                <w:w w:val="99"/>
              </w:rPr>
              <w:t>5%</w:t>
            </w:r>
          </w:p>
        </w:tc>
        <w:tc>
          <w:tcPr>
            <w:tcW w:w="12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2"/>
                <w:szCs w:val="12"/>
                <w:color w:val="auto"/>
              </w:rPr>
              <w:t>Paradise Valley Mall(10)</w:t>
            </w: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1979/2002</w:t>
            </w:r>
          </w:p>
        </w:tc>
        <w:tc>
          <w:tcPr>
            <w:tcW w:w="100" w:type="dxa"/>
            <w:vAlign w:val="bottom"/>
          </w:tcPr>
          <w:p>
            <w:pPr>
              <w:spacing w:after="0"/>
              <w:rPr>
                <w:sz w:val="10"/>
                <w:szCs w:val="10"/>
                <w:color w:val="auto"/>
              </w:rPr>
            </w:pPr>
          </w:p>
        </w:tc>
        <w:tc>
          <w:tcPr>
            <w:tcW w:w="900" w:type="dxa"/>
            <w:vAlign w:val="bottom"/>
            <w:gridSpan w:val="2"/>
          </w:tcPr>
          <w:p>
            <w:pPr>
              <w:ind w:left="340"/>
              <w:spacing w:after="0" w:line="119" w:lineRule="exact"/>
              <w:rPr>
                <w:sz w:val="20"/>
                <w:szCs w:val="20"/>
                <w:color w:val="auto"/>
              </w:rPr>
            </w:pPr>
            <w:r>
              <w:rPr>
                <w:rFonts w:ascii="Times New Roman" w:cs="Times New Roman" w:eastAsia="Times New Roman" w:hAnsi="Times New Roman"/>
                <w:sz w:val="12"/>
                <w:szCs w:val="12"/>
                <w:color w:val="auto"/>
              </w:rPr>
              <w:t>Ongoing</w:t>
            </w:r>
          </w:p>
        </w:tc>
        <w:tc>
          <w:tcPr>
            <w:tcW w:w="90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303,000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80" w:type="dxa"/>
            <w:vAlign w:val="bottom"/>
            <w:gridSpan w:val="2"/>
          </w:tcPr>
          <w:p>
            <w:pPr>
              <w:jc w:val="right"/>
              <w:ind w:right="280"/>
              <w:spacing w:after="0" w:line="119"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center"/>
              <w:ind w:right="20"/>
              <w:spacing w:after="0" w:line="119" w:lineRule="exact"/>
              <w:rPr>
                <w:sz w:val="20"/>
                <w:szCs w:val="20"/>
                <w:color w:val="auto"/>
              </w:rPr>
            </w:pPr>
            <w:r>
              <w:rPr>
                <w:rFonts w:ascii="Times New Roman" w:cs="Times New Roman" w:eastAsia="Times New Roman" w:hAnsi="Times New Roman"/>
                <w:sz w:val="12"/>
                <w:szCs w:val="12"/>
                <w:color w:val="auto"/>
                <w:w w:val="97"/>
              </w:rPr>
              <w:t>JCPenney,</w:t>
            </w:r>
          </w:p>
        </w:tc>
        <w:tc>
          <w:tcPr>
            <w:tcW w:w="1380" w:type="dxa"/>
            <w:vAlign w:val="bottom"/>
          </w:tcPr>
          <w:p>
            <w:pPr>
              <w:jc w:val="center"/>
              <w:ind w:right="40"/>
              <w:spacing w:after="0" w:line="11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60"/>
              <w:spacing w:after="0"/>
              <w:rPr>
                <w:sz w:val="20"/>
                <w:szCs w:val="20"/>
                <w:color w:val="auto"/>
              </w:rPr>
            </w:pPr>
            <w:r>
              <w:rPr>
                <w:rFonts w:ascii="Times New Roman" w:cs="Times New Roman" w:eastAsia="Times New Roman" w:hAnsi="Times New Roman"/>
                <w:sz w:val="12"/>
                <w:szCs w:val="12"/>
                <w:color w:val="auto"/>
              </w:rPr>
              <w:t>Costco</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Phoenix, Arizona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4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Other Assets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2,090,000</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184,000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Grand Total</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46,311,000</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23,640,000</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42" w:lineRule="exact"/>
        <w:rPr>
          <w:sz w:val="20"/>
          <w:szCs w:val="20"/>
          <w:color w:val="auto"/>
        </w:rPr>
      </w:pPr>
    </w:p>
    <w:p>
      <w:pPr>
        <w:ind w:left="800" w:hanging="399"/>
        <w:spacing w:after="0" w:line="257" w:lineRule="auto"/>
        <w:tabs>
          <w:tab w:leader="none" w:pos="79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ownership interest in this table reflects its direct or indirect legal ownership interest. Legal ownership may, at times, not equal the Company's economic interest in the listed properties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 See “Item 1A.—Risks Related to Our Organizational Structure—Outside partners in Joint Venture Centers result in additional risks to our stockholders.”</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43" w:right="379" w:bottom="1440" w:gutter="0" w:footer="0" w:header="0"/>
        </w:sectPr>
      </w:pPr>
    </w:p>
    <w:bookmarkStart w:id="32" w:name="page33"/>
    <w:bookmarkEnd w:id="32"/>
    <w:p>
      <w:pPr>
        <w:ind w:left="400" w:hanging="399"/>
        <w:spacing w:after="0" w:line="258" w:lineRule="auto"/>
        <w:tabs>
          <w:tab w:leader="none" w:pos="3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owned or had an ownership interest in 43 Regional Town Centers (including office, hotel and residential space adjacent to these shopping centers), three community/power shopping centers and one redevelopment property. With the exception of the seven Centers indicated with footnote (6) in the table above, the underlying land controlled by the Company is owned in fee entirely by the Company or, in the case of Joint Venture Centers, by the joint venture property partnership or limited liability company. With respect to these seven Centers, portions of the underlying land controlled by the Company are owned by third parties and leased to the Company, or the joint venture property partnership or limited liability company, pursuant to long-term ground leases. The termination dates of the ground leases range from 2038 to 2078.</w:t>
      </w:r>
    </w:p>
    <w:p>
      <w:pPr>
        <w:spacing w:after="0" w:line="109" w:lineRule="exact"/>
        <w:rPr>
          <w:rFonts w:ascii="Times New Roman" w:cs="Times New Roman" w:eastAsia="Times New Roman" w:hAnsi="Times New Roman"/>
          <w:sz w:val="14"/>
          <w:szCs w:val="14"/>
          <w:color w:val="auto"/>
        </w:rPr>
      </w:pPr>
    </w:p>
    <w:p>
      <w:pPr>
        <w:ind w:left="400" w:right="20" w:hanging="399"/>
        <w:spacing w:after="0" w:line="266" w:lineRule="auto"/>
        <w:tabs>
          <w:tab w:leader="none" w:pos="3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GLA includes GLA attributable to Anchors (whether owned or non-owned) and Mall and Freestanding Stores as of December 31, 2023. “Non-owned Anchors” is space not owned by the Company (or, in the case of Joint Venture Centers, by the joint venture property partnership or limited liability company) which is occupied by Anchor tenants. “Company-owned Anchors” is space owned (or leased) by the Company (or, in the case of Joint Venture Centers, by the joint venture property partnership or limited liability company) and leased (or subleased) to Anchor.</w:t>
      </w:r>
    </w:p>
    <w:p>
      <w:pPr>
        <w:spacing w:after="0" w:line="103" w:lineRule="exact"/>
        <w:rPr>
          <w:rFonts w:ascii="Times New Roman" w:cs="Times New Roman" w:eastAsia="Times New Roman" w:hAnsi="Times New Roman"/>
          <w:sz w:val="14"/>
          <w:szCs w:val="14"/>
          <w:color w:val="auto"/>
        </w:rPr>
      </w:pPr>
    </w:p>
    <w:p>
      <w:pPr>
        <w:ind w:left="400" w:right="20" w:hanging="399"/>
        <w:spacing w:after="0" w:line="271" w:lineRule="auto"/>
        <w:tabs>
          <w:tab w:leader="none" w:pos="39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Centers have vacant Anchor locations that are owned by the Company or its joint venture. The Company is actively seeking replacement tenants or has entered into replacement leases for many of these vacant sites and/or is currently executing or considering redevelopment opportunities for these locations. The Company continues to collect rent under the terms of an agreement regarding three of these vacant Anchors.</w:t>
      </w:r>
    </w:p>
    <w:p>
      <w:pPr>
        <w:spacing w:after="0" w:line="100" w:lineRule="exact"/>
        <w:rPr>
          <w:rFonts w:ascii="Times New Roman" w:cs="Times New Roman" w:eastAsia="Times New Roman" w:hAnsi="Times New Roman"/>
          <w:sz w:val="14"/>
          <w:szCs w:val="14"/>
          <w:color w:val="auto"/>
        </w:rPr>
      </w:pPr>
    </w:p>
    <w:p>
      <w:pPr>
        <w:ind w:left="380" w:hanging="37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 has announced plans to open a two-level, 126,000 square foot store at Danbury Fair Mall.</w:t>
      </w:r>
    </w:p>
    <w:p>
      <w:pPr>
        <w:spacing w:after="0" w:line="155" w:lineRule="exact"/>
        <w:rPr>
          <w:rFonts w:ascii="Times New Roman" w:cs="Times New Roman" w:eastAsia="Times New Roman" w:hAnsi="Times New Roman"/>
          <w:sz w:val="14"/>
          <w:szCs w:val="14"/>
          <w:color w:val="auto"/>
        </w:rPr>
      </w:pPr>
    </w:p>
    <w:p>
      <w:pPr>
        <w:ind w:left="380" w:hanging="37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land on which the Center is situated are subject to one or more long-term ground leases.</w:t>
      </w:r>
    </w:p>
    <w:p>
      <w:pPr>
        <w:spacing w:after="0" w:line="142" w:lineRule="exact"/>
        <w:rPr>
          <w:rFonts w:ascii="Times New Roman" w:cs="Times New Roman" w:eastAsia="Times New Roman" w:hAnsi="Times New Roman"/>
          <w:sz w:val="14"/>
          <w:szCs w:val="14"/>
          <w:color w:val="auto"/>
        </w:rPr>
      </w:pPr>
    </w:p>
    <w:p>
      <w:pPr>
        <w:ind w:left="380" w:hanging="37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Center has a vacant former anchor store that is owned by the Company or its joint venture, which is to be demolished for redevelopment.</w:t>
      </w:r>
    </w:p>
    <w:p>
      <w:pPr>
        <w:spacing w:after="0" w:line="155" w:lineRule="exact"/>
        <w:rPr>
          <w:rFonts w:ascii="Times New Roman" w:cs="Times New Roman" w:eastAsia="Times New Roman" w:hAnsi="Times New Roman"/>
          <w:sz w:val="14"/>
          <w:szCs w:val="14"/>
          <w:color w:val="auto"/>
        </w:rPr>
      </w:pPr>
    </w:p>
    <w:p>
      <w:pPr>
        <w:ind w:left="380" w:hanging="37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Dillard's owns and is currently redeveloping the former Sears parcel at South Plains Mall. They plan to open this store in fall 2024 and vacate their two existing stores at the property.</w:t>
      </w:r>
    </w:p>
    <w:p>
      <w:pPr>
        <w:spacing w:after="0" w:line="142" w:lineRule="exact"/>
        <w:rPr>
          <w:rFonts w:ascii="Times New Roman" w:cs="Times New Roman" w:eastAsia="Times New Roman" w:hAnsi="Times New Roman"/>
          <w:sz w:val="14"/>
          <w:szCs w:val="14"/>
          <w:color w:val="auto"/>
        </w:rPr>
      </w:pPr>
    </w:p>
    <w:p>
      <w:pPr>
        <w:ind w:left="380" w:hanging="37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Primark has announced plans to open a new two-level store at Tysons Corner Center.</w:t>
      </w:r>
    </w:p>
    <w:p>
      <w:pPr>
        <w:spacing w:after="0" w:line="142" w:lineRule="exact"/>
        <w:rPr>
          <w:rFonts w:ascii="Times New Roman" w:cs="Times New Roman" w:eastAsia="Times New Roman" w:hAnsi="Times New Roman"/>
          <w:sz w:val="14"/>
          <w:szCs w:val="14"/>
          <w:color w:val="auto"/>
        </w:rPr>
      </w:pPr>
    </w:p>
    <w:p>
      <w:pPr>
        <w:ind w:left="400" w:hanging="399"/>
        <w:spacing w:after="0"/>
        <w:tabs>
          <w:tab w:leader="none" w:pos="4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Unconsolidated Joint Venture Centers.</w:t>
      </w:r>
    </w:p>
    <w:p>
      <w:pPr>
        <w:spacing w:after="0" w:line="155" w:lineRule="exact"/>
        <w:rPr>
          <w:rFonts w:ascii="Times New Roman" w:cs="Times New Roman" w:eastAsia="Times New Roman" w:hAnsi="Times New Roman"/>
          <w:sz w:val="14"/>
          <w:szCs w:val="14"/>
          <w:color w:val="auto"/>
        </w:rPr>
      </w:pPr>
    </w:p>
    <w:p>
      <w:pPr>
        <w:ind w:left="380" w:hanging="379"/>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Consolidated Centers.</w:t>
      </w:r>
    </w:p>
    <w:p>
      <w:pPr>
        <w:spacing w:after="0" w:line="142" w:lineRule="exact"/>
        <w:rPr>
          <w:rFonts w:ascii="Times New Roman" w:cs="Times New Roman" w:eastAsia="Times New Roman" w:hAnsi="Times New Roman"/>
          <w:sz w:val="14"/>
          <w:szCs w:val="14"/>
          <w:color w:val="auto"/>
        </w:rPr>
      </w:pPr>
    </w:p>
    <w:p>
      <w:pPr>
        <w:ind w:left="400" w:right="20" w:hanging="399"/>
        <w:spacing w:after="0" w:line="263" w:lineRule="auto"/>
        <w:tabs>
          <w:tab w:leader="none" w:pos="39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owns an office building and three stores located at shopping centers not owned by the Company. Of the three stores, one has been leased to Kohl's and two have been leased for non-Anchor uses. With respect to the office building and one of the three stores, the underlying land is owned in fee entirely by the Company. With respect to the remaining two stores, the underlying land is owned by third parties and leased to the Company pursuant to long-term building or ground leases. Under the terms of a typical building or ground lease, the Company pays rent for the use of the building or land and is generally responsible for all costs and expenses associated with the building and improvements. In some cases, the Company has an option or right of first refusal to purchase the land. The two ground leases terminate in years 2027 and 2028.</w:t>
      </w:r>
    </w:p>
    <w:p>
      <w:pPr>
        <w:spacing w:after="0" w:line="105" w:lineRule="exact"/>
        <w:rPr>
          <w:rFonts w:ascii="Times New Roman" w:cs="Times New Roman" w:eastAsia="Times New Roman" w:hAnsi="Times New Roman"/>
          <w:sz w:val="14"/>
          <w:szCs w:val="14"/>
          <w:color w:val="auto"/>
        </w:rPr>
      </w:pPr>
    </w:p>
    <w:p>
      <w:pPr>
        <w:ind w:left="400" w:right="200" w:hanging="399"/>
        <w:spacing w:after="0" w:line="271" w:lineRule="auto"/>
        <w:tabs>
          <w:tab w:leader="none" w:pos="39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started in summer 2021 on the first phase of a multi-phase, multi-year project to convert the former regional town center Paradise Valley Mall into a mixed-used development with high-end grocery, restaurants, multi-family residences, offices, retail shops and other elements on the 92-acre site. The existing Costco and JCPenney stores remain open, while all of the other stores at the property have closed.</w:t>
      </w:r>
    </w:p>
    <w:p>
      <w:pPr>
        <w:spacing w:after="0" w:line="200" w:lineRule="exact"/>
        <w:rPr>
          <w:sz w:val="20"/>
          <w:szCs w:val="20"/>
          <w:color w:val="auto"/>
        </w:rPr>
      </w:pPr>
    </w:p>
    <w:p>
      <w:pPr>
        <w:spacing w:after="0" w:line="24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20"/>
          </w:cols>
          <w:pgMar w:left="720" w:top="81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Mortgage Debt</w:t>
      </w:r>
    </w:p>
    <w:p>
      <w:pPr>
        <w:spacing w:after="0" w:line="138" w:lineRule="exact"/>
        <w:rPr>
          <w:sz w:val="20"/>
          <w:szCs w:val="20"/>
          <w:color w:val="auto"/>
        </w:rPr>
      </w:pPr>
    </w:p>
    <w:p>
      <w:pPr>
        <w:ind w:right="60" w:firstLine="435"/>
        <w:spacing w:after="0" w:line="263"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mortgages encumbering the Centers, including those Centers in which the Company has less than a 100% interest. The information set forth below is as of December 31, 2023 (dollars in thousands):</w:t>
      </w:r>
    </w:p>
    <w:tbl>
      <w:tblPr>
        <w:tblLayout w:type="fixed"/>
        <w:tblInd w:w="0" w:type="dxa"/>
        <w:tblCellMar>
          <w:top w:w="0" w:type="dxa"/>
          <w:left w:w="0" w:type="dxa"/>
          <w:bottom w:w="0" w:type="dxa"/>
          <w:right w:w="0" w:type="dxa"/>
        </w:tblCellMar>
      </w:tblPr>
      <w:tr>
        <w:trPr>
          <w:trHeight w:val="146"/>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Earliest Date</w:t>
            </w:r>
          </w:p>
        </w:tc>
        <w:tc>
          <w:tcPr>
            <w:tcW w:w="0" w:type="dxa"/>
            <w:vAlign w:val="bottom"/>
          </w:tcPr>
          <w:p>
            <w:pPr>
              <w:spacing w:after="0"/>
              <w:rPr>
                <w:sz w:val="1"/>
                <w:szCs w:val="1"/>
                <w:color w:val="auto"/>
              </w:rPr>
            </w:pPr>
          </w:p>
        </w:tc>
      </w:tr>
      <w:tr>
        <w:trPr>
          <w:trHeight w:val="145"/>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Fixed or</w:t>
            </w:r>
          </w:p>
        </w:tc>
        <w:tc>
          <w:tcPr>
            <w:tcW w:w="180" w:type="dxa"/>
            <w:vAlign w:val="bottom"/>
          </w:tcPr>
          <w:p>
            <w:pPr>
              <w:spacing w:after="0"/>
              <w:rPr>
                <w:sz w:val="12"/>
                <w:szCs w:val="12"/>
                <w:color w:val="auto"/>
              </w:rPr>
            </w:pPr>
          </w:p>
        </w:tc>
        <w:tc>
          <w:tcPr>
            <w:tcW w:w="10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80" w:type="dxa"/>
            <w:vAlign w:val="bottom"/>
            <w:gridSpan w:val="2"/>
            <w:vMerge w:val="continue"/>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Notes Can Be</w:t>
            </w:r>
          </w:p>
        </w:tc>
        <w:tc>
          <w:tcPr>
            <w:tcW w:w="0" w:type="dxa"/>
            <w:vAlign w:val="bottom"/>
          </w:tcPr>
          <w:p>
            <w:pPr>
              <w:spacing w:after="0"/>
              <w:rPr>
                <w:sz w:val="1"/>
                <w:szCs w:val="1"/>
                <w:color w:val="auto"/>
              </w:rPr>
            </w:pPr>
          </w:p>
        </w:tc>
      </w:tr>
      <w:tr>
        <w:trPr>
          <w:trHeight w:val="143"/>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0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1440" w:type="dxa"/>
            <w:vAlign w:val="bottom"/>
            <w:gridSpan w:val="3"/>
            <w:vMerge w:val="continue"/>
          </w:tcPr>
          <w:p>
            <w:pPr>
              <w:spacing w:after="0"/>
              <w:rPr>
                <w:sz w:val="12"/>
                <w:szCs w:val="12"/>
                <w:color w:val="auto"/>
              </w:rPr>
            </w:pPr>
          </w:p>
        </w:tc>
        <w:tc>
          <w:tcPr>
            <w:tcW w:w="98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Due on</w:t>
            </w:r>
          </w:p>
        </w:tc>
        <w:tc>
          <w:tcPr>
            <w:tcW w:w="11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Defeased or</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Floating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Amount(1)</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Date(4)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 Prepaid</w:t>
            </w:r>
          </w:p>
        </w:tc>
        <w:tc>
          <w:tcPr>
            <w:tcW w:w="0" w:type="dxa"/>
            <w:vAlign w:val="bottom"/>
          </w:tcPr>
          <w:p>
            <w:pPr>
              <w:spacing w:after="0"/>
              <w:rPr>
                <w:sz w:val="1"/>
                <w:szCs w:val="1"/>
                <w:color w:val="auto"/>
              </w:rPr>
            </w:pPr>
          </w:p>
        </w:tc>
      </w:tr>
      <w:tr>
        <w:trPr>
          <w:trHeight w:val="202"/>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Centers:</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Chandler Fashion Center(5)</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255,924</w:t>
            </w:r>
          </w:p>
        </w:tc>
        <w:tc>
          <w:tcPr>
            <w:tcW w:w="1400" w:type="dxa"/>
            <w:vAlign w:val="bottom"/>
            <w:gridSpan w:val="4"/>
          </w:tcPr>
          <w:p>
            <w:pPr>
              <w:ind w:left="700"/>
              <w:spacing w:after="0"/>
              <w:rPr>
                <w:sz w:val="20"/>
                <w:szCs w:val="20"/>
                <w:color w:val="auto"/>
              </w:rPr>
            </w:pPr>
            <w:r>
              <w:rPr>
                <w:rFonts w:ascii="Times New Roman" w:cs="Times New Roman" w:eastAsia="Times New Roman" w:hAnsi="Times New Roman"/>
                <w:sz w:val="14"/>
                <w:szCs w:val="14"/>
                <w:color w:val="auto"/>
              </w:rPr>
              <w:t>4.18 %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1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7/5/24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256,000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Danbury Fair Mall(6)</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122,502</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8.51 %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Fashion District Philadelphia(7)</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Floating</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70,820</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9.50 %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Fashion Outlets of Chicago</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299,375</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Fashion Outlets of Niagara Falls USA(8)</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86,470</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6.45 %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8,719</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86,470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Freehold Raceway Mall</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399,044</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3.94 %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386,013</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Fresno Fashion Fair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324,453</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3.67 %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11,658</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Green Acres Mall(9)</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359,264</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6.62 %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21,826</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8/17/2025</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Kings Plaza Shopping Center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536,956</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3.71 %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19,543</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540,000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Oaks, The(10)</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151,496</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5.74 %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12,456</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149,947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Pacific View</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70,976</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5.45 %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62,877</w:t>
            </w:r>
          </w:p>
        </w:tc>
        <w:tc>
          <w:tcPr>
            <w:tcW w:w="100" w:type="dxa"/>
            <w:vAlign w:val="bottom"/>
          </w:tcPr>
          <w:p>
            <w:pPr>
              <w:spacing w:after="0"/>
              <w:rPr>
                <w:sz w:val="16"/>
                <w:szCs w:val="16"/>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11/23/2024</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Queens Center</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3.49 %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Santa Monica Place(11)</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Floating</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297,474</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7.32 %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20,649</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205"/>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SanTan Village Regional Center</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219,506</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4.34 %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Victor Valley, Mall of</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114,966</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8"/>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Vintage Faire Mall</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226,910</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3.55 %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211,507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Any Time</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4,136,136</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17" w:right="3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Earliest Date</w:t>
            </w: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Fixed or</w:t>
            </w:r>
          </w:p>
        </w:tc>
        <w:tc>
          <w:tcPr>
            <w:tcW w:w="160" w:type="dxa"/>
            <w:vAlign w:val="bottom"/>
          </w:tcPr>
          <w:p>
            <w:pPr>
              <w:spacing w:after="0"/>
              <w:rPr>
                <w:sz w:val="12"/>
                <w:szCs w:val="12"/>
                <w:color w:val="auto"/>
              </w:rPr>
            </w:pPr>
          </w:p>
        </w:tc>
        <w:tc>
          <w:tcPr>
            <w:tcW w:w="94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40" w:type="dxa"/>
            <w:vAlign w:val="bottom"/>
            <w:gridSpan w:val="2"/>
            <w:vMerge w:val="continue"/>
          </w:tcPr>
          <w:p>
            <w:pPr>
              <w:spacing w:after="0"/>
              <w:rPr>
                <w:sz w:val="12"/>
                <w:szCs w:val="12"/>
                <w:color w:val="auto"/>
              </w:rPr>
            </w:pPr>
          </w:p>
        </w:tc>
        <w:tc>
          <w:tcPr>
            <w:tcW w:w="12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Notes Can Be</w:t>
            </w:r>
          </w:p>
        </w:tc>
        <w:tc>
          <w:tcPr>
            <w:tcW w:w="0" w:type="dxa"/>
            <w:vAlign w:val="bottom"/>
          </w:tcPr>
          <w:p>
            <w:pPr>
              <w:spacing w:after="0"/>
              <w:rPr>
                <w:sz w:val="1"/>
                <w:szCs w:val="1"/>
                <w:color w:val="auto"/>
              </w:rPr>
            </w:pPr>
          </w:p>
        </w:tc>
      </w:tr>
      <w:tr>
        <w:trPr>
          <w:trHeight w:val="14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Pledged as Collateral</w:t>
            </w: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1340" w:type="dxa"/>
            <w:vAlign w:val="bottom"/>
            <w:gridSpan w:val="3"/>
            <w:vMerge w:val="continue"/>
          </w:tcPr>
          <w:p>
            <w:pPr>
              <w:spacing w:after="0"/>
              <w:rPr>
                <w:sz w:val="12"/>
                <w:szCs w:val="12"/>
                <w:color w:val="auto"/>
              </w:rPr>
            </w:pPr>
          </w:p>
        </w:tc>
        <w:tc>
          <w:tcPr>
            <w:tcW w:w="9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Due on</w:t>
            </w:r>
          </w:p>
        </w:tc>
        <w:tc>
          <w:tcPr>
            <w:tcW w:w="12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Defeased or</w:t>
            </w: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Floating</w:t>
            </w:r>
          </w:p>
        </w:tc>
        <w:tc>
          <w:tcPr>
            <w:tcW w:w="160" w:type="dxa"/>
            <w:vAlign w:val="bottom"/>
          </w:tcPr>
          <w:p>
            <w:pPr>
              <w:spacing w:after="0"/>
              <w:rPr>
                <w:sz w:val="16"/>
                <w:szCs w:val="16"/>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Amount(1)</w:t>
            </w:r>
          </w:p>
        </w:tc>
        <w:tc>
          <w:tcPr>
            <w:tcW w:w="10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Rate(2)</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Service(3)</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Date(4)</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 Prepaid</w:t>
            </w:r>
          </w:p>
        </w:tc>
        <w:tc>
          <w:tcPr>
            <w:tcW w:w="0" w:type="dxa"/>
            <w:vAlign w:val="bottom"/>
          </w:tcPr>
          <w:p>
            <w:pPr>
              <w:spacing w:after="0"/>
              <w:rPr>
                <w:sz w:val="1"/>
                <w:szCs w:val="1"/>
                <w:color w:val="auto"/>
              </w:rPr>
            </w:pPr>
          </w:p>
        </w:tc>
      </w:tr>
      <w:tr>
        <w:trPr>
          <w:trHeight w:val="132"/>
        </w:trPr>
        <w:tc>
          <w:tcPr>
            <w:tcW w:w="3000" w:type="dxa"/>
            <w:vAlign w:val="bottom"/>
            <w:tcBorders>
              <w:top w:val="single" w:sz="8" w:color="auto"/>
            </w:tcBorders>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b w:val="1"/>
                <w:bCs w:val="1"/>
                <w:color w:val="auto"/>
              </w:rPr>
              <w:t>Unconsolidated Joint Venture Centers (at the</w:t>
            </w:r>
          </w:p>
        </w:tc>
        <w:tc>
          <w:tcPr>
            <w:tcW w:w="1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Company's Pro Rata Share):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Arrowhead Towne Center(60%)</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232,187</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4.05 %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13,833</w:t>
            </w:r>
          </w:p>
        </w:tc>
        <w:tc>
          <w:tcPr>
            <w:tcW w:w="120" w:type="dxa"/>
            <w:vAlign w:val="bottom"/>
          </w:tcPr>
          <w:p>
            <w:pPr>
              <w:spacing w:after="0"/>
              <w:rPr>
                <w:sz w:val="16"/>
                <w:szCs w:val="16"/>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2/1/28  $</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212,555</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Atlas Park, The Shops at(50%)(12)</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Floating</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Boulevard Shops(50%)(13)</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Floating</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7.41 %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Broadway Plaza(50%)</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189,724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Corte Madera, The Village at(50.1%)</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98,753</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Country Club Plaza(50%)(14)</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137,525</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Deptford Mall(51%)</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74,031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3.98 %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67,503</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FlatIron Crossing(51%)(15)(16)</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88,455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89,250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Kierland Commons(50%)</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3.98 %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6,407</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88,724</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Lakewood Center(60%)</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185,306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 Cerritos Center(60%)</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18,046</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278,711</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Paradise Valley I(5%)</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Paradise Valley II(5%)</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Paradise Valley Retail(5%)</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Floating</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Paradise Valley Residential(2.5%)</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Floating</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Scottsdale Fashion Square(50%)(17)</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8/4/2025</w:t>
            </w: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South Plains Mall(60%)</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Twenty Ninth Street(51%)</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Tysons Corner Center(50%)(18)</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23,758</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355,000</w:t>
            </w:r>
          </w:p>
        </w:tc>
        <w:tc>
          <w:tcPr>
            <w:tcW w:w="120" w:type="dxa"/>
            <w:vAlign w:val="bottom"/>
          </w:tcPr>
          <w:p>
            <w:pPr>
              <w:spacing w:after="0"/>
              <w:rPr>
                <w:sz w:val="16"/>
                <w:szCs w:val="16"/>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12/7/2026</w:t>
            </w: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Tysons Tower(50%)</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94,635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Tysons Vita(50%)</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20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 Square(60%)(15)(19)</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23,423</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286,785</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West Acres - Development(19%)</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Acres(19%)</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Fixed</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Any Time</w:t>
            </w:r>
          </w:p>
        </w:tc>
        <w:tc>
          <w:tcPr>
            <w:tcW w:w="0" w:type="dxa"/>
            <w:vAlign w:val="bottom"/>
          </w:tcPr>
          <w:p>
            <w:pPr>
              <w:spacing w:after="0"/>
              <w:rPr>
                <w:sz w:val="1"/>
                <w:szCs w:val="1"/>
                <w:color w:val="auto"/>
              </w:rPr>
            </w:pPr>
          </w:p>
        </w:tc>
      </w:tr>
    </w:tbl>
    <w:p>
      <w:pPr>
        <w:ind w:left="4640" w:hanging="454"/>
        <w:spacing w:after="0"/>
        <w:tabs>
          <w:tab w:leader="none" w:pos="464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2,854,660</w:t>
      </w:r>
    </w:p>
    <w:p>
      <w:pPr>
        <w:spacing w:after="0" w:line="15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379" w:lineRule="exact"/>
        <w:rPr>
          <w:rFonts w:ascii="Times New Roman" w:cs="Times New Roman" w:eastAsia="Times New Roman" w:hAnsi="Times New Roman"/>
          <w:sz w:val="14"/>
          <w:szCs w:val="14"/>
          <w:color w:val="auto"/>
        </w:rPr>
      </w:pPr>
    </w:p>
    <w:p>
      <w:pPr>
        <w:ind w:left="800" w:right="100" w:hanging="399"/>
        <w:spacing w:after="0" w:line="288" w:lineRule="auto"/>
        <w:tabs>
          <w:tab w:leader="none" w:pos="79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include the unamortized debt discounts. Debt discounts represent the deficiency of the fair value of debt under the principal value of debt assumed in various acquisitions. The debt discounts are being amortized into interest expense over the term of the related debt in a manner which approximates the effective interest method.</w:t>
      </w:r>
    </w:p>
    <w:p>
      <w:pPr>
        <w:spacing w:after="0" w:line="87" w:lineRule="exact"/>
        <w:rPr>
          <w:rFonts w:ascii="Times New Roman" w:cs="Times New Roman" w:eastAsia="Times New Roman" w:hAnsi="Times New Roman"/>
          <w:sz w:val="14"/>
          <w:szCs w:val="14"/>
          <w:color w:val="auto"/>
        </w:rPr>
      </w:pPr>
    </w:p>
    <w:p>
      <w:pPr>
        <w:ind w:left="8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discounts as of December 31, 2023 consisted of the following:</w:t>
      </w:r>
    </w:p>
    <w:p>
      <w:pPr>
        <w:spacing w:after="0" w:line="49" w:lineRule="exact"/>
        <w:rPr>
          <w:rFonts w:ascii="Times New Roman" w:cs="Times New Roman" w:eastAsia="Times New Roman" w:hAnsi="Times New Roman"/>
          <w:sz w:val="14"/>
          <w:szCs w:val="14"/>
          <w:color w:val="auto"/>
        </w:rPr>
      </w:pPr>
    </w:p>
    <w:p>
      <w:pPr>
        <w:ind w:left="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Property Pledged as Collateral</w:t>
      </w:r>
    </w:p>
    <w:p>
      <w:pPr>
        <w:spacing w:after="0" w:line="34" w:lineRule="exact"/>
        <w:rPr>
          <w:rFonts w:ascii="Times New Roman" w:cs="Times New Roman" w:eastAsia="Times New Roman" w:hAnsi="Times New Roman"/>
          <w:sz w:val="14"/>
          <w:szCs w:val="14"/>
          <w:color w:val="auto"/>
        </w:rPr>
      </w:pPr>
    </w:p>
    <w:p>
      <w:pPr>
        <w:ind w:left="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Unconsolidated Joint Venture Centers (at the Company's Pro Rata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-1081405</wp:posOffset>
            </wp:positionV>
            <wp:extent cx="6940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-1056640</wp:posOffset>
            </wp:positionV>
            <wp:extent cx="6940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505460</wp:posOffset>
            </wp:positionH>
            <wp:positionV relativeFrom="paragraph">
              <wp:posOffset>-94615</wp:posOffset>
            </wp:positionV>
            <wp:extent cx="5705475" cy="125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5475" cy="125730"/>
                    </a:xfrm>
                    <a:prstGeom prst="rect">
                      <a:avLst/>
                    </a:prstGeom>
                    <a:noFill/>
                  </pic:spPr>
                </pic:pic>
              </a:graphicData>
            </a:graphic>
          </wp:anchor>
        </w:drawing>
      </w:r>
    </w:p>
    <w:p>
      <w:pPr>
        <w:spacing w:after="0" w:line="19" w:lineRule="exact"/>
        <w:rPr>
          <w:sz w:val="20"/>
          <w:szCs w:val="20"/>
          <w:color w:val="auto"/>
        </w:rPr>
      </w:pPr>
    </w:p>
    <w:tbl>
      <w:tblPr>
        <w:tblLayout w:type="fixed"/>
        <w:tblInd w:w="800" w:type="dxa"/>
        <w:tblCellMar>
          <w:top w:w="0" w:type="dxa"/>
          <w:left w:w="0" w:type="dxa"/>
          <w:bottom w:w="0" w:type="dxa"/>
          <w:right w:w="0" w:type="dxa"/>
        </w:tblCellMar>
      </w:tblPr>
      <w:tr>
        <w:trPr>
          <w:trHeight w:val="183"/>
        </w:trPr>
        <w:tc>
          <w:tcPr>
            <w:tcW w:w="8320" w:type="dxa"/>
            <w:vAlign w:val="bottom"/>
            <w:gridSpan w:val="2"/>
          </w:tcPr>
          <w:p>
            <w:pPr>
              <w:jc w:val="right"/>
              <w:ind w:right="7230"/>
              <w:spacing w:after="0"/>
              <w:rPr>
                <w:sz w:val="20"/>
                <w:szCs w:val="20"/>
                <w:color w:val="auto"/>
              </w:rPr>
            </w:pPr>
            <w:r>
              <w:rPr>
                <w:rFonts w:ascii="Times New Roman" w:cs="Times New Roman" w:eastAsia="Times New Roman" w:hAnsi="Times New Roman"/>
                <w:sz w:val="14"/>
                <w:szCs w:val="14"/>
                <w:color w:val="auto"/>
              </w:rPr>
              <w:t>Lakewood Center</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w:t>
            </w:r>
          </w:p>
        </w:tc>
      </w:tr>
      <w:tr>
        <w:trPr>
          <w:trHeight w:val="24"/>
        </w:trPr>
        <w:tc>
          <w:tcPr>
            <w:tcW w:w="8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9"/>
        </w:trPr>
        <w:tc>
          <w:tcPr>
            <w:tcW w:w="80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left="800"/>
        <w:spacing w:after="0" w:line="271" w:lineRule="auto"/>
        <w:rPr>
          <w:sz w:val="20"/>
          <w:szCs w:val="20"/>
          <w:color w:val="auto"/>
        </w:rPr>
      </w:pPr>
      <w:r>
        <w:rPr>
          <w:rFonts w:ascii="Times New Roman" w:cs="Times New Roman" w:eastAsia="Times New Roman" w:hAnsi="Times New Roman"/>
          <w:sz w:val="14"/>
          <w:szCs w:val="14"/>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at December 31, 2023 were $21.1 million for Consolidated Centers and $10.6 million for Unconsolidated Joint Venture Centers (at the Company's pro rata share).</w:t>
      </w:r>
    </w:p>
    <w:p>
      <w:pPr>
        <w:spacing w:after="0" w:line="113" w:lineRule="exact"/>
        <w:rPr>
          <w:sz w:val="20"/>
          <w:szCs w:val="20"/>
          <w:color w:val="auto"/>
        </w:rPr>
      </w:pPr>
    </w:p>
    <w:p>
      <w:pPr>
        <w:ind w:left="780" w:hanging="379"/>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debt discounts and deferred finance costs.</w:t>
      </w:r>
    </w:p>
    <w:p>
      <w:pPr>
        <w:spacing w:after="0" w:line="142" w:lineRule="exact"/>
        <w:rPr>
          <w:rFonts w:ascii="Times New Roman" w:cs="Times New Roman" w:eastAsia="Times New Roman" w:hAnsi="Times New Roman"/>
          <w:sz w:val="14"/>
          <w:szCs w:val="14"/>
          <w:color w:val="auto"/>
        </w:rPr>
      </w:pPr>
    </w:p>
    <w:p>
      <w:pPr>
        <w:ind w:left="780" w:hanging="379"/>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debt service represents the annual payment of principal and interest.</w:t>
      </w:r>
    </w:p>
    <w:p>
      <w:pPr>
        <w:spacing w:after="0" w:line="142" w:lineRule="exact"/>
        <w:rPr>
          <w:rFonts w:ascii="Times New Roman" w:cs="Times New Roman" w:eastAsia="Times New Roman" w:hAnsi="Times New Roman"/>
          <w:sz w:val="14"/>
          <w:szCs w:val="14"/>
          <w:color w:val="auto"/>
        </w:rPr>
      </w:pPr>
    </w:p>
    <w:p>
      <w:pPr>
        <w:ind w:left="800" w:right="180" w:hanging="399"/>
        <w:spacing w:after="0" w:line="288" w:lineRule="auto"/>
        <w:tabs>
          <w:tab w:leader="none" w:pos="7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101" w:lineRule="exact"/>
        <w:rPr>
          <w:rFonts w:ascii="Times New Roman" w:cs="Times New Roman" w:eastAsia="Times New Roman" w:hAnsi="Times New Roman"/>
          <w:sz w:val="14"/>
          <w:szCs w:val="14"/>
          <w:color w:val="auto"/>
        </w:rPr>
      </w:pPr>
    </w:p>
    <w:p>
      <w:pPr>
        <w:ind w:left="780" w:hanging="379"/>
        <w:spacing w:after="0"/>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49.9% interest in the loan has been assumed by a third party in connection with a financing arrangement.</w:t>
      </w:r>
    </w:p>
    <w:p>
      <w:pPr>
        <w:spacing w:after="0" w:line="142" w:lineRule="exact"/>
        <w:rPr>
          <w:rFonts w:ascii="Times New Roman" w:cs="Times New Roman" w:eastAsia="Times New Roman" w:hAnsi="Times New Roman"/>
          <w:sz w:val="14"/>
          <w:szCs w:val="14"/>
          <w:color w:val="auto"/>
        </w:rPr>
      </w:pPr>
    </w:p>
    <w:p>
      <w:pPr>
        <w:ind w:left="800" w:right="100" w:hanging="399"/>
        <w:spacing w:after="0" w:line="288" w:lineRule="auto"/>
        <w:tabs>
          <w:tab w:leader="none" w:pos="79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ind w:left="800" w:hanging="399"/>
        <w:spacing w:after="0" w:line="268" w:lineRule="auto"/>
        <w:tabs>
          <w:tab w:leader="none" w:pos="79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20, 2023, the Company repaid $26.1 million of the outstanding loan balance and exercised its one-year extension option of the loan to January 22, 2024. The interest rate was SOFR plus 3.60%. On January 22, 2024, the Company repaid the majority of the loan balance. The remaining $8.2 million matures on April 21, 2024.</w:t>
      </w:r>
    </w:p>
    <w:p>
      <w:pPr>
        <w:spacing w:after="0" w:line="114" w:lineRule="exact"/>
        <w:rPr>
          <w:rFonts w:ascii="Times New Roman" w:cs="Times New Roman" w:eastAsia="Times New Roman" w:hAnsi="Times New Roman"/>
          <w:sz w:val="14"/>
          <w:szCs w:val="14"/>
          <w:color w:val="auto"/>
        </w:rPr>
      </w:pPr>
    </w:p>
    <w:p>
      <w:pPr>
        <w:ind w:left="780" w:hanging="379"/>
        <w:spacing w:after="0"/>
        <w:tabs>
          <w:tab w:leader="none" w:pos="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October 6, 2023, the loan is in default. The Company is in negotiations with the lender on the terms of this non-recourse loan.</w:t>
      </w:r>
    </w:p>
    <w:p>
      <w:pPr>
        <w:spacing w:after="0" w:line="142" w:lineRule="exact"/>
        <w:rPr>
          <w:rFonts w:ascii="Times New Roman" w:cs="Times New Roman" w:eastAsia="Times New Roman" w:hAnsi="Times New Roman"/>
          <w:sz w:val="14"/>
          <w:szCs w:val="14"/>
          <w:color w:val="auto"/>
        </w:rPr>
      </w:pPr>
    </w:p>
    <w:p>
      <w:pPr>
        <w:ind w:left="800" w:right="20" w:hanging="399"/>
        <w:spacing w:after="0" w:line="288" w:lineRule="auto"/>
        <w:tabs>
          <w:tab w:leader="none" w:pos="79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3, 2023, the Company closed on a five-year $370.0 million combined refinance of Green Acres Mall and Green Acres Commons. The new interest only loan bears interest at a fixed rate of 5.90% and matures on January 6, 2028.</w:t>
      </w:r>
    </w:p>
    <w:p>
      <w:pPr>
        <w:spacing w:after="0" w:line="101" w:lineRule="exact"/>
        <w:rPr>
          <w:rFonts w:ascii="Times New Roman" w:cs="Times New Roman" w:eastAsia="Times New Roman" w:hAnsi="Times New Roman"/>
          <w:sz w:val="14"/>
          <w:szCs w:val="14"/>
          <w:color w:val="auto"/>
        </w:rPr>
      </w:pPr>
    </w:p>
    <w:p>
      <w:pPr>
        <w:ind w:left="800" w:right="20" w:hanging="399"/>
        <w:spacing w:after="0" w:line="268" w:lineRule="auto"/>
        <w:tabs>
          <w:tab w:leader="none" w:pos="79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2022, the Company closed on a two-year extension of the loan to June 5, 2024 at a new fixed interest rate of 5.25%. The Company repaid $5.0 million of the outstanding loan balance at closing. On June 5, 2023, the Company repaid $10,000 of the outstanding loan balance.</w:t>
      </w:r>
    </w:p>
    <w:p>
      <w:pPr>
        <w:spacing w:after="0" w:line="114" w:lineRule="exact"/>
        <w:rPr>
          <w:rFonts w:ascii="Times New Roman" w:cs="Times New Roman" w:eastAsia="Times New Roman" w:hAnsi="Times New Roman"/>
          <w:sz w:val="14"/>
          <w:szCs w:val="14"/>
          <w:color w:val="auto"/>
        </w:rPr>
      </w:pPr>
    </w:p>
    <w:p>
      <w:pPr>
        <w:ind w:left="800" w:right="20" w:hanging="399"/>
        <w:spacing w:after="0" w:line="259" w:lineRule="auto"/>
        <w:tabs>
          <w:tab w:leader="none" w:pos="79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9, 2022, the Company closed on a three-year extension of the loan to December 9, 2025, including extension options. The interest rate remained unchanged at LIBOR plus 1.48%, and has converted to 1-month Term SOFR plus 1.52% effective July 9, 2023. The loan is covered by an interest rate cap agreement that effectively prevented LIBOR from exceeding 4.0% during the period ending December 9, 2023. The interest rate cap agreement was converted to 1-month Term SOFR effective July 9, 2023 and has since been extended with a 4% strike rate to December 9, 2024.</w:t>
      </w:r>
    </w:p>
    <w:p>
      <w:pPr>
        <w:spacing w:after="0" w:line="121" w:lineRule="exact"/>
        <w:rPr>
          <w:rFonts w:ascii="Times New Roman" w:cs="Times New Roman" w:eastAsia="Times New Roman" w:hAnsi="Times New Roman"/>
          <w:sz w:val="14"/>
          <w:szCs w:val="14"/>
          <w:color w:val="auto"/>
        </w:rPr>
      </w:pPr>
    </w:p>
    <w:p>
      <w:pPr>
        <w:ind w:left="800" w:hanging="399"/>
        <w:spacing w:after="0"/>
        <w:tabs>
          <w:tab w:leader="none" w:pos="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is covered by an interest rate cap agreement that effectively prevents SOFR from exceeding 5.76% through November 7, 2024.</w:t>
      </w:r>
    </w:p>
    <w:p>
      <w:pPr>
        <w:spacing w:after="0" w:line="142" w:lineRule="exact"/>
        <w:rPr>
          <w:rFonts w:ascii="Times New Roman" w:cs="Times New Roman" w:eastAsia="Times New Roman" w:hAnsi="Times New Roman"/>
          <w:sz w:val="14"/>
          <w:szCs w:val="14"/>
          <w:color w:val="auto"/>
        </w:rPr>
      </w:pPr>
    </w:p>
    <w:p>
      <w:pPr>
        <w:jc w:val="both"/>
        <w:ind w:left="800" w:hanging="399"/>
        <w:spacing w:after="0" w:line="271" w:lineRule="auto"/>
        <w:tabs>
          <w:tab w:leader="none" w:pos="79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10, 2024, the Company's joint venture in Boulevard Shops replaced the existing $23.0 million mortgage loan on the property with a new $24.0 million loan that bears interest at a variable rate of SOFR plus 2.50%, is interest only during the entire loan term and matures on December 5, 2028. The new loan has a required interest rate cap throughout the term of the loan at a strike rate of 7.5%.</w:t>
      </w:r>
    </w:p>
    <w:p>
      <w:pPr>
        <w:spacing w:after="0" w:line="100" w:lineRule="exact"/>
        <w:rPr>
          <w:rFonts w:ascii="Times New Roman" w:cs="Times New Roman" w:eastAsia="Times New Roman" w:hAnsi="Times New Roman"/>
          <w:sz w:val="14"/>
          <w:szCs w:val="14"/>
          <w:color w:val="auto"/>
        </w:rPr>
      </w:pPr>
    </w:p>
    <w:p>
      <w:pPr>
        <w:ind w:left="800" w:hanging="399"/>
        <w:spacing w:after="0"/>
        <w:tabs>
          <w:tab w:leader="none" w:pos="8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May 9, 2023, the loan is in default. The Company's joint venture is in negotiations with the lender on the terms of this non-recourse loan.</w:t>
      </w:r>
    </w:p>
    <w:p>
      <w:pPr>
        <w:spacing w:after="0" w:line="155" w:lineRule="exact"/>
        <w:rPr>
          <w:rFonts w:ascii="Times New Roman" w:cs="Times New Roman" w:eastAsia="Times New Roman" w:hAnsi="Times New Roman"/>
          <w:sz w:val="14"/>
          <w:szCs w:val="14"/>
          <w:color w:val="auto"/>
        </w:rPr>
      </w:pPr>
    </w:p>
    <w:p>
      <w:pPr>
        <w:ind w:left="800" w:right="220" w:hanging="399"/>
        <w:spacing w:after="0" w:line="268" w:lineRule="auto"/>
        <w:tabs>
          <w:tab w:leader="none" w:pos="79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requires an interest rate cap agreement to be in place at all times, which limits how high the prevailing floating rate index (i.e. SOFR) for the loan can rise. As of the date of this report, SOFR for this loan exceeded the strike interest rate within the required interest rate cap agreement and as a result, the loan is considered fixed rate debt.</w:t>
      </w:r>
    </w:p>
    <w:p>
      <w:pPr>
        <w:spacing w:after="0" w:line="114" w:lineRule="exact"/>
        <w:rPr>
          <w:rFonts w:ascii="Times New Roman" w:cs="Times New Roman" w:eastAsia="Times New Roman" w:hAnsi="Times New Roman"/>
          <w:sz w:val="14"/>
          <w:szCs w:val="14"/>
          <w:color w:val="auto"/>
        </w:rPr>
      </w:pPr>
    </w:p>
    <w:p>
      <w:pPr>
        <w:ind w:left="800" w:right="360" w:hanging="399"/>
        <w:spacing w:after="0" w:line="288" w:lineRule="auto"/>
        <w:tabs>
          <w:tab w:leader="none" w:pos="79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SOFR plus 3.70%, and is covered by an interest rate cap agreement that effectively prevents SOFR from exceeding 4.0% through February 15, 2024. The interest rate cap agreement has since been extended with a strike rate of 5.0% to February 9, 2025.</w:t>
      </w:r>
    </w:p>
    <w:p>
      <w:pPr>
        <w:spacing w:after="0" w:line="87" w:lineRule="exact"/>
        <w:rPr>
          <w:rFonts w:ascii="Times New Roman" w:cs="Times New Roman" w:eastAsia="Times New Roman" w:hAnsi="Times New Roman"/>
          <w:sz w:val="14"/>
          <w:szCs w:val="14"/>
          <w:color w:val="auto"/>
        </w:rPr>
      </w:pPr>
    </w:p>
    <w:p>
      <w:pPr>
        <w:ind w:left="800" w:right="240" w:hanging="399"/>
        <w:spacing w:after="0" w:line="288" w:lineRule="auto"/>
        <w:tabs>
          <w:tab w:leader="none" w:pos="79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3, 2023, the Company’s joint venture in Scottsdale Fashion Square replaced the existing $403.9 million mortgage loan on the property with a new $700.0 million loan that bears interest at a fixed rate of 6.21%, is interest only during the entire loan term and matures on March 6, 2028.</w:t>
      </w:r>
    </w:p>
    <w:p>
      <w:pPr>
        <w:spacing w:after="0" w:line="87" w:lineRule="exact"/>
        <w:rPr>
          <w:rFonts w:ascii="Times New Roman" w:cs="Times New Roman" w:eastAsia="Times New Roman" w:hAnsi="Times New Roman"/>
          <w:sz w:val="14"/>
          <w:szCs w:val="14"/>
          <w:color w:val="auto"/>
        </w:rPr>
      </w:pPr>
    </w:p>
    <w:p>
      <w:pPr>
        <w:ind w:left="800" w:right="300" w:hanging="399"/>
        <w:spacing w:after="0" w:line="288" w:lineRule="auto"/>
        <w:tabs>
          <w:tab w:leader="none" w:pos="79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4, 2023, the Company's joint venture in Tysons Corner Center replaced the existing $666.5 million mortgage loan on the property with a new $710.0 million loan that bears interest at a fixed rate of 6.60%, is interest only during the entire loan term and matures on December 6, 2028.</w:t>
      </w:r>
    </w:p>
    <w:p>
      <w:pPr>
        <w:spacing w:after="0" w:line="101" w:lineRule="exact"/>
        <w:rPr>
          <w:rFonts w:ascii="Times New Roman" w:cs="Times New Roman" w:eastAsia="Times New Roman" w:hAnsi="Times New Roman"/>
          <w:sz w:val="14"/>
          <w:szCs w:val="14"/>
          <w:color w:val="auto"/>
        </w:rPr>
      </w:pPr>
    </w:p>
    <w:p>
      <w:pPr>
        <w:ind w:left="800" w:right="480" w:hanging="399"/>
        <w:spacing w:after="0" w:line="268" w:lineRule="auto"/>
        <w:tabs>
          <w:tab w:leader="none" w:pos="79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bears interest at SOFR plus 4.0% and is covered by an interest rate cap agreement that effectively prevents SOFR from exceeding 4.0% through November 1, 2024. On November 1, 2023, the Company's joint venture repaid $15.0 million ($9.0 million at the Company's pro rata share) of the outstanding loan balance.</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1" w:lineRule="exact"/>
        <w:rPr>
          <w:sz w:val="20"/>
          <w:szCs w:val="20"/>
          <w:color w:val="auto"/>
        </w:rPr>
      </w:pPr>
    </w:p>
    <w:p>
      <w:pPr>
        <w:ind w:right="300" w:firstLine="435"/>
        <w:spacing w:after="0" w:line="269" w:lineRule="auto"/>
        <w:rPr>
          <w:sz w:val="20"/>
          <w:szCs w:val="20"/>
          <w:color w:val="auto"/>
        </w:rPr>
      </w:pPr>
      <w:r>
        <w:rPr>
          <w:rFonts w:ascii="Times New Roman" w:cs="Times New Roman" w:eastAsia="Times New Roman" w:hAnsi="Times New Roman"/>
          <w:sz w:val="18"/>
          <w:szCs w:val="18"/>
          <w:color w:val="auto"/>
        </w:rPr>
        <w:t>None of the Company, the Operating Partnership, the Management Companies or their respective affiliates is currently involved in any material legal proceedings.</w:t>
      </w:r>
    </w:p>
    <w:p>
      <w:pPr>
        <w:spacing w:after="0" w:line="8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6"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The common stock of the Company is listed and traded on the New York Stock Exchange under the symbol "MAC". As of February 22, 2024, there were approximately 543 stockholders of record.</w:t>
      </w:r>
    </w:p>
    <w:p>
      <w:pPr>
        <w:spacing w:after="0" w:line="102" w:lineRule="exact"/>
        <w:rPr>
          <w:sz w:val="20"/>
          <w:szCs w:val="20"/>
          <w:color w:val="auto"/>
        </w:rPr>
      </w:pPr>
    </w:p>
    <w:p>
      <w:pPr>
        <w:ind w:right="140" w:firstLine="435"/>
        <w:spacing w:after="0" w:line="270" w:lineRule="auto"/>
        <w:rPr>
          <w:sz w:val="20"/>
          <w:szCs w:val="20"/>
          <w:color w:val="auto"/>
        </w:rPr>
      </w:pPr>
      <w:r>
        <w:rPr>
          <w:rFonts w:ascii="Times New Roman" w:cs="Times New Roman" w:eastAsia="Times New Roman" w:hAnsi="Times New Roman"/>
          <w:sz w:val="16"/>
          <w:szCs w:val="16"/>
          <w:color w:val="auto"/>
        </w:rPr>
        <w:t>To maintain its qualification as a REIT, the Company is required each year to distribute to stockholders at least 90% of its net taxable income after certain adjustments. The Company paid all of its 2023 and 2022 quarterly dividends in cash. The timing, amount and composition of future dividends will be determined in the sole discretion of the Company's Board of Directors and will depend on actual and projected cash flow, financial condition, funds from operations, earnings, capital requirements, annual REIT distribution requirements, contractual prohibitions or other restrictions, applicable law and such other factors as the Board of Directors deems relevant. For example, under the Company's existing financing arrangements, the Company may pay cash dividends and make other distributions based on a formula derived from funds from operations (See "Item 7. Management's Discussion and Analysis of Financial Condition and Results of Operations—Funds From Operations ("FFO")") and only if no default under the financing agreements has occurred, unless, under certain circumstances, payment of the distribution is necessary to enable the Company to continue to qualify as a REIT under the Code.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51" w:lineRule="exact"/>
        <w:rPr>
          <w:sz w:val="20"/>
          <w:szCs w:val="20"/>
          <w:color w:val="auto"/>
        </w:rPr>
      </w:pPr>
    </w:p>
    <w:p>
      <w:pPr>
        <w:ind w:right="140" w:firstLine="435"/>
        <w:spacing w:after="0" w:line="256" w:lineRule="auto"/>
        <w:rPr>
          <w:sz w:val="20"/>
          <w:szCs w:val="20"/>
          <w:color w:val="auto"/>
        </w:rPr>
      </w:pPr>
      <w:r>
        <w:rPr>
          <w:rFonts w:ascii="Times New Roman" w:cs="Times New Roman" w:eastAsia="Times New Roman" w:hAnsi="Times New Roman"/>
          <w:sz w:val="18"/>
          <w:szCs w:val="18"/>
          <w:color w:val="auto"/>
        </w:rPr>
        <w:t>The following graph provides a comparison, from December 31, 2018 through December 31, 2023, of the yearly percentage change in the cumulative total stockholder return (assuming reinvestment of dividends) of the Company, the Standard &amp; Poors ("S&amp;P") Midcap 400 Index, and the FTSE Nareit Equity Retail Index. The FTSE Nareit Equity Retail Index is an industry index of publicly-traded REITs that include the Company.</w:t>
      </w:r>
    </w:p>
    <w:p>
      <w:pPr>
        <w:spacing w:after="0" w:line="102" w:lineRule="exact"/>
        <w:rPr>
          <w:sz w:val="20"/>
          <w:szCs w:val="20"/>
          <w:color w:val="auto"/>
        </w:rPr>
      </w:pPr>
    </w:p>
    <w:p>
      <w:pPr>
        <w:ind w:right="460" w:firstLine="435"/>
        <w:spacing w:after="0" w:line="269" w:lineRule="auto"/>
        <w:rPr>
          <w:sz w:val="20"/>
          <w:szCs w:val="20"/>
          <w:color w:val="auto"/>
        </w:rPr>
      </w:pPr>
      <w:r>
        <w:rPr>
          <w:rFonts w:ascii="Times New Roman" w:cs="Times New Roman" w:eastAsia="Times New Roman" w:hAnsi="Times New Roman"/>
          <w:sz w:val="18"/>
          <w:szCs w:val="18"/>
          <w:color w:val="auto"/>
        </w:rPr>
        <w:t>The graph assumes that the value of the investment in each of the Company's common stock and the indices was $100 at the close of the market on December 31, 2018.</w:t>
      </w:r>
    </w:p>
    <w:p>
      <w:pPr>
        <w:spacing w:after="0" w:line="102" w:lineRule="exact"/>
        <w:rPr>
          <w:sz w:val="20"/>
          <w:szCs w:val="20"/>
          <w:color w:val="auto"/>
        </w:rPr>
      </w:pPr>
    </w:p>
    <w:p>
      <w:pPr>
        <w:ind w:right="100" w:firstLine="435"/>
        <w:spacing w:after="0" w:line="269" w:lineRule="auto"/>
        <w:rPr>
          <w:sz w:val="20"/>
          <w:szCs w:val="20"/>
          <w:color w:val="auto"/>
        </w:rPr>
      </w:pPr>
      <w:r>
        <w:rPr>
          <w:rFonts w:ascii="Times New Roman" w:cs="Times New Roman" w:eastAsia="Times New Roman" w:hAnsi="Times New Roman"/>
          <w:sz w:val="18"/>
          <w:szCs w:val="18"/>
          <w:color w:val="auto"/>
        </w:rPr>
        <w:t>Upon written request directed to the Secretary of the Company, the Company will provide any stockholder with a list of the REITs included in the FTSE Nareit Equity Retail Index. The historical information set forth below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color w:val="auto"/>
        </w:rPr>
        <w:t>Data for the S&amp;P Midcap 400 Index and the FTSE Nareit Equity Retail Index were provided by Research Data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97790</wp:posOffset>
            </wp:positionV>
            <wp:extent cx="5495925" cy="4015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95925" cy="401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Copyright© 2024 S&amp;P, a division of The McGraw-Hill Companies Inc. All rights reserved.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12/31/18</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12/31/19</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12/31/20</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12/31/21</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12/31/22</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12/31/23</w:t>
            </w:r>
          </w:p>
        </w:tc>
      </w:tr>
      <w:tr>
        <w:trPr>
          <w:trHeight w:val="19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Macerich Company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w:t>
            </w:r>
          </w:p>
        </w:tc>
      </w:tr>
      <w:tr>
        <w:trPr>
          <w:trHeight w:val="19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Midcap 400 Index</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126.20</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143.44</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155.58</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181.15</w:t>
            </w:r>
          </w:p>
        </w:tc>
      </w:tr>
      <w:tr>
        <w:trPr>
          <w:trHeight w:val="205"/>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FTSE Nareit Equity Retail Index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120.56</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7" w:lineRule="exact"/>
        <w:rPr>
          <w:sz w:val="20"/>
          <w:szCs w:val="20"/>
          <w:color w:val="auto"/>
        </w:rPr>
      </w:pPr>
    </w:p>
    <w:p>
      <w:pPr>
        <w:ind w:firstLine="435"/>
        <w:spacing w:after="0" w:line="303" w:lineRule="auto"/>
        <w:rPr>
          <w:sz w:val="20"/>
          <w:szCs w:val="20"/>
          <w:color w:val="auto"/>
        </w:rPr>
      </w:pPr>
      <w:r>
        <w:rPr>
          <w:rFonts w:ascii="Times New Roman" w:cs="Times New Roman" w:eastAsia="Times New Roman" w:hAnsi="Times New Roman"/>
          <w:sz w:val="16"/>
          <w:szCs w:val="16"/>
          <w:color w:val="auto"/>
        </w:rPr>
        <w:t>On November 2, 2023, the Company, as general partner of the Operating Partnership, issued 165,384 shares of common stock of the Company, upon the redemption of an aggregate of 165,384 common partnership units of the Operating Partnership. These shares of common stock were issued in a private placement to a limited partner of the Operating Partnership, an accredited investor, pursuant to Section 4(a)(2)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056"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8"/>
              </w:rPr>
              <w:t>Approximate Dollar</w:t>
            </w:r>
          </w:p>
        </w:tc>
        <w:tc>
          <w:tcPr>
            <w:tcW w:w="0" w:type="dxa"/>
            <w:vAlign w:val="bottom"/>
          </w:tcPr>
          <w:p>
            <w:pPr>
              <w:spacing w:after="0"/>
              <w:rPr>
                <w:sz w:val="1"/>
                <w:szCs w:val="1"/>
                <w:color w:val="auto"/>
              </w:rPr>
            </w:pPr>
          </w:p>
        </w:tc>
      </w:tr>
      <w:tr>
        <w:trPr>
          <w:trHeight w:val="158"/>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Shares Purchased as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1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Value of Shares That</w:t>
            </w:r>
          </w:p>
        </w:tc>
        <w:tc>
          <w:tcPr>
            <w:tcW w:w="0" w:type="dxa"/>
            <w:vAlign w:val="bottom"/>
          </w:tcPr>
          <w:p>
            <w:pPr>
              <w:spacing w:after="0"/>
              <w:rPr>
                <w:sz w:val="1"/>
                <w:szCs w:val="1"/>
                <w:color w:val="auto"/>
              </w:rPr>
            </w:pPr>
          </w:p>
        </w:tc>
      </w:tr>
      <w:tr>
        <w:trPr>
          <w:trHeight w:val="158"/>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5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1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58"/>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13"/>
                <w:szCs w:val="13"/>
                <w:color w:val="auto"/>
              </w:rPr>
            </w:pPr>
          </w:p>
        </w:tc>
        <w:tc>
          <w:tcPr>
            <w:tcW w:w="14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5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Announced Plans or</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ind w:right="241"/>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Under the Plans or</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Programs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9"/>
              </w:rPr>
              <w:t>Programs (1)</w:t>
            </w:r>
          </w:p>
        </w:tc>
        <w:tc>
          <w:tcPr>
            <w:tcW w:w="0" w:type="dxa"/>
            <w:vAlign w:val="bottom"/>
          </w:tcPr>
          <w:p>
            <w:pPr>
              <w:spacing w:after="0"/>
              <w:rPr>
                <w:sz w:val="1"/>
                <w:szCs w:val="1"/>
                <w:color w:val="auto"/>
              </w:rPr>
            </w:pPr>
          </w:p>
        </w:tc>
      </w:tr>
      <w:tr>
        <w:trPr>
          <w:trHeight w:val="218"/>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2023 to October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2023 to November 30,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24"/>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2023 to December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278,707,048</w:t>
            </w:r>
          </w:p>
        </w:tc>
        <w:tc>
          <w:tcPr>
            <w:tcW w:w="0" w:type="dxa"/>
            <w:vAlign w:val="bottom"/>
          </w:tcPr>
          <w:p>
            <w:pPr>
              <w:spacing w:after="0"/>
              <w:rPr>
                <w:sz w:val="1"/>
                <w:szCs w:val="1"/>
                <w:color w:val="auto"/>
              </w:rPr>
            </w:pPr>
          </w:p>
        </w:tc>
      </w:tr>
      <w:tr>
        <w:trPr>
          <w:trHeight w:val="204"/>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0" w:hanging="562"/>
        <w:spacing w:after="0" w:line="287" w:lineRule="auto"/>
        <w:tabs>
          <w:tab w:leader="none" w:pos="12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12, 2017, the Company's Board of Directors authorized the repurchase of up to $500.0 million of the Company's outstanding common shares from time to time as market conditions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320" w:top="910" w:right="639" w:bottom="1440" w:gutter="0" w:footer="0" w:header="0"/>
        </w:sectPr>
      </w:pPr>
    </w:p>
    <w:bookmarkStart w:id="39" w:name="page40"/>
    <w:bookmarkEnd w:id="39"/>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Overview and Summary</w:t>
      </w:r>
    </w:p>
    <w:p>
      <w:pPr>
        <w:spacing w:after="0" w:line="138" w:lineRule="exact"/>
        <w:rPr>
          <w:sz w:val="20"/>
          <w:szCs w:val="20"/>
          <w:color w:val="auto"/>
        </w:rPr>
      </w:pPr>
    </w:p>
    <w:p>
      <w:pPr>
        <w:ind w:right="60" w:firstLine="435"/>
        <w:spacing w:after="0" w:line="283" w:lineRule="auto"/>
        <w:rPr>
          <w:sz w:val="20"/>
          <w:szCs w:val="20"/>
          <w:color w:val="auto"/>
        </w:rPr>
      </w:pPr>
      <w:r>
        <w:rPr>
          <w:rFonts w:ascii="Times New Roman" w:cs="Times New Roman" w:eastAsia="Times New Roman" w:hAnsi="Times New Roman"/>
          <w:sz w:val="16"/>
          <w:szCs w:val="16"/>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Operating Partnership. As of December 31, 2023, the Operating Partnership owned or had an ownership interest in 43 Regional Town Centers (including office, hotel and residential space adjacent to these shopping centers), three community/power shopping centers and one redevelopment property. These 47 Regional Town Centers, community/power shopping centers and one redevelopment property consist of approximately 46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 The Company is a self-administered and self-managed REIT and conducts all of its operations through the Operating Partnership and the Management Companies.</w:t>
      </w:r>
    </w:p>
    <w:p>
      <w:pPr>
        <w:spacing w:after="0" w:line="96" w:lineRule="exact"/>
        <w:rPr>
          <w:sz w:val="20"/>
          <w:szCs w:val="20"/>
          <w:color w:val="auto"/>
        </w:rPr>
      </w:pPr>
    </w:p>
    <w:p>
      <w:pPr>
        <w:ind w:firstLine="435"/>
        <w:spacing w:after="0" w:line="250" w:lineRule="auto"/>
        <w:rPr>
          <w:sz w:val="20"/>
          <w:szCs w:val="20"/>
          <w:color w:val="auto"/>
        </w:rPr>
      </w:pPr>
      <w:r>
        <w:rPr>
          <w:rFonts w:ascii="Times New Roman" w:cs="Times New Roman" w:eastAsia="Times New Roman" w:hAnsi="Times New Roman"/>
          <w:sz w:val="18"/>
          <w:szCs w:val="18"/>
          <w:color w:val="auto"/>
        </w:rPr>
        <w:t>The following discussion is based primarily on the consolidated financial statements of the Company for the years ended December 31, 2023, 2022 and 2021. It compares the results of operations and cash flows for the year ended December 31, 2023 to the results of operations and cash flows for the year ended December 31, 2022. Also included is a comparison of the results of operations and cash flows for the year ended December 31, 2022 to the results of operations and cash flows for the year ended December 31, 2021. This information should be read in conjunction with the accompanying consolidated financial statements and notes thereto.</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financial statements reflect the following acquisitions, dispositions and changes in ownership subsequent to the occurrence of each transaction.</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51" w:lineRule="exact"/>
        <w:rPr>
          <w:sz w:val="20"/>
          <w:szCs w:val="20"/>
          <w:color w:val="auto"/>
        </w:rPr>
      </w:pPr>
    </w:p>
    <w:p>
      <w:pPr>
        <w:ind w:right="60" w:firstLine="435"/>
        <w:spacing w:after="0" w:line="252" w:lineRule="auto"/>
        <w:rPr>
          <w:sz w:val="20"/>
          <w:szCs w:val="20"/>
          <w:color w:val="auto"/>
        </w:rPr>
      </w:pPr>
      <w:r>
        <w:rPr>
          <w:rFonts w:ascii="Times New Roman" w:cs="Times New Roman" w:eastAsia="Times New Roman" w:hAnsi="Times New Roman"/>
          <w:sz w:val="18"/>
          <w:szCs w:val="18"/>
          <w:color w:val="auto"/>
        </w:rPr>
        <w:t>On August 2, 2022, the Company acquired the remaining 50% ownership interest in two former Sears parcels (Deptford Mall and Vintage Faire Mall) in MS Portfolio LLC, the Company's joint venture with Seritage for a total purchase price of $24.5 million. Effective as of August 2, 2022, the Company now owns and has consolidated its 100% interest in these two former Sears parcels in its consolidated financial statements (See Note 15—Acquisitions in the Notes to the Consolidated Financial Statements).</w:t>
      </w:r>
    </w:p>
    <w:p>
      <w:pPr>
        <w:spacing w:after="0" w:line="119" w:lineRule="exact"/>
        <w:rPr>
          <w:sz w:val="20"/>
          <w:szCs w:val="20"/>
          <w:color w:val="auto"/>
        </w:rPr>
      </w:pPr>
    </w:p>
    <w:p>
      <w:pPr>
        <w:ind w:right="180" w:firstLine="435"/>
        <w:spacing w:after="0" w:line="294" w:lineRule="auto"/>
        <w:rPr>
          <w:sz w:val="20"/>
          <w:szCs w:val="20"/>
          <w:color w:val="auto"/>
        </w:rPr>
      </w:pPr>
      <w:r>
        <w:rPr>
          <w:rFonts w:ascii="Times New Roman" w:cs="Times New Roman" w:eastAsia="Times New Roman" w:hAnsi="Times New Roman"/>
          <w:sz w:val="16"/>
          <w:szCs w:val="16"/>
          <w:color w:val="auto"/>
        </w:rPr>
        <w:t>On May 18, 2023, the Company acquired Seritage’s remaining 50% ownership interest in the MS Portfolio LLC joint venture that owns five former Sears parcels, for a total purchase price of approximately $46.7 million.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 (See Note 15—Acquisitions in the Notes to the Consolidated Financial Statements).</w:t>
      </w:r>
    </w:p>
    <w:p>
      <w:pPr>
        <w:spacing w:after="0" w:line="73" w:lineRule="exact"/>
        <w:rPr>
          <w:sz w:val="20"/>
          <w:szCs w:val="20"/>
          <w:color w:val="auto"/>
        </w:rPr>
      </w:pPr>
    </w:p>
    <w:p>
      <w:pPr>
        <w:jc w:val="both"/>
        <w:ind w:right="100" w:firstLine="435"/>
        <w:spacing w:after="0" w:line="252" w:lineRule="auto"/>
        <w:rPr>
          <w:sz w:val="20"/>
          <w:szCs w:val="20"/>
          <w:color w:val="auto"/>
        </w:rPr>
      </w:pPr>
      <w:r>
        <w:rPr>
          <w:rFonts w:ascii="Times New Roman" w:cs="Times New Roman" w:eastAsia="Times New Roman" w:hAnsi="Times New Roman"/>
          <w:sz w:val="18"/>
          <w:szCs w:val="18"/>
          <w:color w:val="auto"/>
        </w:rPr>
        <w:t>On November 16, 2023, the Company acquired its joint venture partner’s 49.9% ownership interest in Freehold Raceway Mall for $5.6 million and the assumption of its joint venture partner’s share of debt. The Company now owns 100% of Freehold Raceway Mall. Prior to November 16, 2023, the Company accounted for its investment in Freehold Raceway Mall as part of a financing arrangement (See Note 12 – Financing Arrangement and Note 15 – Acquisitions in the Notes to the Consolidated Financial Statements).</w:t>
      </w:r>
    </w:p>
    <w:p>
      <w:pPr>
        <w:spacing w:after="0" w:line="119" w:lineRule="exact"/>
        <w:rPr>
          <w:sz w:val="20"/>
          <w:szCs w:val="20"/>
          <w:color w:val="auto"/>
        </w:rPr>
      </w:pPr>
    </w:p>
    <w:p>
      <w:pPr>
        <w:ind w:right="120" w:firstLine="435"/>
        <w:spacing w:after="0" w:line="252" w:lineRule="auto"/>
        <w:rPr>
          <w:sz w:val="20"/>
          <w:szCs w:val="20"/>
          <w:color w:val="auto"/>
        </w:rPr>
      </w:pPr>
      <w:r>
        <w:rPr>
          <w:rFonts w:ascii="Times New Roman" w:cs="Times New Roman" w:eastAsia="Times New Roman" w:hAnsi="Times New Roman"/>
          <w:sz w:val="18"/>
          <w:szCs w:val="18"/>
          <w:color w:val="auto"/>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VIE in its consolidated financial statements (See Note 2 – Summary of Significant Accounting Policies and Note 15 – Acquisitions in the Notes to the Consolidated Financial Statements).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38" w:lineRule="exact"/>
        <w:rPr>
          <w:sz w:val="20"/>
          <w:szCs w:val="20"/>
          <w:color w:val="auto"/>
        </w:rPr>
      </w:pPr>
    </w:p>
    <w:p>
      <w:pPr>
        <w:ind w:right="140" w:firstLine="435"/>
        <w:spacing w:after="0" w:line="256" w:lineRule="auto"/>
        <w:rPr>
          <w:sz w:val="20"/>
          <w:szCs w:val="20"/>
          <w:color w:val="auto"/>
        </w:rPr>
      </w:pPr>
      <w:r>
        <w:rPr>
          <w:rFonts w:ascii="Times New Roman" w:cs="Times New Roman" w:eastAsia="Times New Roman" w:hAnsi="Times New Roman"/>
          <w:sz w:val="18"/>
          <w:szCs w:val="18"/>
          <w:color w:val="auto"/>
        </w:rPr>
        <w:t>On March 29, 2021, the Company sold Paradise Valley Mall in Phoenix, Arizona to a newly formed joint venture for $100.0 million, resulting in a gain on sale of assets of approximately $5.6 million. Concurrent with the sale, the Company elected to reinvest into the new joint venture at a 5% ownership interest. The Company used the $95.3 million of net proceeds from the sale to pay down its line of credit.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40" w:name="page41"/>
    <w:bookmarkEnd w:id="40"/>
    <w:p>
      <w:pPr>
        <w:ind w:right="780" w:firstLine="435"/>
        <w:spacing w:after="0" w:line="269" w:lineRule="auto"/>
        <w:rPr>
          <w:sz w:val="20"/>
          <w:szCs w:val="20"/>
          <w:color w:val="auto"/>
        </w:rPr>
      </w:pPr>
      <w:r>
        <w:rPr>
          <w:rFonts w:ascii="Times New Roman" w:cs="Times New Roman" w:eastAsia="Times New Roman" w:hAnsi="Times New Roman"/>
          <w:sz w:val="18"/>
          <w:szCs w:val="18"/>
          <w:color w:val="auto"/>
        </w:rPr>
        <w:t>On September 17, 2021, the Company sold Tucson La Encantada in Tucson, Arizona for $165.3 million, resulting in a gain on sale of assets of approximately $117.2 million. The Company used the net cash proceeds of approximately $100.1 million to pay down debt.</w:t>
      </w:r>
    </w:p>
    <w:p>
      <w:pPr>
        <w:spacing w:after="0" w:line="89" w:lineRule="exact"/>
        <w:rPr>
          <w:sz w:val="20"/>
          <w:szCs w:val="20"/>
          <w:color w:val="auto"/>
        </w:rPr>
      </w:pPr>
    </w:p>
    <w:p>
      <w:pPr>
        <w:jc w:val="both"/>
        <w:ind w:right="520" w:firstLine="435"/>
        <w:spacing w:after="0" w:line="303" w:lineRule="auto"/>
        <w:rPr>
          <w:sz w:val="20"/>
          <w:szCs w:val="20"/>
          <w:color w:val="auto"/>
        </w:rPr>
      </w:pPr>
      <w:r>
        <w:rPr>
          <w:rFonts w:ascii="Times New Roman" w:cs="Times New Roman" w:eastAsia="Times New Roman" w:hAnsi="Times New Roman"/>
          <w:sz w:val="16"/>
          <w:szCs w:val="16"/>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approximately $28.3 million in connection with the assignment.</w:t>
      </w:r>
    </w:p>
    <w:p>
      <w:pPr>
        <w:spacing w:after="0" w:line="80" w:lineRule="exact"/>
        <w:rPr>
          <w:sz w:val="20"/>
          <w:szCs w:val="20"/>
          <w:color w:val="auto"/>
        </w:rPr>
      </w:pPr>
    </w:p>
    <w:p>
      <w:pPr>
        <w:ind w:right="180" w:firstLine="435"/>
        <w:spacing w:after="0" w:line="269" w:lineRule="auto"/>
        <w:rPr>
          <w:sz w:val="20"/>
          <w:szCs w:val="20"/>
          <w:color w:val="auto"/>
        </w:rPr>
      </w:pPr>
      <w:r>
        <w:rPr>
          <w:rFonts w:ascii="Times New Roman" w:cs="Times New Roman" w:eastAsia="Times New Roman" w:hAnsi="Times New Roman"/>
          <w:sz w:val="18"/>
          <w:szCs w:val="18"/>
          <w:color w:val="auto"/>
        </w:rPr>
        <w:t>On December 31, 2021, the Company sold its joint venture interest in the undeveloped property at 443 North Wabash Avenue in Chicago, Illinois to its partner in the joint venture for $21.0 million. The Company recognized an immaterial gain in connection with the sale.</w:t>
      </w:r>
    </w:p>
    <w:p>
      <w:pPr>
        <w:spacing w:after="0" w:line="102" w:lineRule="exact"/>
        <w:rPr>
          <w:sz w:val="20"/>
          <w:szCs w:val="20"/>
          <w:color w:val="auto"/>
        </w:rPr>
      </w:pPr>
    </w:p>
    <w:p>
      <w:pPr>
        <w:ind w:right="140" w:firstLine="435"/>
        <w:spacing w:after="0" w:line="256" w:lineRule="auto"/>
        <w:rPr>
          <w:sz w:val="20"/>
          <w:szCs w:val="20"/>
          <w:color w:val="auto"/>
        </w:rPr>
      </w:pPr>
      <w:r>
        <w:rPr>
          <w:rFonts w:ascii="Times New Roman" w:cs="Times New Roman" w:eastAsia="Times New Roman" w:hAnsi="Times New Roman"/>
          <w:sz w:val="18"/>
          <w:szCs w:val="18"/>
          <w:color w:val="auto"/>
        </w:rPr>
        <w:t>For the twelve months ended December 31, 2021, the Company and certain joint venture partners sold various land parcels in separate transactions, resulting in the Company’s share of the gain on sale of land of $19.6 million. The Company used its share of the proceeds from these sales of $46.5 million to pay down debt and for other general corporate purposes.</w:t>
      </w:r>
    </w:p>
    <w:p>
      <w:pPr>
        <w:spacing w:after="0" w:line="102" w:lineRule="exact"/>
        <w:rPr>
          <w:sz w:val="20"/>
          <w:szCs w:val="20"/>
          <w:color w:val="auto"/>
        </w:rPr>
      </w:pPr>
    </w:p>
    <w:p>
      <w:pPr>
        <w:ind w:right="140" w:firstLine="435"/>
        <w:spacing w:after="0" w:line="256" w:lineRule="auto"/>
        <w:rPr>
          <w:sz w:val="20"/>
          <w:szCs w:val="20"/>
          <w:color w:val="auto"/>
        </w:rPr>
      </w:pPr>
      <w:r>
        <w:rPr>
          <w:rFonts w:ascii="Times New Roman" w:cs="Times New Roman" w:eastAsia="Times New Roman" w:hAnsi="Times New Roman"/>
          <w:sz w:val="18"/>
          <w:szCs w:val="18"/>
          <w:color w:val="auto"/>
        </w:rPr>
        <w:t>For the twelve months ended December 31, 2022, the Company and certain joint venture partners sold various land parcels in separate transactions, resulting in the Company’s share of the gain on sale of land of $23.9 million. The Company used its share of the proceeds from these sales of $60.3 million to pay down debt and for other general corporate purposes.</w:t>
      </w:r>
    </w:p>
    <w:p>
      <w:pPr>
        <w:spacing w:after="0" w:line="115" w:lineRule="exact"/>
        <w:rPr>
          <w:sz w:val="20"/>
          <w:szCs w:val="20"/>
          <w:color w:val="auto"/>
        </w:rPr>
      </w:pPr>
    </w:p>
    <w:p>
      <w:pPr>
        <w:ind w:right="340" w:firstLine="435"/>
        <w:spacing w:after="0" w:line="332" w:lineRule="auto"/>
        <w:rPr>
          <w:sz w:val="20"/>
          <w:szCs w:val="20"/>
          <w:color w:val="auto"/>
        </w:rPr>
      </w:pPr>
      <w:r>
        <w:rPr>
          <w:rFonts w:ascii="Times New Roman" w:cs="Times New Roman" w:eastAsia="Times New Roman" w:hAnsi="Times New Roman"/>
          <w:sz w:val="16"/>
          <w:szCs w:val="16"/>
          <w:color w:val="auto"/>
        </w:rPr>
        <w:t>On May 2, 2023, the Company sold The Marketplace at Flagstaff, a 268,000 square foot power center in Flagstaff, Arizona, for $23.5 million, which resulted in a gain on sale of assets of $10.3 million. The Company used the net proceeds to pay down debt. (See "Liquidity and Capital Resources").</w:t>
      </w:r>
    </w:p>
    <w:p>
      <w:pPr>
        <w:spacing w:after="0" w:line="44" w:lineRule="exact"/>
        <w:rPr>
          <w:sz w:val="20"/>
          <w:szCs w:val="20"/>
          <w:color w:val="auto"/>
        </w:rPr>
      </w:pPr>
    </w:p>
    <w:p>
      <w:pPr>
        <w:ind w:right="220" w:firstLine="435"/>
        <w:spacing w:after="0" w:line="315" w:lineRule="auto"/>
        <w:rPr>
          <w:sz w:val="20"/>
          <w:szCs w:val="20"/>
          <w:color w:val="auto"/>
        </w:rPr>
      </w:pPr>
      <w:r>
        <w:rPr>
          <w:rFonts w:ascii="Times New Roman" w:cs="Times New Roman" w:eastAsia="Times New Roman" w:hAnsi="Times New Roman"/>
          <w:sz w:val="16"/>
          <w:szCs w:val="16"/>
          <w:color w:val="auto"/>
        </w:rPr>
        <w:t>On July 17, 2023, the Company sold Superstition Springs Power Center, a 204,000 square foot power center in Mesa, Arizona, for $5.6 million, which resulted in a gain on sale of assets of $1.9 million. The Company used the net proceeds to pay down debt. (See "Liquidity and Capital Resources").</w:t>
      </w:r>
    </w:p>
    <w:p>
      <w:pPr>
        <w:spacing w:after="0" w:line="136" w:lineRule="exact"/>
        <w:rPr>
          <w:sz w:val="20"/>
          <w:szCs w:val="20"/>
          <w:color w:val="auto"/>
        </w:rPr>
      </w:pPr>
    </w:p>
    <w:p>
      <w:pPr>
        <w:ind w:right="40" w:firstLine="435"/>
        <w:spacing w:after="0" w:line="254" w:lineRule="auto"/>
        <w:rPr>
          <w:sz w:val="20"/>
          <w:szCs w:val="20"/>
          <w:color w:val="auto"/>
        </w:rPr>
      </w:pPr>
      <w:r>
        <w:rPr>
          <w:rFonts w:ascii="Times New Roman" w:cs="Times New Roman" w:eastAsia="Times New Roman" w:hAnsi="Times New Roman"/>
          <w:sz w:val="18"/>
          <w:szCs w:val="18"/>
          <w:color w:val="auto"/>
        </w:rPr>
        <w:t>The Company did not repay the loan on Towne Mall on its maturity date of November 1, 2022, and completed transition of the property to a receiver. On December 4, 2023, Towne Mall was sold by the receiver for $9.5 million, resulting in a gain on extinguishment of debt of $8.2 million.</w:t>
      </w:r>
    </w:p>
    <w:p>
      <w:pPr>
        <w:spacing w:after="0" w:line="194" w:lineRule="exact"/>
        <w:rPr>
          <w:sz w:val="20"/>
          <w:szCs w:val="20"/>
          <w:color w:val="auto"/>
        </w:rPr>
      </w:pPr>
    </w:p>
    <w:p>
      <w:pPr>
        <w:ind w:right="20" w:firstLine="435"/>
        <w:spacing w:after="0" w:line="230" w:lineRule="auto"/>
        <w:rPr>
          <w:sz w:val="20"/>
          <w:szCs w:val="20"/>
          <w:color w:val="auto"/>
        </w:rPr>
      </w:pPr>
      <w:r>
        <w:rPr>
          <w:rFonts w:ascii="Times New Roman" w:cs="Times New Roman" w:eastAsia="Times New Roman" w:hAnsi="Times New Roman"/>
          <w:sz w:val="18"/>
          <w:szCs w:val="18"/>
          <w:color w:val="auto"/>
        </w:rPr>
        <w:t>On December 27, 2023, the Company’s joint venture in One Westside sold the property, a 680,000 square foot office property in Los Angeles, California, for $700 million. The existing $325 million loan on the property was repaid, and $77.6 million of net proceeds were generated at the Company’s 25% ownership share, which were used to reduce the Company’s revolving loan facility. As a result of this transaction, the Company recognized its share of gain on sale of assets of $8.1 million.</w:t>
      </w:r>
    </w:p>
    <w:p>
      <w:pPr>
        <w:spacing w:after="0" w:line="195" w:lineRule="exact"/>
        <w:rPr>
          <w:sz w:val="20"/>
          <w:szCs w:val="20"/>
          <w:color w:val="auto"/>
        </w:rPr>
      </w:pPr>
    </w:p>
    <w:p>
      <w:pPr>
        <w:ind w:right="140" w:firstLine="435"/>
        <w:spacing w:after="0" w:line="241" w:lineRule="auto"/>
        <w:rPr>
          <w:sz w:val="20"/>
          <w:szCs w:val="20"/>
          <w:color w:val="auto"/>
        </w:rPr>
      </w:pPr>
      <w:r>
        <w:rPr>
          <w:rFonts w:ascii="Times New Roman" w:cs="Times New Roman" w:eastAsia="Times New Roman" w:hAnsi="Times New Roman"/>
          <w:sz w:val="18"/>
          <w:szCs w:val="18"/>
          <w:color w:val="auto"/>
        </w:rPr>
        <w:t>For the twelve months ended December 31, 2023, the Company and certain joint venture partners sold various land parcels in separate transactions, resulting in the Company’s share of the gain on sale of land of $10.8 million. The Company used its share of the proceeds from these sales of $16.4 million to pay down debt and for other general corporate purposes.</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38" w:lineRule="exact"/>
        <w:rPr>
          <w:sz w:val="20"/>
          <w:szCs w:val="20"/>
          <w:color w:val="auto"/>
        </w:rPr>
      </w:pPr>
    </w:p>
    <w:p>
      <w:pPr>
        <w:ind w:right="40" w:firstLine="435"/>
        <w:spacing w:after="0" w:line="256" w:lineRule="auto"/>
        <w:rPr>
          <w:sz w:val="20"/>
          <w:szCs w:val="20"/>
          <w:color w:val="auto"/>
        </w:rPr>
      </w:pPr>
      <w:r>
        <w:rPr>
          <w:rFonts w:ascii="Times New Roman" w:cs="Times New Roman" w:eastAsia="Times New Roman" w:hAnsi="Times New Roman"/>
          <w:sz w:val="18"/>
          <w:szCs w:val="18"/>
          <w:color w:val="auto"/>
        </w:rPr>
        <w:t>On January 22, 2021, the Company closed on a one-year extension for the Green Acres Mall $258.2 million loan to February 3, 2022, which also included a one-year extension option to February 3, 2023 that has been exercised. The interest rate remained unchanged, and the Company repaid $9 million of the outstanding loan balance at closing. As discussed below, the Company replaced this loan prior to its maturity date.</w:t>
      </w:r>
    </w:p>
    <w:p>
      <w:pPr>
        <w:spacing w:after="0" w:line="115"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On March 25, 2021, the Company closed on a two-year extension for the Green Acres Commons $124.6 million loan to March 29, 2023. The interest rate is LIBOR plus 2.75% and the Company repaid $4.7 million of the outstanding loan balance at closing. As discussed below, the Company replaced this loan prior to its maturity date.</w:t>
      </w:r>
    </w:p>
    <w:p>
      <w:pPr>
        <w:spacing w:after="0" w:line="115" w:lineRule="exact"/>
        <w:rPr>
          <w:sz w:val="20"/>
          <w:szCs w:val="20"/>
          <w:color w:val="auto"/>
        </w:rPr>
      </w:pPr>
    </w:p>
    <w:p>
      <w:pPr>
        <w:ind w:right="60" w:firstLine="435"/>
        <w:spacing w:after="0" w:line="250" w:lineRule="auto"/>
        <w:rPr>
          <w:sz w:val="20"/>
          <w:szCs w:val="20"/>
          <w:color w:val="auto"/>
        </w:rPr>
      </w:pPr>
      <w:r>
        <w:rPr>
          <w:rFonts w:ascii="Times New Roman" w:cs="Times New Roman" w:eastAsia="Times New Roman" w:hAnsi="Times New Roman"/>
          <w:sz w:val="18"/>
          <w:szCs w:val="18"/>
          <w:color w:val="auto"/>
        </w:rPr>
        <w:t>On April 14, 2021, the Company terminated its existing credit facility and entered into a new credit agreement, which provides for an aggregate $700 million facility, including a $525 million revolving loan facility that matures on April 14, 2023, with a one-year extension option, and a $175 million term loan facility that matures on April 14, 2024. The Company drew the $175 million term loan facility in its entirety simultaneously with entering into the new credit agreement in April 2021 and subsequently paid off the remaining balance outstanding on the term loan facility with proceeds from the sale of Tucson La Encantada in September 2021.</w:t>
      </w:r>
    </w:p>
    <w:p>
      <w:pPr>
        <w:spacing w:after="0" w:line="108" w:lineRule="exact"/>
        <w:rPr>
          <w:sz w:val="20"/>
          <w:szCs w:val="20"/>
          <w:color w:val="auto"/>
        </w:rPr>
      </w:pPr>
    </w:p>
    <w:p>
      <w:pPr>
        <w:jc w:val="both"/>
        <w:ind w:right="20" w:firstLine="435"/>
        <w:spacing w:after="0" w:line="256" w:lineRule="auto"/>
        <w:rPr>
          <w:sz w:val="20"/>
          <w:szCs w:val="20"/>
          <w:color w:val="auto"/>
        </w:rPr>
      </w:pPr>
      <w:r>
        <w:rPr>
          <w:rFonts w:ascii="Times New Roman" w:cs="Times New Roman" w:eastAsia="Times New Roman" w:hAnsi="Times New Roman"/>
          <w:sz w:val="18"/>
          <w:szCs w:val="18"/>
          <w:color w:val="auto"/>
        </w:rPr>
        <w:t>On October 26, 2021, the Company's joint venture in The Shops at Atlas Park replaced the existing loan on the property with a new $65 million loan that bears interest at a floating rate of LIBOR plus 4.15% (converted to SOFR plus 4.26% on April 7, 2023) and matures on November 9, 2026, including extension options. The loan was covered by an interest rate cap</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1" w:name="page42"/>
    <w:bookmarkEnd w:id="41"/>
    <w:p>
      <w:pPr>
        <w:ind w:right="540"/>
        <w:spacing w:after="0" w:line="269" w:lineRule="auto"/>
        <w:rPr>
          <w:sz w:val="20"/>
          <w:szCs w:val="20"/>
          <w:color w:val="auto"/>
        </w:rPr>
      </w:pPr>
      <w:r>
        <w:rPr>
          <w:rFonts w:ascii="Times New Roman" w:cs="Times New Roman" w:eastAsia="Times New Roman" w:hAnsi="Times New Roman"/>
          <w:sz w:val="18"/>
          <w:szCs w:val="18"/>
          <w:color w:val="auto"/>
        </w:rPr>
        <w:t>agreement that effectively prevented LIBOR/SOFR from exceeding 3.0% through November 7, 2023. The interest rate cap has since been extended and effectively prevents SOFR from exceeding 5.76% through November 7, 2024.</w:t>
      </w:r>
    </w:p>
    <w:p>
      <w:pPr>
        <w:spacing w:after="0" w:line="89" w:lineRule="exact"/>
        <w:rPr>
          <w:sz w:val="20"/>
          <w:szCs w:val="20"/>
          <w:color w:val="auto"/>
        </w:rPr>
      </w:pPr>
    </w:p>
    <w:p>
      <w:pPr>
        <w:jc w:val="both"/>
        <w:ind w:right="220" w:firstLine="43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the Company repaid $1.7 billion of debt then outstanding, including the $985 million repaid in connection with entering into the new credit agreement in April 2021. These repaid amounts represented an approximately 20% reduction in the debt outstanding, at the Company’s share, since December 31, 2020.</w:t>
      </w:r>
    </w:p>
    <w:p>
      <w:pPr>
        <w:spacing w:after="0" w:line="115" w:lineRule="exact"/>
        <w:rPr>
          <w:sz w:val="20"/>
          <w:szCs w:val="20"/>
          <w:color w:val="auto"/>
        </w:rPr>
      </w:pPr>
    </w:p>
    <w:p>
      <w:pPr>
        <w:ind w:right="100" w:firstLine="435"/>
        <w:spacing w:after="0" w:line="256" w:lineRule="auto"/>
        <w:rPr>
          <w:sz w:val="20"/>
          <w:szCs w:val="20"/>
          <w:color w:val="auto"/>
        </w:rPr>
      </w:pPr>
      <w:r>
        <w:rPr>
          <w:rFonts w:ascii="Times New Roman" w:cs="Times New Roman" w:eastAsia="Times New Roman" w:hAnsi="Times New Roman"/>
          <w:sz w:val="18"/>
          <w:szCs w:val="18"/>
          <w:color w:val="auto"/>
        </w:rPr>
        <w:t>On February 2, 2022, the Company’s joint venture in FlatIron Crossing replaced the existing $197 million loan on the property with a new $175 million loan that bears interest at SOFR plus 3.70% and matures on February 9, 2025. The loan is covered by an interest rate cap agreement that effectively prevents SOFR from exceeding 4.0% through February 15, 2024 and 5.0% through February 9, 2025.</w:t>
      </w:r>
    </w:p>
    <w:p>
      <w:pPr>
        <w:spacing w:after="0" w:line="115" w:lineRule="exact"/>
        <w:rPr>
          <w:sz w:val="20"/>
          <w:szCs w:val="20"/>
          <w:color w:val="auto"/>
        </w:rPr>
      </w:pPr>
    </w:p>
    <w:p>
      <w:pPr>
        <w:ind w:right="260" w:firstLine="435"/>
        <w:spacing w:after="0" w:line="269" w:lineRule="auto"/>
        <w:rPr>
          <w:sz w:val="20"/>
          <w:szCs w:val="20"/>
          <w:color w:val="auto"/>
        </w:rPr>
      </w:pPr>
      <w:r>
        <w:rPr>
          <w:rFonts w:ascii="Times New Roman" w:cs="Times New Roman" w:eastAsia="Times New Roman" w:hAnsi="Times New Roman"/>
          <w:sz w:val="18"/>
          <w:szCs w:val="18"/>
          <w:color w:val="auto"/>
        </w:rPr>
        <w:t>On April 29, 2022, the Company replaced the existing $110.6 million loan on Pacific View with a new $72.0 million loan that bears interest at a fixed rate of 5.29% and matures on May 6, 2032.</w:t>
      </w:r>
    </w:p>
    <w:p>
      <w:pPr>
        <w:spacing w:after="0" w:line="89" w:lineRule="exact"/>
        <w:rPr>
          <w:sz w:val="20"/>
          <w:szCs w:val="20"/>
          <w:color w:val="auto"/>
        </w:rPr>
      </w:pPr>
    </w:p>
    <w:p>
      <w:pPr>
        <w:ind w:right="220" w:firstLine="435"/>
        <w:spacing w:after="0" w:line="269" w:lineRule="auto"/>
        <w:rPr>
          <w:sz w:val="20"/>
          <w:szCs w:val="20"/>
          <w:color w:val="auto"/>
        </w:rPr>
      </w:pPr>
      <w:r>
        <w:rPr>
          <w:rFonts w:ascii="Times New Roman" w:cs="Times New Roman" w:eastAsia="Times New Roman" w:hAnsi="Times New Roman"/>
          <w:sz w:val="18"/>
          <w:szCs w:val="18"/>
          <w:color w:val="auto"/>
        </w:rPr>
        <w:t>On May 6, 2022, the Company closed on a two-year extension for The Oaks loan to June 5, 2024, at a new fixed interest rate of 5.25%. The Company repaid $5.0 million of the outstanding loan balance at closing.</w:t>
      </w:r>
    </w:p>
    <w:p>
      <w:pPr>
        <w:spacing w:after="0" w:line="102" w:lineRule="exact"/>
        <w:rPr>
          <w:sz w:val="20"/>
          <w:szCs w:val="20"/>
          <w:color w:val="auto"/>
        </w:rPr>
      </w:pPr>
    </w:p>
    <w:p>
      <w:pPr>
        <w:ind w:right="160" w:firstLine="435"/>
        <w:spacing w:after="0" w:line="269" w:lineRule="auto"/>
        <w:rPr>
          <w:sz w:val="20"/>
          <w:szCs w:val="20"/>
          <w:color w:val="auto"/>
        </w:rPr>
      </w:pPr>
      <w:r>
        <w:rPr>
          <w:rFonts w:ascii="Times New Roman" w:cs="Times New Roman" w:eastAsia="Times New Roman" w:hAnsi="Times New Roman"/>
          <w:sz w:val="18"/>
          <w:szCs w:val="18"/>
          <w:color w:val="auto"/>
        </w:rPr>
        <w:t>On July 1, 2022, the Company further extended the loan maturity on Danbury Fair Mall to July 1, 2023. The interest rate remained unchanged at 5.5%, and the Company repaid $10.0 million of the outstanding loan balance at closing.</w:t>
      </w:r>
    </w:p>
    <w:p>
      <w:pPr>
        <w:spacing w:after="0" w:line="102" w:lineRule="exact"/>
        <w:rPr>
          <w:sz w:val="20"/>
          <w:szCs w:val="20"/>
          <w:color w:val="auto"/>
        </w:rPr>
      </w:pPr>
    </w:p>
    <w:p>
      <w:pPr>
        <w:ind w:right="120" w:firstLine="435"/>
        <w:spacing w:after="0" w:line="252" w:lineRule="auto"/>
        <w:rPr>
          <w:sz w:val="20"/>
          <w:szCs w:val="20"/>
          <w:color w:val="auto"/>
        </w:rPr>
      </w:pPr>
      <w:r>
        <w:rPr>
          <w:rFonts w:ascii="Times New Roman" w:cs="Times New Roman" w:eastAsia="Times New Roman" w:hAnsi="Times New Roman"/>
          <w:sz w:val="18"/>
          <w:szCs w:val="18"/>
          <w:color w:val="auto"/>
        </w:rPr>
        <w:t>On November 14, 2022, the Company’s joint venture in Washington Square extended the maturity date on the $503.0 million loan on the property to November 1, 2026, including extension options. The loan bears interest at a floating interest rate of SOFR plus 4.0%, subject to an interest rate cap agreement that effectively prevents SOFR from exceeding 4.0% through November 1, 2024. The joint venture repaid $15.0 million ($9.0 million at the Company's pro rata share) of the loan at closing.</w:t>
      </w:r>
    </w:p>
    <w:p>
      <w:pPr>
        <w:spacing w:after="0" w:line="106"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On December 9, 2022, the Company extended the maturity date on the $300.0 million loan on Santa Monica Place to December 9, 2025, including extension options. The loan previously bore interest at a floating interest rate of LIBOR plus 1.48% and converted to 1-month Term SOFR plus 1.52% effective July 9, 2023.</w:t>
      </w:r>
    </w:p>
    <w:p>
      <w:pPr>
        <w:spacing w:after="0" w:line="115" w:lineRule="exact"/>
        <w:rPr>
          <w:sz w:val="20"/>
          <w:szCs w:val="20"/>
          <w:color w:val="auto"/>
        </w:rPr>
      </w:pPr>
    </w:p>
    <w:p>
      <w:pPr>
        <w:ind w:right="180" w:firstLine="435"/>
        <w:spacing w:after="0" w:line="256" w:lineRule="auto"/>
        <w:rPr>
          <w:sz w:val="20"/>
          <w:szCs w:val="20"/>
          <w:color w:val="auto"/>
        </w:rPr>
      </w:pPr>
      <w:r>
        <w:rPr>
          <w:rFonts w:ascii="Times New Roman" w:cs="Times New Roman" w:eastAsia="Times New Roman" w:hAnsi="Times New Roman"/>
          <w:sz w:val="18"/>
          <w:szCs w:val="18"/>
          <w:color w:val="auto"/>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spacing w:after="0" w:line="115" w:lineRule="exact"/>
        <w:rPr>
          <w:sz w:val="20"/>
          <w:szCs w:val="20"/>
          <w:color w:val="auto"/>
        </w:rPr>
      </w:pPr>
    </w:p>
    <w:p>
      <w:pPr>
        <w:ind w:right="40" w:firstLine="435"/>
        <w:spacing w:after="0" w:line="269" w:lineRule="auto"/>
        <w:rPr>
          <w:sz w:val="20"/>
          <w:szCs w:val="20"/>
          <w:color w:val="auto"/>
        </w:rPr>
      </w:pPr>
      <w:r>
        <w:rPr>
          <w:rFonts w:ascii="Times New Roman" w:cs="Times New Roman" w:eastAsia="Times New Roman" w:hAnsi="Times New Roman"/>
          <w:sz w:val="18"/>
          <w:szCs w:val="18"/>
          <w:color w:val="auto"/>
        </w:rPr>
        <w:t>On January 20, 2023, the Company exercised its one-year extension option of the loan on Fashion District Philadelphia to January 22, 2024. The interest rate is SOFR plus 3.60% and the Company repaid $26.1 million of the outstanding loan balance at closing.</w:t>
      </w:r>
    </w:p>
    <w:p>
      <w:pPr>
        <w:spacing w:after="0" w:line="89" w:lineRule="exact"/>
        <w:rPr>
          <w:sz w:val="20"/>
          <w:szCs w:val="20"/>
          <w:color w:val="auto"/>
        </w:rPr>
      </w:pPr>
    </w:p>
    <w:p>
      <w:pPr>
        <w:ind w:right="120" w:firstLine="435"/>
        <w:spacing w:after="0" w:line="269" w:lineRule="auto"/>
        <w:rPr>
          <w:sz w:val="20"/>
          <w:szCs w:val="20"/>
          <w:color w:val="auto"/>
        </w:rPr>
      </w:pPr>
      <w:r>
        <w:rPr>
          <w:rFonts w:ascii="Times New Roman" w:cs="Times New Roman" w:eastAsia="Times New Roman" w:hAnsi="Times New Roman"/>
          <w:sz w:val="18"/>
          <w:szCs w:val="18"/>
          <w:color w:val="auto"/>
        </w:rPr>
        <w:t>On March 3, 2023, the Company’s joint venture in Scottsdale Fashion Square replaced the existing $403.9 million mortgage loan on the property with a new $700.0 million loan that bears interest at a fixed rate of 6.21%, is interest only during the entire loan term and matures on March 6, 2028.</w:t>
      </w:r>
    </w:p>
    <w:p>
      <w:pPr>
        <w:spacing w:after="0" w:line="102" w:lineRule="exact"/>
        <w:rPr>
          <w:sz w:val="20"/>
          <w:szCs w:val="20"/>
          <w:color w:val="auto"/>
        </w:rPr>
      </w:pPr>
    </w:p>
    <w:p>
      <w:pPr>
        <w:ind w:right="280" w:firstLine="435"/>
        <w:spacing w:after="0" w:line="269" w:lineRule="auto"/>
        <w:rPr>
          <w:sz w:val="20"/>
          <w:szCs w:val="20"/>
          <w:color w:val="auto"/>
        </w:rPr>
      </w:pPr>
      <w:r>
        <w:rPr>
          <w:rFonts w:ascii="Times New Roman" w:cs="Times New Roman" w:eastAsia="Times New Roman" w:hAnsi="Times New Roman"/>
          <w:sz w:val="18"/>
          <w:szCs w:val="18"/>
          <w:color w:val="auto"/>
        </w:rPr>
        <w:t>On March 22, 2023, the Company executed the one-year extension option on its credit facility to April 14, 2024. Effective March 13, 2023, the credit facility converted from LIBOR to 1-month Term SOFR.</w:t>
      </w:r>
    </w:p>
    <w:p>
      <w:pPr>
        <w:spacing w:after="0" w:line="102" w:lineRule="exact"/>
        <w:rPr>
          <w:sz w:val="20"/>
          <w:szCs w:val="20"/>
          <w:color w:val="auto"/>
        </w:rPr>
      </w:pPr>
    </w:p>
    <w:p>
      <w:pPr>
        <w:jc w:val="both"/>
        <w:ind w:right="20" w:firstLine="435"/>
        <w:spacing w:after="0" w:line="256" w:lineRule="auto"/>
        <w:rPr>
          <w:sz w:val="20"/>
          <w:szCs w:val="20"/>
          <w:color w:val="auto"/>
        </w:rPr>
      </w:pPr>
      <w:r>
        <w:rPr>
          <w:rFonts w:ascii="Times New Roman" w:cs="Times New Roman" w:eastAsia="Times New Roman" w:hAnsi="Times New Roman"/>
          <w:sz w:val="18"/>
          <w:szCs w:val="18"/>
          <w:color w:val="auto"/>
        </w:rPr>
        <w:t>On April 25, 2023, the Company's joint venture in Deptford Mall closed on a three-year maturity date extension for the existing loan of $159.9 million to April 3, 2026, including extension options. The Company's joint venture repaid $10.0 million ($5.1 million at the Company's pro rata share) of the outstanding loan balance at closing. The interest rate on the loan remains unchanged at 3.73%.</w:t>
      </w:r>
    </w:p>
    <w:p>
      <w:pPr>
        <w:spacing w:after="0" w:line="102" w:lineRule="exact"/>
        <w:rPr>
          <w:sz w:val="20"/>
          <w:szCs w:val="20"/>
          <w:color w:val="auto"/>
        </w:rPr>
      </w:pPr>
    </w:p>
    <w:p>
      <w:pPr>
        <w:ind w:right="280" w:firstLine="435"/>
        <w:spacing w:after="0" w:line="269" w:lineRule="auto"/>
        <w:rPr>
          <w:sz w:val="20"/>
          <w:szCs w:val="20"/>
          <w:color w:val="auto"/>
        </w:rPr>
      </w:pPr>
      <w:r>
        <w:rPr>
          <w:rFonts w:ascii="Times New Roman" w:cs="Times New Roman" w:eastAsia="Times New Roman" w:hAnsi="Times New Roman"/>
          <w:sz w:val="18"/>
          <w:szCs w:val="18"/>
          <w:color w:val="auto"/>
        </w:rPr>
        <w:t>Effective May 9, 2023, the Company’s joint venture in Country Club Plaza defaulted on the $295.2 million ($147.6 million at the Company's pro rata share) non-recourse loan on the property. The Company’s joint venture is in negotiations with the lender on the terms of this non-recourse loan.</w:t>
      </w:r>
    </w:p>
    <w:p>
      <w:pPr>
        <w:spacing w:after="0" w:line="102" w:lineRule="exact"/>
        <w:rPr>
          <w:sz w:val="20"/>
          <w:szCs w:val="20"/>
          <w:color w:val="auto"/>
        </w:rPr>
      </w:pPr>
    </w:p>
    <w:p>
      <w:pPr>
        <w:jc w:val="both"/>
        <w:ind w:right="160" w:firstLine="435"/>
        <w:spacing w:after="0" w:line="256" w:lineRule="auto"/>
        <w:rPr>
          <w:sz w:val="20"/>
          <w:szCs w:val="20"/>
          <w:color w:val="auto"/>
        </w:rPr>
      </w:pPr>
      <w:r>
        <w:rPr>
          <w:rFonts w:ascii="Times New Roman" w:cs="Times New Roman" w:eastAsia="Times New Roman" w:hAnsi="Times New Roman"/>
          <w:sz w:val="18"/>
          <w:szCs w:val="18"/>
          <w:color w:val="auto"/>
        </w:rPr>
        <w:t>On June 27, 2023, the Company closed on a one-year extension on the $133.5 million loan on Danbury Fair Mall to July 1, 2024. The Company repaid $10.0 million of the outstanding loan balance at closing and the amended interest rate was 7.5% as of July 1, 2023 and incrementally increased to 8.0% as of October 1, 2023, 8.5% as of January 1, 2024 and 9.0% as of April 1, 2024.</w:t>
      </w:r>
    </w:p>
    <w:p>
      <w:pPr>
        <w:spacing w:after="0" w:line="115" w:lineRule="exact"/>
        <w:rPr>
          <w:sz w:val="20"/>
          <w:szCs w:val="20"/>
          <w:color w:val="auto"/>
        </w:rPr>
      </w:pPr>
    </w:p>
    <w:p>
      <w:pPr>
        <w:ind w:right="60" w:firstLine="435"/>
        <w:spacing w:after="0" w:line="252" w:lineRule="auto"/>
        <w:rPr>
          <w:sz w:val="20"/>
          <w:szCs w:val="20"/>
          <w:color w:val="auto"/>
        </w:rPr>
      </w:pPr>
      <w:r>
        <w:rPr>
          <w:rFonts w:ascii="Times New Roman" w:cs="Times New Roman" w:eastAsia="Times New Roman" w:hAnsi="Times New Roman"/>
          <w:sz w:val="18"/>
          <w:szCs w:val="18"/>
          <w:color w:val="auto"/>
        </w:rPr>
        <w:t>On September 11, 2023, the Company and Operating Partnership entered into an amended and restated credit agreement, which amended and restated their prior $525 million credit agreement, and provides for an aggregate $650 million revolving loan facility that matures on February 1, 2027, with a one-year extension option. Concurrently with the entry into the amended and restated credit agreement, the Company drew $152 million of the amount available under the revolving loan facility 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used the proceeds to repay in full amounts outstanding under the Company’s prior credit facility. (See “Liquidity and Capital Resources”).</w:t>
      </w:r>
    </w:p>
    <w:p>
      <w:pPr>
        <w:spacing w:after="0" w:line="136" w:lineRule="exact"/>
        <w:rPr>
          <w:sz w:val="20"/>
          <w:szCs w:val="20"/>
          <w:color w:val="auto"/>
        </w:rPr>
      </w:pPr>
    </w:p>
    <w:p>
      <w:pPr>
        <w:ind w:right="160" w:firstLine="435"/>
        <w:spacing w:after="0" w:line="269" w:lineRule="auto"/>
        <w:rPr>
          <w:sz w:val="20"/>
          <w:szCs w:val="20"/>
          <w:color w:val="auto"/>
        </w:rPr>
      </w:pPr>
      <w:r>
        <w:rPr>
          <w:rFonts w:ascii="Times New Roman" w:cs="Times New Roman" w:eastAsia="Times New Roman" w:hAnsi="Times New Roman"/>
          <w:sz w:val="18"/>
          <w:szCs w:val="18"/>
          <w:color w:val="auto"/>
        </w:rPr>
        <w:t>Effective October 6, 2023, the Company's $86.5 million loan on Fashion Outlets of Niagara Falls is in default. The Company is in negotiations with the lender on the terms of this non-recourse loan.</w:t>
      </w:r>
    </w:p>
    <w:p>
      <w:pPr>
        <w:spacing w:after="0" w:line="102" w:lineRule="exact"/>
        <w:rPr>
          <w:sz w:val="20"/>
          <w:szCs w:val="20"/>
          <w:color w:val="auto"/>
        </w:rPr>
      </w:pPr>
    </w:p>
    <w:p>
      <w:pPr>
        <w:ind w:right="200" w:firstLine="435"/>
        <w:spacing w:after="0" w:line="269" w:lineRule="auto"/>
        <w:rPr>
          <w:sz w:val="20"/>
          <w:szCs w:val="20"/>
          <w:color w:val="auto"/>
        </w:rPr>
      </w:pPr>
      <w:r>
        <w:rPr>
          <w:rFonts w:ascii="Times New Roman" w:cs="Times New Roman" w:eastAsia="Times New Roman" w:hAnsi="Times New Roman"/>
          <w:sz w:val="18"/>
          <w:szCs w:val="18"/>
          <w:color w:val="auto"/>
        </w:rPr>
        <w:t>On December 4, 2023, the Company's joint venture in Tysons Corner Center replaced the existing $666.5 million mortgage loan on the property with a new $710.0 million loan that bears interest at a fixed rate of 6.60%, is interest only during the entire loan term and matures on December 6, 2028.</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 million mortgage loan on the property with a new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$24.0 million loan that bears interest at a variable rate of SOFR plus 2.50%, is interest only during the entire loan term and matures on December 5, 2028.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loan has a required interest rate cap throughout the term of the loan at a strike rate of 7.5%.</w:t>
      </w:r>
    </w:p>
    <w:p>
      <w:pPr>
        <w:spacing w:after="0" w:line="118" w:lineRule="exact"/>
        <w:rPr>
          <w:sz w:val="20"/>
          <w:szCs w:val="20"/>
          <w:color w:val="auto"/>
        </w:rPr>
      </w:pPr>
    </w:p>
    <w:p>
      <w:pPr>
        <w:ind w:right="280" w:firstLine="435"/>
        <w:spacing w:after="0" w:line="269" w:lineRule="auto"/>
        <w:rPr>
          <w:sz w:val="20"/>
          <w:szCs w:val="20"/>
          <w:color w:val="auto"/>
        </w:rPr>
      </w:pPr>
      <w:r>
        <w:rPr>
          <w:rFonts w:ascii="Times New Roman" w:cs="Times New Roman" w:eastAsia="Times New Roman" w:hAnsi="Times New Roman"/>
          <w:sz w:val="18"/>
          <w:szCs w:val="18"/>
          <w:color w:val="auto"/>
        </w:rPr>
        <w:t>On January 22, 2024, the Company repaid the majority of the mortgage loan on Fashion District Philadelphia. The remaining $8.2 million matures on April 21, 2024.</w:t>
      </w:r>
    </w:p>
    <w:p>
      <w:pPr>
        <w:spacing w:after="0" w:line="102" w:lineRule="exact"/>
        <w:rPr>
          <w:sz w:val="20"/>
          <w:szCs w:val="20"/>
          <w:color w:val="auto"/>
        </w:rPr>
      </w:pPr>
    </w:p>
    <w:p>
      <w:pPr>
        <w:ind w:right="140" w:firstLine="435"/>
        <w:spacing w:after="0" w:line="269" w:lineRule="auto"/>
        <w:rPr>
          <w:sz w:val="20"/>
          <w:szCs w:val="20"/>
          <w:color w:val="auto"/>
        </w:rPr>
      </w:pPr>
      <w:r>
        <w:rPr>
          <w:rFonts w:ascii="Times New Roman" w:cs="Times New Roman" w:eastAsia="Times New Roman" w:hAnsi="Times New Roman"/>
          <w:sz w:val="18"/>
          <w:szCs w:val="18"/>
          <w:color w:val="auto"/>
        </w:rPr>
        <w:t>On January 25, 2024, the Company replaced the existing $116.9 million mortgage loan on Danbury Fair Mall with a new $155.0 million loan that bears interest at a fixed rate of 6.39%, is interest only during the majority of the loan term and matures on February 6, 2034.</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Redevelopment and Development Activities:</w:t>
      </w:r>
    </w:p>
    <w:p>
      <w:pPr>
        <w:spacing w:after="0" w:line="138" w:lineRule="exact"/>
        <w:rPr>
          <w:sz w:val="20"/>
          <w:szCs w:val="20"/>
          <w:color w:val="auto"/>
        </w:rPr>
      </w:pPr>
    </w:p>
    <w:p>
      <w:pPr>
        <w:jc w:val="both"/>
        <w:ind w:right="260" w:firstLine="435"/>
        <w:spacing w:after="0" w:line="332" w:lineRule="auto"/>
        <w:rPr>
          <w:sz w:val="20"/>
          <w:szCs w:val="20"/>
          <w:color w:val="auto"/>
        </w:rPr>
      </w:pPr>
      <w:r>
        <w:rPr>
          <w:rFonts w:ascii="Times New Roman" w:cs="Times New Roman" w:eastAsia="Times New Roman" w:hAnsi="Times New Roman"/>
          <w:sz w:val="16"/>
          <w:szCs w:val="16"/>
          <w:color w:val="auto"/>
        </w:rPr>
        <w:t>The Company has a 50/50 joint venture with Simon Property Group, which was initially formed to develop Los Angeles Premium Outlets, a premium outlet center in Carson, California. The Company has funded $39.5 million of the total $78.9 million incurred by the joint venture as of December 31, 2023.</w:t>
      </w:r>
    </w:p>
    <w:p>
      <w:pPr>
        <w:spacing w:after="0" w:line="57" w:lineRule="exact"/>
        <w:rPr>
          <w:sz w:val="20"/>
          <w:szCs w:val="20"/>
          <w:color w:val="auto"/>
        </w:rPr>
      </w:pPr>
    </w:p>
    <w:p>
      <w:pPr>
        <w:ind w:right="80" w:firstLine="435"/>
        <w:spacing w:after="0" w:line="252" w:lineRule="auto"/>
        <w:rPr>
          <w:sz w:val="20"/>
          <w:szCs w:val="20"/>
          <w:color w:val="auto"/>
        </w:rPr>
      </w:pPr>
      <w:r>
        <w:rPr>
          <w:rFonts w:ascii="Times New Roman" w:cs="Times New Roman" w:eastAsia="Times New Roman" w:hAnsi="Times New Roman"/>
          <w:sz w:val="18"/>
          <w:szCs w:val="18"/>
          <w:color w:val="auto"/>
        </w:rPr>
        <w:t>The Company is redeveloping an approximately 150,000 square foot, three-level space (formerly occupied by Bloomingdale’s and Arclight Theatre) at Santa Monica Place, a 534,000 square foot regional town center in Santa Monica, California, with an entertainment destination use, high-end fitness, and other retail uses. The total cost of the project is estimated to be between $35.0 million and $40.0 million. The Company has incurred approximately $5.2 million as of December 31, 2023. The anticipated opening will happen in phases beginning in 2024 through 2025.</w:t>
      </w:r>
    </w:p>
    <w:p>
      <w:pPr>
        <w:spacing w:after="0" w:line="119" w:lineRule="exact"/>
        <w:rPr>
          <w:sz w:val="20"/>
          <w:szCs w:val="20"/>
          <w:color w:val="auto"/>
        </w:rPr>
      </w:pPr>
    </w:p>
    <w:p>
      <w:pPr>
        <w:ind w:right="140" w:firstLine="435"/>
        <w:spacing w:after="0" w:line="252" w:lineRule="auto"/>
        <w:rPr>
          <w:sz w:val="20"/>
          <w:szCs w:val="20"/>
          <w:color w:val="auto"/>
        </w:rPr>
      </w:pPr>
      <w:r>
        <w:rPr>
          <w:rFonts w:ascii="Times New Roman" w:cs="Times New Roman" w:eastAsia="Times New Roman" w:hAnsi="Times New Roman"/>
          <w:sz w:val="18"/>
          <w:szCs w:val="18"/>
          <w:color w:val="auto"/>
        </w:rPr>
        <w:t>The Company’s joint venture in Scottsdale Fashion Square, an approximately 1,871,000 square foot regional town center in Scottsdale, Arizona, is redeveloping a two-level Nordstrom wing with luxury-focused retail and restaurant uses. The total cost of the project is estimated to be between $80.0 million and $86.0 million, with $40.0 million and $43.0 million estimated to be the Company’s pro rata share. The Company has incurred $21.0 million of the total $42.0 million incurred by the joint venture as of December 31, 2023. The anticipated opening is in 2024.</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Transactions and Events:</w:t>
      </w:r>
    </w:p>
    <w:p>
      <w:pPr>
        <w:spacing w:after="0" w:line="138" w:lineRule="exact"/>
        <w:rPr>
          <w:sz w:val="20"/>
          <w:szCs w:val="20"/>
          <w:color w:val="auto"/>
        </w:rPr>
      </w:pPr>
    </w:p>
    <w:p>
      <w:pPr>
        <w:jc w:val="both"/>
        <w:ind w:right="260" w:firstLine="435"/>
        <w:spacing w:after="0" w:line="241" w:lineRule="auto"/>
        <w:rPr>
          <w:sz w:val="20"/>
          <w:szCs w:val="20"/>
          <w:color w:val="auto"/>
        </w:rPr>
      </w:pPr>
      <w:r>
        <w:rPr>
          <w:rFonts w:ascii="Times New Roman" w:cs="Times New Roman" w:eastAsia="Times New Roman" w:hAnsi="Times New Roman"/>
          <w:sz w:val="18"/>
          <w:szCs w:val="18"/>
          <w:color w:val="auto"/>
        </w:rPr>
        <w:t>The Company declared a cash dividend of $0.17 per share of its common stock for each quarter in the year ended December 31, 2023. On February 2, 2024, the Company announced a first quarter cash dividend of $0.17 per share of its common stock, which will be paid on March 4, 2024 to stockholders of record on February 16, 2024. The dividend amount will be reviewed by the Board on a quarterly basis.</w:t>
      </w:r>
    </w:p>
    <w:p>
      <w:pPr>
        <w:spacing w:after="0" w:line="114" w:lineRule="exact"/>
        <w:rPr>
          <w:sz w:val="20"/>
          <w:szCs w:val="20"/>
          <w:color w:val="auto"/>
        </w:rPr>
      </w:pPr>
    </w:p>
    <w:p>
      <w:pPr>
        <w:ind w:firstLine="435"/>
        <w:spacing w:after="0" w:line="286" w:lineRule="auto"/>
        <w:rPr>
          <w:sz w:val="20"/>
          <w:szCs w:val="20"/>
          <w:color w:val="auto"/>
        </w:rPr>
      </w:pPr>
      <w:r>
        <w:rPr>
          <w:rFonts w:ascii="Times New Roman" w:cs="Times New Roman" w:eastAsia="Times New Roman" w:hAnsi="Times New Roman"/>
          <w:sz w:val="16"/>
          <w:szCs w:val="16"/>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 million under each of the February 2021 ATM Program and the March 2021 ATM Program, or a total of $1 billion under the ATM Programs. As of December 31, 2023, the Company had approximately $151.7 million of gross sales of its common stock available under the March 2021 ATM Program. The February 2021 ATM Program was fully utilized as of June 30, 2021 and is no longer active.</w:t>
      </w:r>
    </w:p>
    <w:p>
      <w:pPr>
        <w:spacing w:after="0" w:line="94" w:lineRule="exact"/>
        <w:rPr>
          <w:sz w:val="20"/>
          <w:szCs w:val="20"/>
          <w:color w:val="auto"/>
        </w:rPr>
      </w:pPr>
    </w:p>
    <w:p>
      <w:pPr>
        <w:ind w:right="160" w:firstLine="435"/>
        <w:spacing w:after="0" w:line="269"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Operations—Liquidity and Capital Resources” for a further discussion of the Company’s anticipated liquidity needs, and the measures taken by the Company to meet those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38" w:lineRule="exact"/>
        <w:rPr>
          <w:sz w:val="20"/>
          <w:szCs w:val="20"/>
          <w:color w:val="auto"/>
        </w:rPr>
      </w:pPr>
    </w:p>
    <w:p>
      <w:pPr>
        <w:ind w:right="180" w:firstLine="435"/>
        <w:spacing w:after="0" w:line="248" w:lineRule="auto"/>
        <w:rPr>
          <w:sz w:val="20"/>
          <w:szCs w:val="20"/>
          <w:color w:val="auto"/>
        </w:rPr>
      </w:pPr>
      <w:r>
        <w:rPr>
          <w:rFonts w:ascii="Times New Roman" w:cs="Times New Roman" w:eastAsia="Times New Roman" w:hAnsi="Times New Roman"/>
          <w:sz w:val="18"/>
          <w:szCs w:val="18"/>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(See "Item 1. Business of the Company—Lease Expirations"),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is expected to have a negative impact on the Company's costs in 2023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1"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06" w:lineRule="exact"/>
        <w:rPr>
          <w:sz w:val="20"/>
          <w:szCs w:val="20"/>
          <w:color w:val="auto"/>
        </w:rPr>
      </w:pPr>
    </w:p>
    <w:p>
      <w:pPr>
        <w:ind w:right="20" w:firstLine="435"/>
        <w:spacing w:after="0" w:line="294" w:lineRule="auto"/>
        <w:rPr>
          <w:sz w:val="20"/>
          <w:szCs w:val="20"/>
          <w:color w:val="auto"/>
        </w:rPr>
      </w:pPr>
      <w:r>
        <w:rPr>
          <w:rFonts w:ascii="Times New Roman" w:cs="Times New Roman" w:eastAsia="Times New Roman" w:hAnsi="Times New Roman"/>
          <w:sz w:val="16"/>
          <w:szCs w:val="16"/>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51" w:lineRule="exact"/>
        <w:rPr>
          <w:sz w:val="20"/>
          <w:szCs w:val="20"/>
          <w:color w:val="auto"/>
        </w:rPr>
      </w:pPr>
    </w:p>
    <w:p>
      <w:pPr>
        <w:ind w:right="20" w:firstLine="435"/>
        <w:spacing w:after="0" w:line="278" w:lineRule="auto"/>
        <w:rPr>
          <w:sz w:val="20"/>
          <w:szCs w:val="20"/>
          <w:color w:val="auto"/>
        </w:rPr>
      </w:pPr>
      <w:r>
        <w:rPr>
          <w:rFonts w:ascii="Times New Roman" w:cs="Times New Roman" w:eastAsia="Times New Roman" w:hAnsi="Times New Roman"/>
          <w:sz w:val="16"/>
          <w:szCs w:val="16"/>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298" w:lineRule="exact"/>
        <w:rPr>
          <w:sz w:val="20"/>
          <w:szCs w:val="20"/>
          <w:color w:val="auto"/>
        </w:rPr>
      </w:pPr>
    </w:p>
    <w:p>
      <w:pPr>
        <w:ind w:right="40" w:firstLine="435"/>
        <w:spacing w:after="0" w:line="252" w:lineRule="auto"/>
        <w:rPr>
          <w:sz w:val="20"/>
          <w:szCs w:val="20"/>
          <w:color w:val="auto"/>
        </w:rPr>
      </w:pPr>
      <w:r>
        <w:rPr>
          <w:rFonts w:ascii="Times New Roman" w:cs="Times New Roman" w:eastAsia="Times New Roman" w:hAnsi="Times New Roman"/>
          <w:sz w:val="18"/>
          <w:szCs w:val="18"/>
          <w:color w:val="auto"/>
        </w:rPr>
        <w:t>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38" w:lineRule="exact"/>
        <w:rPr>
          <w:sz w:val="20"/>
          <w:szCs w:val="20"/>
          <w:color w:val="auto"/>
        </w:rPr>
      </w:pPr>
    </w:p>
    <w:p>
      <w:pPr>
        <w:ind w:right="20" w:firstLine="435"/>
        <w:spacing w:after="0" w:line="284" w:lineRule="auto"/>
        <w:rPr>
          <w:sz w:val="20"/>
          <w:szCs w:val="20"/>
          <w:color w:val="auto"/>
        </w:rPr>
      </w:pPr>
      <w:r>
        <w:rPr>
          <w:rFonts w:ascii="Times New Roman" w:cs="Times New Roman" w:eastAsia="Times New Roman" w:hAnsi="Times New Roman"/>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96" w:lineRule="exact"/>
        <w:rPr>
          <w:sz w:val="20"/>
          <w:szCs w:val="20"/>
          <w:color w:val="auto"/>
        </w:rPr>
      </w:pPr>
    </w:p>
    <w:p>
      <w:pPr>
        <w:ind w:right="400" w:firstLine="435"/>
        <w:spacing w:after="0" w:line="256" w:lineRule="auto"/>
        <w:rPr>
          <w:sz w:val="20"/>
          <w:szCs w:val="20"/>
          <w:color w:val="auto"/>
        </w:rPr>
      </w:pPr>
      <w:r>
        <w:rPr>
          <w:rFonts w:ascii="Times New Roman" w:cs="Times New Roman" w:eastAsia="Times New Roman" w:hAnsi="Times New Roman"/>
          <w:sz w:val="18"/>
          <w:szCs w:val="18"/>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115" w:lineRule="exact"/>
        <w:rPr>
          <w:sz w:val="20"/>
          <w:szCs w:val="20"/>
          <w:color w:val="auto"/>
        </w:rPr>
      </w:pPr>
    </w:p>
    <w:p>
      <w:pPr>
        <w:ind w:right="140" w:firstLine="435"/>
        <w:spacing w:after="0" w:line="250" w:lineRule="auto"/>
        <w:rPr>
          <w:sz w:val="20"/>
          <w:szCs w:val="20"/>
          <w:color w:val="auto"/>
        </w:rPr>
      </w:pPr>
      <w:r>
        <w:rPr>
          <w:rFonts w:ascii="Times New Roman" w:cs="Times New Roman" w:eastAsia="Times New Roman" w:hAnsi="Times New Roman"/>
          <w:sz w:val="18"/>
          <w:szCs w:val="18"/>
          <w:color w:val="auto"/>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51" w:lineRule="exact"/>
        <w:rPr>
          <w:sz w:val="20"/>
          <w:szCs w:val="20"/>
          <w:color w:val="auto"/>
        </w:rPr>
      </w:pPr>
    </w:p>
    <w:p>
      <w:pPr>
        <w:ind w:right="80" w:firstLine="435"/>
        <w:spacing w:after="0" w:line="269"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102" w:lineRule="exact"/>
        <w:rPr>
          <w:sz w:val="20"/>
          <w:szCs w:val="20"/>
          <w:color w:val="auto"/>
        </w:rPr>
      </w:pPr>
    </w:p>
    <w:p>
      <w:pPr>
        <w:ind w:firstLine="435"/>
        <w:spacing w:after="0" w:line="283" w:lineRule="auto"/>
        <w:rPr>
          <w:sz w:val="20"/>
          <w:szCs w:val="20"/>
          <w:color w:val="auto"/>
        </w:rPr>
      </w:pPr>
      <w:r>
        <w:rPr>
          <w:rFonts w:ascii="Times New Roman" w:cs="Times New Roman" w:eastAsia="Times New Roman" w:hAnsi="Times New Roman"/>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82" w:lineRule="exact"/>
        <w:rPr>
          <w:sz w:val="20"/>
          <w:szCs w:val="20"/>
          <w:color w:val="auto"/>
        </w:rPr>
      </w:pPr>
    </w:p>
    <w:p>
      <w:pPr>
        <w:ind w:right="120" w:firstLine="435"/>
        <w:spacing w:after="0" w:line="25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15"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8" w:lineRule="exact"/>
        <w:rPr>
          <w:sz w:val="20"/>
          <w:szCs w:val="20"/>
          <w:color w:val="auto"/>
        </w:rPr>
      </w:pPr>
    </w:p>
    <w:p>
      <w:pPr>
        <w:ind w:right="220" w:firstLine="435"/>
        <w:spacing w:after="0" w:line="332" w:lineRule="auto"/>
        <w:rPr>
          <w:sz w:val="20"/>
          <w:szCs w:val="20"/>
          <w:color w:val="auto"/>
        </w:rPr>
      </w:pPr>
      <w:r>
        <w:rPr>
          <w:rFonts w:ascii="Times New Roman" w:cs="Times New Roman" w:eastAsia="Times New Roman" w:hAnsi="Times New Roman"/>
          <w:sz w:val="16"/>
          <w:szCs w:val="16"/>
          <w:color w:val="auto"/>
        </w:rPr>
        <w:t>Many of the variations in the results of operations, discussed below, occurred because of the transactions affecting the Company's properties described above, including those related to the Redevelopment Properties, the JV Transition Centers and the Disposition Properties (each as defined below).</w:t>
      </w:r>
    </w:p>
    <w:p>
      <w:pPr>
        <w:spacing w:after="0" w:line="57" w:lineRule="exact"/>
        <w:rPr>
          <w:sz w:val="20"/>
          <w:szCs w:val="20"/>
          <w:color w:val="auto"/>
        </w:rPr>
      </w:pPr>
    </w:p>
    <w:p>
      <w:pPr>
        <w:ind w:firstLine="435"/>
        <w:spacing w:after="0" w:line="294" w:lineRule="auto"/>
        <w:rPr>
          <w:sz w:val="20"/>
          <w:szCs w:val="20"/>
          <w:color w:val="auto"/>
        </w:rPr>
      </w:pPr>
      <w:r>
        <w:rPr>
          <w:rFonts w:ascii="Times New Roman" w:cs="Times New Roman" w:eastAsia="Times New Roman" w:hAnsi="Times New Roman"/>
          <w:sz w:val="16"/>
          <w:szCs w:val="16"/>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45" w:name="page46"/>
    <w:bookmarkEnd w:id="45"/>
    <w:p>
      <w:pPr>
        <w:ind w:right="120"/>
        <w:spacing w:after="0" w:line="256" w:lineRule="auto"/>
        <w:rPr>
          <w:sz w:val="20"/>
          <w:szCs w:val="20"/>
          <w:color w:val="auto"/>
        </w:rPr>
      </w:pPr>
      <w:r>
        <w:rPr>
          <w:rFonts w:ascii="Times New Roman" w:cs="Times New Roman" w:eastAsia="Times New Roman" w:hAnsi="Times New Roman"/>
          <w:sz w:val="18"/>
          <w:szCs w:val="18"/>
          <w:color w:val="auto"/>
        </w:rPr>
        <w:t>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and the Disposition Properties for the periods of comparison.</w:t>
      </w:r>
    </w:p>
    <w:p>
      <w:pPr>
        <w:spacing w:after="0" w:line="102" w:lineRule="exact"/>
        <w:rPr>
          <w:sz w:val="20"/>
          <w:szCs w:val="20"/>
          <w:color w:val="auto"/>
        </w:rPr>
      </w:pPr>
    </w:p>
    <w:p>
      <w:pPr>
        <w:ind w:right="380" w:firstLine="435"/>
        <w:spacing w:after="0" w:line="269" w:lineRule="auto"/>
        <w:rPr>
          <w:sz w:val="20"/>
          <w:szCs w:val="20"/>
          <w:color w:val="auto"/>
        </w:rPr>
      </w:pPr>
      <w:r>
        <w:rPr>
          <w:rFonts w:ascii="Times New Roman" w:cs="Times New Roman" w:eastAsia="Times New Roman" w:hAnsi="Times New Roman"/>
          <w:sz w:val="18"/>
          <w:szCs w:val="18"/>
          <w:color w:val="auto"/>
        </w:rPr>
        <w:t>For the comparison of the year ended December 31, 2023 to the year ended December 31, 2022 and the comparison of the year ended December 31, 2022 to the year ended December 31, 2021, there are no Redevelopment Properties.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comparison of the year ended December 31, 2023 to the year ended December 31, 2022, the JV Transition Centers are the two former Sears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parcels at Deptford Mall and Vintage Faire Mall, the five former Sears parcels at Chandler Fashion Center, Danbury Fair Mall, Freehold Raceway Mall, Los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Cerritos Center and Washington Square (See "Acquisitions" in Management's Overview and Summary), and for the comparison of the year ended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2022 to the year ended December 31, 2021, the JV Transition Centers are the two former Sears parcels at Deptford Mall and Vintage Faire Mall.</w:t>
      </w:r>
    </w:p>
    <w:p>
      <w:pPr>
        <w:spacing w:after="0" w:line="154" w:lineRule="exact"/>
        <w:rPr>
          <w:sz w:val="20"/>
          <w:szCs w:val="20"/>
          <w:color w:val="auto"/>
        </w:rPr>
      </w:pPr>
    </w:p>
    <w:p>
      <w:pPr>
        <w:ind w:right="260" w:firstLine="435"/>
        <w:spacing w:after="0" w:line="303" w:lineRule="auto"/>
        <w:rPr>
          <w:sz w:val="20"/>
          <w:szCs w:val="20"/>
          <w:color w:val="auto"/>
        </w:rPr>
      </w:pPr>
      <w:r>
        <w:rPr>
          <w:rFonts w:ascii="Times New Roman" w:cs="Times New Roman" w:eastAsia="Times New Roman" w:hAnsi="Times New Roman"/>
          <w:sz w:val="16"/>
          <w:szCs w:val="16"/>
          <w:color w:val="auto"/>
        </w:rPr>
        <w:t>For the comparison of the year ended December 31, 2023 to the year ended December 31, 2022, the Disposition Properties are The Marketplace at Flagstaff, Superstition Springs Power Center and Towne Mall (See "Dispositions" in Management's Overview and Summary), and for the comparison of the year ended December 31, 2022 to the year ended December 31, 2021, the Disposition Properties are Paradise Valley Mall and Tucson La Encantada.</w:t>
      </w:r>
    </w:p>
    <w:p>
      <w:pPr>
        <w:spacing w:after="0" w:line="67" w:lineRule="exact"/>
        <w:rPr>
          <w:sz w:val="20"/>
          <w:szCs w:val="20"/>
          <w:color w:val="auto"/>
        </w:rPr>
      </w:pPr>
    </w:p>
    <w:p>
      <w:pPr>
        <w:ind w:right="360" w:firstLine="435"/>
        <w:spacing w:after="0" w:line="269" w:lineRule="auto"/>
        <w:rPr>
          <w:sz w:val="20"/>
          <w:szCs w:val="20"/>
          <w:color w:val="auto"/>
        </w:rPr>
      </w:pPr>
      <w:r>
        <w:rPr>
          <w:rFonts w:ascii="Times New Roman" w:cs="Times New Roman" w:eastAsia="Times New Roman" w:hAnsi="Times New Roman"/>
          <w:sz w:val="18"/>
          <w:szCs w:val="18"/>
          <w:color w:val="auto"/>
        </w:rPr>
        <w:t>Unconsolidated joint ventures are reflected using the equity method of accounting. The Company's pro rata share of the results from these Centers is reflected in the consolidated statements of operations as equity in income (loss) of unconsolidated joint ventures.</w:t>
      </w:r>
    </w:p>
    <w:p>
      <w:pPr>
        <w:spacing w:after="0" w:line="102" w:lineRule="exact"/>
        <w:rPr>
          <w:sz w:val="20"/>
          <w:szCs w:val="20"/>
          <w:color w:val="auto"/>
        </w:rPr>
      </w:pPr>
    </w:p>
    <w:p>
      <w:pPr>
        <w:ind w:right="300" w:firstLine="435"/>
        <w:spacing w:after="0" w:line="252" w:lineRule="auto"/>
        <w:rPr>
          <w:sz w:val="20"/>
          <w:szCs w:val="20"/>
          <w:color w:val="auto"/>
        </w:rPr>
      </w:pPr>
      <w:r>
        <w:rPr>
          <w:rFonts w:ascii="Times New Roman" w:cs="Times New Roman" w:eastAsia="Times New Roman" w:hAnsi="Times New Roman"/>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19"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During the trailing twelve months ended December 31, 2023, comparable tenant sales for spaces less than 10,000 square feet across the portfolio decreased by 1.8% compared to the time frame in 2022. The leased occupancy rate of 93.5% at December 31, 2023 represented a 0.9% increase from 92.6% at December 31, 2022 and a 0.1% sequential increase compared to the 93.4% occupancy rate at September 30, 2023. Releasing spreads increased as the Company executed leases at an average rent of $61.00 for new and renewal leases executed compared to $52.04 on leases expiring, resulting in a releasing spread increase of $8.96 per square foot, or 17%, for the trailing twelve months ended December 31, 2023.</w:t>
      </w:r>
    </w:p>
    <w:p>
      <w:pPr>
        <w:spacing w:after="0" w:line="108" w:lineRule="exact"/>
        <w:rPr>
          <w:sz w:val="20"/>
          <w:szCs w:val="20"/>
          <w:color w:val="auto"/>
        </w:rPr>
      </w:pPr>
    </w:p>
    <w:p>
      <w:pPr>
        <w:ind w:firstLine="435"/>
        <w:spacing w:after="0" w:line="249" w:lineRule="auto"/>
        <w:rPr>
          <w:sz w:val="20"/>
          <w:szCs w:val="20"/>
          <w:color w:val="auto"/>
        </w:rPr>
      </w:pPr>
      <w:r>
        <w:rPr>
          <w:rFonts w:ascii="Times New Roman" w:cs="Times New Roman" w:eastAsia="Times New Roman" w:hAnsi="Times New Roman"/>
          <w:sz w:val="18"/>
          <w:szCs w:val="18"/>
          <w:color w:val="auto"/>
        </w:rPr>
        <w:t>The Company continues to renew or replace leases that are scheduled to expire in 2024, however, due to a variety of factors, the Company cannot be certain of its ability to sign, renew or replace leases expiring in 2024 or beyond. These leases that are scheduled to expire represent approximately 1.3 million square feet of the Centers, accounting for 21.32% of the GLA of mall stores and freestanding stores, for spaces 10,000 square feet and under, as of December 31, 2023. These calculations exclude Centers under development or redevelopment and property dispositions (See “Acquisitions,” "Dispositions" and "Redevelopment and Development Activities" in Management's Overview and Summary), and include square footage of Centers owned by joint ventures at the Company’s share.</w:t>
      </w:r>
    </w:p>
    <w:p>
      <w:pPr>
        <w:spacing w:after="0" w:line="121" w:lineRule="exact"/>
        <w:rPr>
          <w:sz w:val="20"/>
          <w:szCs w:val="20"/>
          <w:color w:val="auto"/>
        </w:rPr>
      </w:pPr>
    </w:p>
    <w:p>
      <w:pPr>
        <w:ind w:right="80" w:firstLine="435"/>
        <w:spacing w:after="0" w:line="252" w:lineRule="auto"/>
        <w:rPr>
          <w:sz w:val="20"/>
          <w:szCs w:val="20"/>
          <w:color w:val="auto"/>
        </w:rPr>
      </w:pPr>
      <w:r>
        <w:rPr>
          <w:rFonts w:ascii="Times New Roman" w:cs="Times New Roman" w:eastAsia="Times New Roman" w:hAnsi="Times New Roman"/>
          <w:sz w:val="18"/>
          <w:szCs w:val="18"/>
          <w:color w:val="auto"/>
        </w:rPr>
        <w:t>2024 lease expirations continue to be an important focal point for the Company. As of December 31, 2023, the Company has executed renewal leases or commitments on 41% of its square footage expiring in 2024, which leases are expected to commence throughout 2024 and 2025 and another 33% of such expiring space is in the letter of intent stage. Excluding those leases, the remaining leases expiring in 2024, which represent approximately 200,000 square feet of the Centers, are in the prospecting stage.</w:t>
      </w:r>
    </w:p>
    <w:p>
      <w:pPr>
        <w:spacing w:after="0" w:line="119" w:lineRule="exact"/>
        <w:rPr>
          <w:sz w:val="20"/>
          <w:szCs w:val="20"/>
          <w:color w:val="auto"/>
        </w:rPr>
      </w:pPr>
    </w:p>
    <w:p>
      <w:pPr>
        <w:ind w:right="160" w:firstLine="435"/>
        <w:spacing w:after="0" w:line="256" w:lineRule="auto"/>
        <w:rPr>
          <w:sz w:val="20"/>
          <w:szCs w:val="20"/>
          <w:color w:val="auto"/>
        </w:rPr>
      </w:pPr>
      <w:r>
        <w:rPr>
          <w:rFonts w:ascii="Times New Roman" w:cs="Times New Roman" w:eastAsia="Times New Roman" w:hAnsi="Times New Roman"/>
          <w:sz w:val="18"/>
          <w:szCs w:val="18"/>
          <w:color w:val="auto"/>
        </w:rPr>
        <w:t>The Company has entered into 109 leases for new stores totaling approximately 1.6 million square feet that have opened or are planned for opening in 2024, and another 17 leases for new stores totaling approximately 591,000 square feet opening after 2024. While there may be additional new space openings in 2024, any such leases are not yet executed.</w:t>
      </w:r>
    </w:p>
    <w:p>
      <w:pPr>
        <w:spacing w:after="0" w:line="102" w:lineRule="exact"/>
        <w:rPr>
          <w:sz w:val="20"/>
          <w:szCs w:val="20"/>
          <w:color w:val="auto"/>
        </w:rPr>
      </w:pPr>
    </w:p>
    <w:p>
      <w:pPr>
        <w:ind w:right="80" w:firstLine="435"/>
        <w:spacing w:after="0" w:line="332" w:lineRule="auto"/>
        <w:rPr>
          <w:sz w:val="20"/>
          <w:szCs w:val="20"/>
          <w:color w:val="auto"/>
        </w:rPr>
      </w:pPr>
      <w:r>
        <w:rPr>
          <w:rFonts w:ascii="Times New Roman" w:cs="Times New Roman" w:eastAsia="Times New Roman" w:hAnsi="Times New Roman"/>
          <w:sz w:val="16"/>
          <w:szCs w:val="16"/>
          <w:color w:val="auto"/>
        </w:rPr>
        <w:t>During the trailing twelve months ended December 31, 2023, the Company signed 274 new leases and 565 renewal leases comprising approximately 4.2 million square feet of GLA, of which 2.4 million square feet is related to the consolidated Centers. The average tenant allowance was $22.38 per square foot.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38" w:lineRule="exact"/>
        <w:rPr>
          <w:sz w:val="20"/>
          <w:szCs w:val="20"/>
          <w:color w:val="auto"/>
        </w:rPr>
      </w:pPr>
    </w:p>
    <w:p>
      <w:pPr>
        <w:jc w:val="both"/>
        <w:ind w:right="40" w:firstLine="435"/>
        <w:spacing w:after="0" w:line="230" w:lineRule="auto"/>
        <w:rPr>
          <w:sz w:val="20"/>
          <w:szCs w:val="20"/>
          <w:color w:val="auto"/>
        </w:rPr>
      </w:pPr>
      <w:r>
        <w:rPr>
          <w:rFonts w:ascii="Times New Roman" w:cs="Times New Roman" w:eastAsia="Times New Roman" w:hAnsi="Times New Roman"/>
          <w:sz w:val="18"/>
          <w:szCs w:val="18"/>
          <w:color w:val="auto"/>
        </w:rPr>
        <w:t>On February 5, 2024, the Company announced that Jackson Hsieh will be appointed to the role of Chief Executive Officer (“CEO”) and President of the Company, effective as of March 1, 2024, following the retirement of Thomas E. O’Hern, the Company’s current CEO, and Edward C. Coppola, the Company’s current President, each of whom will be retiring effective as of February 29, 2024.</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6" w:name="page47"/>
    <w:bookmarkEnd w:id="46"/>
    <w:p>
      <w:pPr>
        <w:ind w:firstLine="435"/>
        <w:spacing w:after="0" w:line="247" w:lineRule="auto"/>
        <w:rPr>
          <w:sz w:val="20"/>
          <w:szCs w:val="20"/>
          <w:color w:val="auto"/>
        </w:rPr>
      </w:pPr>
      <w:r>
        <w:rPr>
          <w:rFonts w:ascii="Times New Roman" w:cs="Times New Roman" w:eastAsia="Times New Roman" w:hAnsi="Times New Roman"/>
          <w:sz w:val="18"/>
          <w:szCs w:val="18"/>
          <w:color w:val="auto"/>
        </w:rPr>
        <w:t>The Company has a long-term four-pronged business strategy that focuses on the acquisition, leasing and management, redevelopment and development of Regional Town Centers. During 2023, the Company leased 4.2 million square feet, representing the strongest year of leasing volume based on square footage for the Company since its inception. The Company’s portfolio also experienced one of the lowest volumes of tenant bankruptcies in the last decade. As of December 31, 2023, the Company’s portfolio leased occupancy was 93.5%, which has increased 5.0% in the past eleven quarters since the pandemic-driven low of 88.5% as of March 31, 2021. The Company continues to make progress addressing the near-term maturities of its non-recourse mortgage debt, as further described below. Although the majority of the key performance indicators at the Centers continued to improve during 2023, operating results in 2024 could be negatively impacted by certain macro-economic factors, including any continued increase in inflation and elevated interest rates or an economic slowdown or recession.</w:t>
      </w:r>
    </w:p>
    <w:p>
      <w:pPr>
        <w:spacing w:after="0" w:line="219" w:lineRule="exact"/>
        <w:rPr>
          <w:sz w:val="20"/>
          <w:szCs w:val="20"/>
          <w:color w:val="auto"/>
        </w:rPr>
      </w:pPr>
    </w:p>
    <w:p>
      <w:pPr>
        <w:ind w:right="160" w:firstLine="435"/>
        <w:spacing w:after="0" w:line="252" w:lineRule="auto"/>
        <w:rPr>
          <w:sz w:val="20"/>
          <w:szCs w:val="20"/>
          <w:color w:val="auto"/>
        </w:rPr>
      </w:pPr>
      <w:r>
        <w:rPr>
          <w:rFonts w:ascii="Times New Roman" w:cs="Times New Roman" w:eastAsia="Times New Roman" w:hAnsi="Times New Roman"/>
          <w:sz w:val="18"/>
          <w:szCs w:val="18"/>
          <w:color w:val="auto"/>
        </w:rPr>
        <w:t>Traffic levels at the Company’s Centers for 2023 were approximately 94% of 2022 levels. Comparable tenant sales from spaces less than 10,000 square feet across the portfolio for the trailing twelve months ended December 31, 2023 decreased by 1.8% compared to the same period in 2022. Portfolio tenant sales per square foot for spaces less than 10,000 square feet for the trailing twelve months ended December 31, 2023 were $836 compared to $869 for the twelve months ended December 31, 2022.</w:t>
      </w:r>
    </w:p>
    <w:p>
      <w:pPr>
        <w:spacing w:after="0" w:line="211" w:lineRule="exact"/>
        <w:rPr>
          <w:sz w:val="20"/>
          <w:szCs w:val="20"/>
          <w:color w:val="auto"/>
        </w:rPr>
      </w:pPr>
    </w:p>
    <w:p>
      <w:pPr>
        <w:ind w:right="100" w:firstLine="435"/>
        <w:spacing w:after="0" w:line="256" w:lineRule="auto"/>
        <w:rPr>
          <w:sz w:val="20"/>
          <w:szCs w:val="20"/>
          <w:color w:val="auto"/>
        </w:rPr>
      </w:pPr>
      <w:r>
        <w:rPr>
          <w:rFonts w:ascii="Times New Roman" w:cs="Times New Roman" w:eastAsia="Times New Roman" w:hAnsi="Times New Roman"/>
          <w:sz w:val="18"/>
          <w:szCs w:val="18"/>
          <w:color w:val="auto"/>
        </w:rPr>
        <w:t>During 2023, the Company signed 839 new and renewal leases for approximately 4.2 million square feet, compared to 963 leases and 3.8 million square feet signed during 2022. This leasing volume represented a 13% decrease in the number of leases and a 12% increase in the amount of square footage leased compared to the same period in 2022 on a comparable basis.</w:t>
      </w:r>
    </w:p>
    <w:p>
      <w:pPr>
        <w:spacing w:after="0" w:line="207" w:lineRule="exact"/>
        <w:rPr>
          <w:sz w:val="20"/>
          <w:szCs w:val="20"/>
          <w:color w:val="auto"/>
        </w:rPr>
      </w:pPr>
    </w:p>
    <w:p>
      <w:pPr>
        <w:ind w:right="40" w:firstLine="435"/>
        <w:spacing w:after="0" w:line="250" w:lineRule="auto"/>
        <w:rPr>
          <w:sz w:val="20"/>
          <w:szCs w:val="20"/>
          <w:color w:val="auto"/>
        </w:rPr>
      </w:pPr>
      <w:r>
        <w:rPr>
          <w:rFonts w:ascii="Times New Roman" w:cs="Times New Roman" w:eastAsia="Times New Roman" w:hAnsi="Times New Roman"/>
          <w:sz w:val="18"/>
          <w:szCs w:val="18"/>
          <w:color w:val="auto"/>
        </w:rPr>
        <w:t>The Company believes that diversity of use within its tenant base has been, and will continue to be, a prominent internal growth catalyst at its Centers going forward, as new uses enhance the productivity and diversity of the tenant mix and have the potential to significantly increase customer traffic at the applicable Centers. During the year ended December 31, 2023, the Company signed deals for new stores with new-to-Macerich portfolio uses for over 600,000 square feet, with another 140,000 square feet of such new-to-Macerich portfolio leases currently in negotiation as of the date of this Annual Report on Form 10-K.</w:t>
      </w:r>
    </w:p>
    <w:p>
      <w:pPr>
        <w:spacing w:after="0" w:line="213" w:lineRule="exact"/>
        <w:rPr>
          <w:sz w:val="20"/>
          <w:szCs w:val="20"/>
          <w:color w:val="auto"/>
        </w:rPr>
      </w:pPr>
    </w:p>
    <w:p>
      <w:pPr>
        <w:ind w:right="140" w:firstLine="435"/>
        <w:spacing w:after="0" w:line="254" w:lineRule="auto"/>
        <w:rPr>
          <w:sz w:val="20"/>
          <w:szCs w:val="20"/>
          <w:color w:val="auto"/>
        </w:rPr>
      </w:pPr>
      <w:r>
        <w:rPr>
          <w:rFonts w:ascii="Times New Roman" w:cs="Times New Roman" w:eastAsia="Times New Roman" w:hAnsi="Times New Roman"/>
          <w:sz w:val="18"/>
          <w:szCs w:val="18"/>
          <w:color w:val="auto"/>
        </w:rPr>
        <w:t>As of December 31, 2023, the leased occupancy rate increased to 93.5%, a 0.9% increase compared to the leased occupancy rate of 92.6% at December 31, 2022 and a 0.1% sequential increase compared to the leased occupancy rate of 93.4% at September 30, 2023.</w:t>
      </w:r>
    </w:p>
    <w:p>
      <w:pPr>
        <w:spacing w:after="0" w:line="1" w:lineRule="exact"/>
        <w:rPr>
          <w:sz w:val="20"/>
          <w:szCs w:val="20"/>
          <w:color w:val="auto"/>
        </w:rPr>
      </w:pPr>
    </w:p>
    <w:p>
      <w:pPr>
        <w:ind w:right="100" w:firstLine="435"/>
        <w:spacing w:after="0" w:line="246" w:lineRule="auto"/>
        <w:rPr>
          <w:sz w:val="20"/>
          <w:szCs w:val="20"/>
          <w:color w:val="auto"/>
        </w:rPr>
      </w:pPr>
      <w:r>
        <w:rPr>
          <w:rFonts w:ascii="Times New Roman" w:cs="Times New Roman" w:eastAsia="Times New Roman" w:hAnsi="Times New Roman"/>
          <w:sz w:val="18"/>
          <w:szCs w:val="18"/>
          <w:color w:val="auto"/>
        </w:rPr>
        <w:t>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spacing w:after="0" w:line="215" w:lineRule="exact"/>
        <w:rPr>
          <w:sz w:val="20"/>
          <w:szCs w:val="20"/>
          <w:color w:val="auto"/>
        </w:rPr>
      </w:pPr>
    </w:p>
    <w:p>
      <w:pPr>
        <w:ind w:right="160" w:firstLine="435"/>
        <w:spacing w:after="0" w:line="252" w:lineRule="auto"/>
        <w:rPr>
          <w:sz w:val="20"/>
          <w:szCs w:val="20"/>
          <w:color w:val="auto"/>
        </w:rPr>
      </w:pPr>
      <w:r>
        <w:rPr>
          <w:rFonts w:ascii="Times New Roman" w:cs="Times New Roman" w:eastAsia="Times New Roman" w:hAnsi="Times New Roman"/>
          <w:sz w:val="18"/>
          <w:szCs w:val="18"/>
          <w:color w:val="auto"/>
        </w:rPr>
        <w:t>The pace of bankruptcy filings involving the Company’s tenants decreased substantially in 2023 and in 2022 compared to 2021. For the year ended December 31, 2023, there were ten bankruptcy filings involving the Company’s tenants totaling fifteen leases and representing approximately 111,000 square feet of leased space and $3.6 million of annual leasing revenue at the Company’s share. Based on current information and market data, the Company expects that the pace of bankruptcy filings in 2024 will continue to be lower than the average bankruptcy rate over the last decade.</w:t>
      </w:r>
    </w:p>
    <w:p>
      <w:pPr>
        <w:spacing w:after="0" w:line="211" w:lineRule="exact"/>
        <w:rPr>
          <w:sz w:val="20"/>
          <w:szCs w:val="20"/>
          <w:color w:val="auto"/>
        </w:rPr>
      </w:pPr>
    </w:p>
    <w:p>
      <w:pPr>
        <w:ind w:right="260" w:firstLine="435"/>
        <w:spacing w:after="0" w:line="252" w:lineRule="auto"/>
        <w:rPr>
          <w:sz w:val="20"/>
          <w:szCs w:val="20"/>
          <w:color w:val="auto"/>
        </w:rPr>
      </w:pPr>
      <w:r>
        <w:rPr>
          <w:rFonts w:ascii="Times New Roman" w:cs="Times New Roman" w:eastAsia="Times New Roman" w:hAnsi="Times New Roman"/>
          <w:sz w:val="18"/>
          <w:szCs w:val="18"/>
          <w:color w:val="auto"/>
        </w:rPr>
        <w:t>During 2024,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equity. This expected surplus will be used to fund the Company's development and redevelopment pipeline and to the extent available, de-lever the Company’s balance sheet.</w:t>
      </w:r>
    </w:p>
    <w:p>
      <w:pPr>
        <w:spacing w:after="0" w:line="211" w:lineRule="exact"/>
        <w:rPr>
          <w:sz w:val="20"/>
          <w:szCs w:val="20"/>
          <w:color w:val="auto"/>
        </w:rPr>
      </w:pPr>
    </w:p>
    <w:p>
      <w:pPr>
        <w:ind w:right="100" w:firstLine="435"/>
        <w:spacing w:after="0" w:line="249" w:lineRule="auto"/>
        <w:rPr>
          <w:sz w:val="20"/>
          <w:szCs w:val="20"/>
          <w:color w:val="auto"/>
        </w:rPr>
      </w:pPr>
      <w:r>
        <w:rPr>
          <w:rFonts w:ascii="Times New Roman" w:cs="Times New Roman" w:eastAsia="Times New Roman" w:hAnsi="Times New Roman"/>
          <w:sz w:val="18"/>
          <w:szCs w:val="18"/>
          <w:color w:val="auto"/>
        </w:rPr>
        <w:t>The Company continues to make progress addressing its near-term, non-recourse loan maturities, with seven completed transactions since the beginning of 2023. Since January 1, 2023, the Company has refinanced or extended seven loans totaling approximately $2.8 billion, or approximately $2.0 billion at the Company’s pro rata share. This includes the September 2023 entry into an amended and restated credit agreement, which provided for an aggregate $650 million revolving loan facility, an increase from the prior $525 million credit agreement, that matures on February 1, 2027, with a one-year extension option. For additional information on the Company’s financing transactions in the year 2023 through the date of this Annual Report on Form 10-K, see “Financing Activities” and "Liquidity and Capital Resources".</w:t>
      </w:r>
    </w:p>
    <w:p>
      <w:pPr>
        <w:spacing w:after="0" w:line="213" w:lineRule="exact"/>
        <w:rPr>
          <w:sz w:val="20"/>
          <w:szCs w:val="20"/>
          <w:color w:val="auto"/>
        </w:rPr>
      </w:pPr>
    </w:p>
    <w:p>
      <w:pPr>
        <w:ind w:right="160" w:firstLine="435"/>
        <w:spacing w:after="0" w:line="294" w:lineRule="auto"/>
        <w:rPr>
          <w:sz w:val="20"/>
          <w:szCs w:val="20"/>
          <w:color w:val="auto"/>
        </w:rPr>
      </w:pPr>
      <w:r>
        <w:rPr>
          <w:rFonts w:ascii="Times New Roman" w:cs="Times New Roman" w:eastAsia="Times New Roman" w:hAnsi="Times New Roman"/>
          <w:sz w:val="16"/>
          <w:szCs w:val="16"/>
          <w:color w:val="auto"/>
        </w:rPr>
        <w:t>Elevated interest rates are increasing the cost of the Company’s borrowings due to its outstanding floating-rate debt and have led to higher interest rates on new fixed-rate debt. The Company expects to incur increased interest expense from the refinancing or extension of loans that may currently carry below-market interest rates. In certain cases, the Company has limited, and may continue to limit, its exposure to interest rate fluctuations related to a portion of its floating-rate debt by using interest rate cap and swap agreements. Such agreements, subject to current market conditions, allow the Company to replace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7" w:name="page48"/>
    <w:bookmarkEnd w:id="47"/>
    <w:p>
      <w:pPr>
        <w:ind w:right="100"/>
        <w:spacing w:after="0" w:line="269" w:lineRule="auto"/>
        <w:rPr>
          <w:sz w:val="20"/>
          <w:szCs w:val="20"/>
          <w:color w:val="auto"/>
        </w:rPr>
      </w:pPr>
      <w:r>
        <w:rPr>
          <w:rFonts w:ascii="Times New Roman" w:cs="Times New Roman" w:eastAsia="Times New Roman" w:hAnsi="Times New Roman"/>
          <w:sz w:val="18"/>
          <w:szCs w:val="18"/>
          <w:color w:val="auto"/>
        </w:rPr>
        <w:t>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2023 and 2022</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51" w:lineRule="exact"/>
        <w:rPr>
          <w:sz w:val="20"/>
          <w:szCs w:val="20"/>
          <w:color w:val="auto"/>
        </w:rPr>
      </w:pPr>
    </w:p>
    <w:p>
      <w:pPr>
        <w:ind w:right="40" w:firstLine="435"/>
        <w:spacing w:after="0" w:line="248" w:lineRule="auto"/>
        <w:rPr>
          <w:sz w:val="20"/>
          <w:szCs w:val="20"/>
          <w:color w:val="auto"/>
        </w:rPr>
      </w:pPr>
      <w:r>
        <w:rPr>
          <w:rFonts w:ascii="Times New Roman" w:cs="Times New Roman" w:eastAsia="Times New Roman" w:hAnsi="Times New Roman"/>
          <w:sz w:val="18"/>
          <w:szCs w:val="18"/>
          <w:color w:val="auto"/>
        </w:rPr>
        <w:t>Leasing revenue increased by $8.5 million, or 1.1%, from 2022 to 2023. The increase in leasing revenue is attributed to increases of $5.0 million from the Same Centers and $6.4 million from the JV Transition Centers offset in part by $2.9 million from the Disposition Properties. Leasing revenue includes the amortization of above and below-market leases, the amortization of straight-line rents, lease termination income, percentage rent and the recovery of bad debts. The amortization of above and below-market leases increased from $2.2 million in 2022 to $3.1 million in 2023. The amortization of straight-line rents decreased from $(0.8) million in 2022 to $(4.6) million in 2023. Lease termination income decreased from $13.0 million in 2022 to $10.5 million in 2023. Percentage rent decreased from $49.5 million in 2022 to $38.2 million in 2023 primarily from conversions from variable rent to fixed rent structures on lease renewals of expiring space. Recovery of bad debts increased from $0.7 million in 2022 to $2.7 million in 2023.</w:t>
      </w:r>
    </w:p>
    <w:p>
      <w:pPr>
        <w:spacing w:after="0" w:line="123" w:lineRule="exact"/>
        <w:rPr>
          <w:sz w:val="20"/>
          <w:szCs w:val="20"/>
          <w:color w:val="auto"/>
        </w:rPr>
      </w:pPr>
    </w:p>
    <w:p>
      <w:pPr>
        <w:ind w:right="120" w:firstLine="435"/>
        <w:spacing w:after="0" w:line="269" w:lineRule="auto"/>
        <w:rPr>
          <w:sz w:val="20"/>
          <w:szCs w:val="20"/>
          <w:color w:val="auto"/>
        </w:rPr>
      </w:pPr>
      <w:r>
        <w:rPr>
          <w:rFonts w:ascii="Times New Roman" w:cs="Times New Roman" w:eastAsia="Times New Roman" w:hAnsi="Times New Roman"/>
          <w:sz w:val="18"/>
          <w:szCs w:val="18"/>
          <w:color w:val="auto"/>
        </w:rPr>
        <w:t>Other income increased from $30.1 million in 2022 to $44.9 million in 2023. This increase is primarily due to parking, interest and other income related to the Same Centers.</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Companies' revenue increased from $28.5 million in 2022 to $30.2 million in 2023 due to an increase in leasing and development fees.</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Shopping Center and Operating Expenses:</w:t>
      </w:r>
    </w:p>
    <w:p>
      <w:pPr>
        <w:spacing w:after="0" w:line="151" w:lineRule="exact"/>
        <w:rPr>
          <w:sz w:val="20"/>
          <w:szCs w:val="20"/>
          <w:color w:val="auto"/>
        </w:rPr>
      </w:pPr>
    </w:p>
    <w:p>
      <w:pPr>
        <w:jc w:val="both"/>
        <w:ind w:right="80" w:firstLine="435"/>
        <w:spacing w:after="0" w:line="303" w:lineRule="auto"/>
        <w:rPr>
          <w:sz w:val="20"/>
          <w:szCs w:val="20"/>
          <w:color w:val="auto"/>
        </w:rPr>
      </w:pPr>
      <w:r>
        <w:rPr>
          <w:rFonts w:ascii="Times New Roman" w:cs="Times New Roman" w:eastAsia="Times New Roman" w:hAnsi="Times New Roman"/>
          <w:sz w:val="16"/>
          <w:szCs w:val="16"/>
          <w:color w:val="auto"/>
        </w:rPr>
        <w:t>Shopping center and operating expenses decreased $1.5 million, or 0.5%, from 2022 to 2023. The decrease in shopping center and operating expenses is attributed to a decrease of $4.5 million from the Same Centers offset in part by increases of $1.4 million from the Disposition Properties and $1.6 million from the JV Transition Centers. The decrease at the Same Centers is primarily due to a decrease in real estate tax expense in 2023 compared to 2022.</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Leasing Expenses:</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Leasing expenses increased from $32.7 million in 2022 to $36.4 million in 2023 due to an increase in compensation expense.</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Management Companies' Operating Expenses: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Management Companies' operating expenses increased $2.3 million from 2022 to 2023 due to an increase in compensation expense.</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REIT General and Administrative Expenses:</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REIT general and administrative expenses increased by $2.1 million due to an increase in compensation and consulting expense.</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51" w:lineRule="exact"/>
        <w:rPr>
          <w:sz w:val="20"/>
          <w:szCs w:val="20"/>
          <w:color w:val="auto"/>
        </w:rPr>
      </w:pPr>
    </w:p>
    <w:p>
      <w:pPr>
        <w:jc w:val="both"/>
        <w:ind w:right="380" w:firstLine="435"/>
        <w:spacing w:after="0" w:line="256" w:lineRule="auto"/>
        <w:rPr>
          <w:sz w:val="20"/>
          <w:szCs w:val="20"/>
          <w:color w:val="auto"/>
        </w:rPr>
      </w:pPr>
      <w:r>
        <w:rPr>
          <w:rFonts w:ascii="Times New Roman" w:cs="Times New Roman" w:eastAsia="Times New Roman" w:hAnsi="Times New Roman"/>
          <w:sz w:val="18"/>
          <w:szCs w:val="18"/>
          <w:color w:val="auto"/>
        </w:rPr>
        <w:t>Depreciation and amortization decreased $9.3 million from 2022 to 2023. The decrease in depreciation and amortization is attributed to decreases of $10.3 million from the Same Centers and $2.0 million from the Disposition Properties offset in part by an increase of $3.0 million from the JV Transition Centers.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38" w:lineRule="exact"/>
        <w:rPr>
          <w:sz w:val="20"/>
          <w:szCs w:val="20"/>
          <w:color w:val="auto"/>
        </w:rPr>
      </w:pPr>
    </w:p>
    <w:p>
      <w:pPr>
        <w:ind w:firstLine="435"/>
        <w:spacing w:after="0" w:line="248" w:lineRule="auto"/>
        <w:rPr>
          <w:sz w:val="20"/>
          <w:szCs w:val="20"/>
          <w:color w:val="auto"/>
        </w:rPr>
      </w:pPr>
      <w:r>
        <w:rPr>
          <w:rFonts w:ascii="Times New Roman" w:cs="Times New Roman" w:eastAsia="Times New Roman" w:hAnsi="Times New Roman"/>
          <w:sz w:val="18"/>
          <w:szCs w:val="18"/>
          <w:color w:val="auto"/>
        </w:rPr>
        <w:t>Interest expense decreased $43.9 million from 2022 to 2023. The decrease in interest expense is attributed to decreases of $58.9 million from the financing arrangement, $0.1 million from the Disposition Properties and $1.9 million from the JV Transition Centers offset in part by increases of $12.2 million from the Same Centers and $4.8 million from higher interest rates and outstanding balances on the Company's revolving line of credit. Effective November 16, 2023, the Company acquired its partner's interest in Freehold Raceway Mall and, as a result, Freehold Raceway Mall is no longer part of the financing arrangement and is 100% owned by the Company. The decrease in interest expense from the financing arrangement is primarily due to the change in fair value of the underlying properties and the mortgage notes payable on the underlying properties (See Note 12–Financing Arrangement in the Company's Notes to the Consolidated Financial Statements).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above interest expense items are net of capitalized interest, which increased from $10.5 million in 2022 to $20.5 million in 2023.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i w:val="1"/>
          <w:iCs w:val="1"/>
          <w:color w:val="auto"/>
        </w:rPr>
        <w:t>Equity in Loss of Unconsolidated Joint Ventures:</w:t>
      </w:r>
    </w:p>
    <w:p>
      <w:pPr>
        <w:spacing w:after="0" w:line="138" w:lineRule="exact"/>
        <w:rPr>
          <w:sz w:val="20"/>
          <w:szCs w:val="20"/>
          <w:color w:val="auto"/>
        </w:rPr>
      </w:pPr>
    </w:p>
    <w:p>
      <w:pPr>
        <w:ind w:right="180" w:firstLine="435"/>
        <w:spacing w:after="0" w:line="252" w:lineRule="auto"/>
        <w:rPr>
          <w:sz w:val="20"/>
          <w:szCs w:val="20"/>
          <w:color w:val="auto"/>
        </w:rPr>
      </w:pPr>
      <w:r>
        <w:rPr>
          <w:rFonts w:ascii="Times New Roman" w:cs="Times New Roman" w:eastAsia="Times New Roman" w:hAnsi="Times New Roman"/>
          <w:sz w:val="18"/>
          <w:szCs w:val="18"/>
          <w:color w:val="auto"/>
        </w:rPr>
        <w:t>Equity in loss of unconsolidated joint ventures increased $151.7 million from 2022 to 2023. The increase in equity in loss of unconsolidated joint ventures is primarily due to the impairment losses in 2023 at Country Club Plaza of $101.0 million and the JV Transition Centers of $51.4 million, as a result of the reduction in the estimated holding periods (See Note 4–Investments in Unconsolidated Joint Ventures in the Company's Notes to the Consolidated Financial Statements).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(Loss) Gain on Sale or Write Down of Assets, net:</w:t>
      </w:r>
    </w:p>
    <w:p>
      <w:pPr>
        <w:spacing w:after="0" w:line="151" w:lineRule="exact"/>
        <w:rPr>
          <w:sz w:val="20"/>
          <w:szCs w:val="20"/>
          <w:color w:val="auto"/>
        </w:rPr>
      </w:pPr>
    </w:p>
    <w:p>
      <w:pPr>
        <w:ind w:right="420" w:firstLine="435"/>
        <w:spacing w:after="0" w:line="269" w:lineRule="auto"/>
        <w:rPr>
          <w:sz w:val="20"/>
          <w:szCs w:val="20"/>
          <w:color w:val="auto"/>
        </w:rPr>
      </w:pPr>
      <w:r>
        <w:rPr>
          <w:rFonts w:ascii="Times New Roman" w:cs="Times New Roman" w:eastAsia="Times New Roman" w:hAnsi="Times New Roman"/>
          <w:sz w:val="18"/>
          <w:szCs w:val="18"/>
          <w:color w:val="auto"/>
        </w:rPr>
        <w:t>(Loss) gain on sale or write down of assets, net increased $142.2 million from 2022 to 2023. The increase is primarily due to the impairment loss of $144.7 million at Fashion Outlets of Niagara Falls, as a result of the reduction in the estimated holding period of the property.</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51" w:lineRule="exact"/>
        <w:rPr>
          <w:sz w:val="20"/>
          <w:szCs w:val="20"/>
          <w:color w:val="auto"/>
        </w:rPr>
      </w:pPr>
    </w:p>
    <w:p>
      <w:pPr>
        <w:ind w:right="360" w:firstLine="395"/>
        <w:spacing w:after="0" w:line="269" w:lineRule="auto"/>
        <w:rPr>
          <w:sz w:val="20"/>
          <w:szCs w:val="20"/>
          <w:color w:val="auto"/>
        </w:rPr>
      </w:pPr>
      <w:r>
        <w:rPr>
          <w:rFonts w:ascii="Times New Roman" w:cs="Times New Roman" w:eastAsia="Times New Roman" w:hAnsi="Times New Roman"/>
          <w:sz w:val="18"/>
          <w:szCs w:val="18"/>
          <w:color w:val="auto"/>
        </w:rPr>
        <w:t>Net loss increased $213.0 million from 2022 to 2023. The increase in net loss is primarily due to the impairment losses at Fashion Outlets of Niagara Falls, Country Club Plaza and the JV Transition Centers, along with the other variances noted above.</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Funds From Operations ("FFO"):</w:t>
      </w:r>
    </w:p>
    <w:p>
      <w:pPr>
        <w:spacing w:after="0" w:line="138" w:lineRule="exact"/>
        <w:rPr>
          <w:sz w:val="20"/>
          <w:szCs w:val="20"/>
          <w:color w:val="auto"/>
        </w:rPr>
      </w:pPr>
    </w:p>
    <w:p>
      <w:pPr>
        <w:ind w:firstLine="435"/>
        <w:spacing w:after="0" w:line="289" w:lineRule="auto"/>
        <w:rPr>
          <w:sz w:val="20"/>
          <w:szCs w:val="20"/>
          <w:color w:val="auto"/>
        </w:rPr>
      </w:pPr>
      <w:r>
        <w:rPr>
          <w:rFonts w:ascii="Times New Roman" w:cs="Times New Roman" w:eastAsia="Times New Roman" w:hAnsi="Times New Roman"/>
          <w:sz w:val="16"/>
          <w:szCs w:val="16"/>
          <w:color w:val="auto"/>
        </w:rPr>
        <w:t>Primarily as a result of the factors mentioned above, FFO attributable to common stockholders and unit holders—diluted, excluding financing expense in connection with Chandler Freehold, gain on extinguishment of debt and accrued default interest expense decreased 7.9% from $437.5 million in 2022 to $403.0 million in 2023. For a reconciliation of net loss attributable to the Company, the most directly comparable GAAP financial measure, to FFO attributable to common stockholders and unit holders–diluted, and FFO attributable to common stockholders and unit holders—diluted, excluding financing expense in connection with Chandler Freehold, gain on extinguishment of debt and accrued default interest expense–diluted, see "Funds From Operations ("FFO")" below.</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51" w:lineRule="exact"/>
        <w:rPr>
          <w:sz w:val="20"/>
          <w:szCs w:val="20"/>
          <w:color w:val="auto"/>
        </w:rPr>
      </w:pPr>
    </w:p>
    <w:p>
      <w:pPr>
        <w:ind w:right="260" w:firstLine="435"/>
        <w:spacing w:after="0" w:line="269" w:lineRule="auto"/>
        <w:rPr>
          <w:sz w:val="20"/>
          <w:szCs w:val="20"/>
          <w:color w:val="auto"/>
        </w:rPr>
      </w:pPr>
      <w:r>
        <w:rPr>
          <w:rFonts w:ascii="Times New Roman" w:cs="Times New Roman" w:eastAsia="Times New Roman" w:hAnsi="Times New Roman"/>
          <w:sz w:val="18"/>
          <w:szCs w:val="18"/>
          <w:color w:val="auto"/>
        </w:rPr>
        <w:t>Cash provided by operating activities decreased $42.0 million from 2022 to 2023. The decrease is primarily due to the changes in assets and liabilities and the results, as discussed above.</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51" w:lineRule="exact"/>
        <w:rPr>
          <w:sz w:val="20"/>
          <w:szCs w:val="20"/>
          <w:color w:val="auto"/>
        </w:rPr>
      </w:pPr>
    </w:p>
    <w:p>
      <w:pPr>
        <w:ind w:right="100" w:firstLine="435"/>
        <w:spacing w:after="0" w:line="248" w:lineRule="auto"/>
        <w:rPr>
          <w:sz w:val="20"/>
          <w:szCs w:val="20"/>
          <w:color w:val="auto"/>
        </w:rPr>
      </w:pPr>
      <w:r>
        <w:rPr>
          <w:rFonts w:ascii="Times New Roman" w:cs="Times New Roman" w:eastAsia="Times New Roman" w:hAnsi="Times New Roman"/>
          <w:sz w:val="18"/>
          <w:szCs w:val="18"/>
          <w:color w:val="auto"/>
        </w:rPr>
        <w:t>Cash provided by investing activities increased $53.9 million from 2022 to 2023. The increase in cash provided by investing activities is primarily attributed to an increase in distributions from unconsolidated joint ventures of $169.6 offset in part by decreases in proceeds from the sale of assets of $14.9 million, $21.0 million in proceeds from collection of receivable in connection with sale of joint venture property, increases in acquisitions of property of $22.1 million, development, redevelopment and renovation of $35.8 million and property improvements of $21.9 million. The increase in distributions from unconsolidated joint ventures is primarily due to the distribution of net loan proceeds from the Scottsdale Fashion Square refinance (See "—Financing Activities" in Management's Overview and Summary) and the distribution of net sales proceeds on One Westside (See "—Dispositions" in Management's Overview and Summary).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38" w:lineRule="exact"/>
        <w:rPr>
          <w:sz w:val="20"/>
          <w:szCs w:val="20"/>
          <w:color w:val="auto"/>
        </w:rPr>
      </w:pPr>
    </w:p>
    <w:p>
      <w:pPr>
        <w:ind w:right="40" w:firstLine="435"/>
        <w:spacing w:after="0" w:line="250" w:lineRule="auto"/>
        <w:rPr>
          <w:sz w:val="20"/>
          <w:szCs w:val="20"/>
          <w:color w:val="auto"/>
        </w:rPr>
      </w:pPr>
      <w:r>
        <w:rPr>
          <w:rFonts w:ascii="Times New Roman" w:cs="Times New Roman" w:eastAsia="Times New Roman" w:hAnsi="Times New Roman"/>
          <w:sz w:val="18"/>
          <w:szCs w:val="18"/>
          <w:color w:val="auto"/>
        </w:rPr>
        <w:t>Cash used in financing activities increased $16.9 million from 2022 to 2023. The increase in cash used in financing activities is primarily due to increases in payments on mortgages, bank and other notes payable of $457.2 million, deferred financing costs of $22.5 million and payment on finance arrangement obligation of $5.6 million offset in part by an increase in proceeds from mortgages, bank and other notes payable of $442.0 million and a decrease in dividends and distributions of $27.0 million. The decrease in dividends and distributions is primarily due to a decrease in distributions to consolidated joint ventures offset in part by an increase in dividends to common stockholders.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2022 and 2021</w:t>
      </w:r>
    </w:p>
    <w:p>
      <w:pPr>
        <w:spacing w:after="0" w:line="151" w:lineRule="exact"/>
        <w:rPr>
          <w:sz w:val="20"/>
          <w:szCs w:val="20"/>
          <w:color w:val="auto"/>
        </w:rPr>
      </w:pPr>
    </w:p>
    <w:p>
      <w:pPr>
        <w:ind w:right="400" w:firstLine="435"/>
        <w:spacing w:after="0" w:line="256" w:lineRule="auto"/>
        <w:rPr>
          <w:sz w:val="20"/>
          <w:szCs w:val="20"/>
          <w:color w:val="auto"/>
        </w:rPr>
      </w:pPr>
      <w:r>
        <w:rPr>
          <w:rFonts w:ascii="Times New Roman" w:cs="Times New Roman" w:eastAsia="Times New Roman" w:hAnsi="Times New Roman"/>
          <w:sz w:val="18"/>
          <w:szCs w:val="18"/>
          <w:color w:val="auto"/>
        </w:rPr>
        <w:t>Discussion of the year ended December 31, 2022 compared to the year ended December 31, 2021 was included in the Company's Annual Report on Form 10-K for the year ended December 31, 2022 on page 47 under Part II, Item 7, "Management's Discussion and Analysis of Financial Condition and Results of Operations", which was filed with the SEC on 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4" w:lineRule="exact"/>
        <w:rPr>
          <w:sz w:val="20"/>
          <w:szCs w:val="20"/>
          <w:color w:val="auto"/>
        </w:rPr>
      </w:pPr>
    </w:p>
    <w:p>
      <w:pPr>
        <w:jc w:val="both"/>
        <w:ind w:right="80" w:firstLine="435"/>
        <w:spacing w:after="0" w:line="241" w:lineRule="auto"/>
        <w:rPr>
          <w:sz w:val="20"/>
          <w:szCs w:val="20"/>
          <w:color w:val="auto"/>
        </w:rPr>
      </w:pPr>
      <w:r>
        <w:rPr>
          <w:rFonts w:ascii="Times New Roman" w:cs="Times New Roman" w:eastAsia="Times New Roman" w:hAnsi="Times New Roman"/>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line of credit.</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Uses of Capital</w:t>
      </w:r>
    </w:p>
    <w:p>
      <w:pPr>
        <w:spacing w:after="0" w:line="138" w:lineRule="exact"/>
        <w:rPr>
          <w:sz w:val="20"/>
          <w:szCs w:val="20"/>
          <w:color w:val="auto"/>
        </w:rPr>
      </w:pPr>
    </w:p>
    <w:p>
      <w:pPr>
        <w:ind w:right="180" w:firstLine="435"/>
        <w:spacing w:after="0" w:line="263" w:lineRule="auto"/>
        <w:rPr>
          <w:sz w:val="20"/>
          <w:szCs w:val="20"/>
          <w:color w:val="auto"/>
        </w:rPr>
      </w:pPr>
      <w:r>
        <w:rPr>
          <w:rFonts w:ascii="Times New Roman" w:cs="Times New Roman" w:eastAsia="Times New Roman" w:hAnsi="Times New Roman"/>
          <w:sz w:val="18"/>
          <w:szCs w:val="18"/>
          <w:color w:val="auto"/>
        </w:rPr>
        <w:t>The following tables summarize capital expenditures and lease acquisition costs incurred at the Centers (at the Company's pro rata share)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Consolidated Centers: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w:t>
            </w:r>
          </w:p>
        </w:tc>
      </w:tr>
      <w:tr>
        <w:trPr>
          <w:trHeight w:val="22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 and renovation of Centers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46,341</w:t>
            </w:r>
          </w:p>
        </w:tc>
      </w:tr>
      <w:tr>
        <w:trPr>
          <w:trHeight w:val="22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22,101</w:t>
            </w:r>
          </w:p>
        </w:tc>
      </w:tr>
      <w:tr>
        <w:trPr>
          <w:trHeight w:val="22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r>
      <w:tr>
        <w:trPr>
          <w:trHeight w:val="217"/>
        </w:trPr>
        <w:tc>
          <w:tcPr>
            <w:tcW w:w="66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89,742</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Joint Venture Centers (at the Company's pro rata share):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building improvement and equipment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18,803</w:t>
            </w:r>
          </w:p>
        </w:tc>
      </w:tr>
      <w:tr>
        <w:trPr>
          <w:trHeight w:val="22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redevelopment, expansion and renovation of Centers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48,512</w:t>
            </w:r>
          </w:p>
        </w:tc>
      </w:tr>
      <w:tr>
        <w:trPr>
          <w:trHeight w:val="22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11,594</w:t>
            </w:r>
          </w:p>
        </w:tc>
      </w:tr>
      <w:tr>
        <w:trPr>
          <w:trHeight w:val="22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r>
      <w:tr>
        <w:trPr>
          <w:trHeight w:val="217"/>
        </w:trPr>
        <w:tc>
          <w:tcPr>
            <w:tcW w:w="66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81,790</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firstLine="435"/>
        <w:spacing w:after="0" w:line="250" w:lineRule="auto"/>
        <w:rPr>
          <w:sz w:val="20"/>
          <w:szCs w:val="20"/>
          <w:color w:val="auto"/>
        </w:rPr>
      </w:pPr>
      <w:r>
        <w:rPr>
          <w:rFonts w:ascii="Times New Roman" w:cs="Times New Roman" w:eastAsia="Times New Roman" w:hAnsi="Times New Roman"/>
          <w:sz w:val="18"/>
          <w:szCs w:val="18"/>
          <w:color w:val="auto"/>
        </w:rPr>
        <w:t>The Company expects amounts to be incurred during the next twelve months for tenant allowances and deferred leasing charges to be comparable to 2023. The Company expects to incur approximately $160 million to $180 million during 2024 for development, redevelopment, expansion and renovations.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Sources of Capital</w:t>
      </w:r>
    </w:p>
    <w:p>
      <w:pPr>
        <w:spacing w:after="0" w:line="151" w:lineRule="exact"/>
        <w:rPr>
          <w:sz w:val="20"/>
          <w:szCs w:val="20"/>
          <w:color w:val="auto"/>
        </w:rPr>
      </w:pPr>
    </w:p>
    <w:p>
      <w:pPr>
        <w:ind w:right="40" w:firstLine="435"/>
        <w:spacing w:after="0" w:line="247" w:lineRule="auto"/>
        <w:rPr>
          <w:sz w:val="20"/>
          <w:szCs w:val="20"/>
          <w:color w:val="auto"/>
        </w:rPr>
      </w:pPr>
      <w:r>
        <w:rPr>
          <w:rFonts w:ascii="Times New Roman" w:cs="Times New Roman" w:eastAsia="Times New Roman" w:hAnsi="Times New Roman"/>
          <w:sz w:val="18"/>
          <w:szCs w:val="18"/>
          <w:color w:val="auto"/>
        </w:rPr>
        <w:t>The Company has also generated liquidity in the past, and may continue to do so in the future, through equity offerings and issuances, property refinancings, joint venture transactions and the sale of non-core assets. For example, the Company sold The Marketplace at Flagstaff in Flagstaff, Arizona on May 2, 2023, Superstition Springs Power Center in Mesa, Arizona on July 17, 2023, and the Company’s joint venture sold One Westside in Los Angeles, California on December 27, 2023. The Company used its share of proceeds from these transactions to pay down its line of credit and other debt obligations. During the year ended December 31, 2023, the Company and certain joint venture partners sold various land parcels in separate transactions for aggregate proceeds of $16.4 million (at the Company's share), which the Company used to pay down debt and for other general corporate purposes.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127" w:lineRule="exact"/>
        <w:rPr>
          <w:sz w:val="20"/>
          <w:szCs w:val="20"/>
          <w:color w:val="auto"/>
        </w:rPr>
      </w:pPr>
    </w:p>
    <w:p>
      <w:pPr>
        <w:ind w:right="100" w:firstLine="435"/>
        <w:spacing w:after="0" w:line="252" w:lineRule="auto"/>
        <w:rPr>
          <w:sz w:val="20"/>
          <w:szCs w:val="20"/>
          <w:color w:val="auto"/>
        </w:rPr>
      </w:pPr>
      <w:r>
        <w:rPr>
          <w:rFonts w:ascii="Times New Roman" w:cs="Times New Roman" w:eastAsia="Times New Roman" w:hAnsi="Times New Roman"/>
          <w:sz w:val="18"/>
          <w:szCs w:val="18"/>
          <w:color w:val="auto"/>
        </w:rPr>
        <w:t>On March 26, 2021, the Company registered an "at the market" offering program, pursuant to which the Company may issue and sell shares of its common stock having an aggregate offering price of up to $500 million under the ATM Program, in amounts and at times to be determined by the Company. During both the twelve months ended December 31, 2022 and 2023, no shares were issued under the ATM Program. As of December 31, 2023, the Company had approximately $151.7 million of gross sales of its common stock available under the ATM Program.</w:t>
      </w:r>
    </w:p>
    <w:p>
      <w:pPr>
        <w:spacing w:after="0" w:line="106"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w:t>
      </w:r>
    </w:p>
    <w:p>
      <w:pPr>
        <w:spacing w:after="0" w:line="119"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For example, the credit markets have experienced and may continue to experience a slowdown stemming from broader market issues pertaining to various factors, including among others, the health of regional banks, prevailing market sentiment regarding various commercial real estate sectors and interest rate increases imposed by the Federal Reserve. The Company expects to incur increased interest expense from the refinancing or extension of loans that may carry below-market interest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15"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rates. In addition, increases in the Company's proportion of floating rate debt will cause it to be subject to interest rate fluctuations in the future.</w:t>
      </w:r>
    </w:p>
    <w:p>
      <w:pPr>
        <w:spacing w:after="0" w:line="136" w:lineRule="exact"/>
        <w:rPr>
          <w:sz w:val="20"/>
          <w:szCs w:val="20"/>
          <w:color w:val="auto"/>
        </w:rPr>
      </w:pPr>
    </w:p>
    <w:p>
      <w:pPr>
        <w:ind w:right="160" w:firstLine="435"/>
        <w:spacing w:after="0" w:line="250" w:lineRule="auto"/>
        <w:rPr>
          <w:sz w:val="20"/>
          <w:szCs w:val="20"/>
          <w:color w:val="auto"/>
        </w:rPr>
      </w:pPr>
      <w:r>
        <w:rPr>
          <w:rFonts w:ascii="Times New Roman" w:cs="Times New Roman" w:eastAsia="Times New Roman" w:hAnsi="Times New Roman"/>
          <w:sz w:val="18"/>
          <w:szCs w:val="18"/>
          <w:color w:val="auto"/>
        </w:rPr>
        <w:t>The Company's total outstanding loan indebtedness, which includes mortgages and other notes payable, at December 31, 2023 was $6.92 billion (consisting of $4.23 billion of consolidated debt, less $0.16 billion of noncontrolling interests, plus $2.85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 (See “—Financing Activities” in Management’s Overview and Summary).</w:t>
      </w:r>
    </w:p>
    <w:p>
      <w:pPr>
        <w:spacing w:after="0" w:line="121" w:lineRule="exact"/>
        <w:rPr>
          <w:sz w:val="20"/>
          <w:szCs w:val="20"/>
          <w:color w:val="auto"/>
        </w:rPr>
      </w:pPr>
    </w:p>
    <w:p>
      <w:pPr>
        <w:ind w:right="40" w:firstLine="435"/>
        <w:spacing w:after="0" w:line="248" w:lineRule="auto"/>
        <w:rPr>
          <w:sz w:val="20"/>
          <w:szCs w:val="20"/>
          <w:color w:val="auto"/>
        </w:rPr>
      </w:pPr>
      <w:r>
        <w:rPr>
          <w:rFonts w:ascii="Times New Roman" w:cs="Times New Roman" w:eastAsia="Times New Roman" w:hAnsi="Times New Roman"/>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3" w:lineRule="exact"/>
        <w:rPr>
          <w:sz w:val="20"/>
          <w:szCs w:val="20"/>
          <w:color w:val="auto"/>
        </w:rPr>
      </w:pPr>
    </w:p>
    <w:p>
      <w:pPr>
        <w:jc w:val="both"/>
        <w:ind w:right="140" w:firstLine="435"/>
        <w:spacing w:after="0" w:line="332" w:lineRule="auto"/>
        <w:rPr>
          <w:sz w:val="20"/>
          <w:szCs w:val="20"/>
          <w:color w:val="auto"/>
        </w:rPr>
      </w:pPr>
      <w:r>
        <w:rPr>
          <w:rFonts w:ascii="Times New Roman" w:cs="Times New Roman" w:eastAsia="Times New Roman" w:hAnsi="Times New Roman"/>
          <w:sz w:val="16"/>
          <w:szCs w:val="16"/>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44" w:lineRule="exact"/>
        <w:rPr>
          <w:sz w:val="20"/>
          <w:szCs w:val="20"/>
          <w:color w:val="auto"/>
        </w:rPr>
      </w:pPr>
    </w:p>
    <w:p>
      <w:pPr>
        <w:ind w:right="180" w:firstLine="435"/>
        <w:spacing w:after="0" w:line="256" w:lineRule="auto"/>
        <w:rPr>
          <w:sz w:val="20"/>
          <w:szCs w:val="20"/>
          <w:color w:val="auto"/>
        </w:rPr>
      </w:pPr>
      <w:r>
        <w:rPr>
          <w:rFonts w:ascii="Times New Roman" w:cs="Times New Roman" w:eastAsia="Times New Roman" w:hAnsi="Times New Roman"/>
          <w:sz w:val="18"/>
          <w:szCs w:val="18"/>
          <w:color w:val="auto"/>
        </w:rPr>
        <w:t>Additionally, as of December 31, 2023, the Company was contingently liable for $41.0 million in letters of credit guaranteeing performance by the Company of certain obligations relating to the Centers. As of December 31, 2023, $40.8 million of these letters of credit were secured by restricted cash. The Company does not believe that these letters of credit will result in a liability to the Company.</w:t>
      </w:r>
    </w:p>
    <w:p>
      <w:pPr>
        <w:spacing w:after="0" w:line="115" w:lineRule="exact"/>
        <w:rPr>
          <w:sz w:val="20"/>
          <w:szCs w:val="20"/>
          <w:color w:val="auto"/>
        </w:rPr>
      </w:pPr>
    </w:p>
    <w:p>
      <w:pPr>
        <w:ind w:right="100" w:firstLine="435"/>
        <w:spacing w:after="0" w:line="289" w:lineRule="auto"/>
        <w:rPr>
          <w:sz w:val="20"/>
          <w:szCs w:val="20"/>
          <w:color w:val="auto"/>
        </w:rPr>
      </w:pPr>
      <w:r>
        <w:rPr>
          <w:rFonts w:ascii="Times New Roman" w:cs="Times New Roman" w:eastAsia="Times New Roman" w:hAnsi="Times New Roman"/>
          <w:sz w:val="16"/>
          <w:szCs w:val="16"/>
          <w:color w:val="auto"/>
        </w:rPr>
        <w:t>The Company continues to make progress addressing its near-term, non-recourse loan maturities, with seven completed transactions since the beginning of 2023. Since January 1, 2023, the Company has refinanced or extended seven loans totaling approximately $2.8 billion, or approximately $2.0 billion at the Company’s pro rata share. This includes the September 2023 entry into an amended and restated credit agreement, which provided for an aggregate $650 million revolving loan facility that matures on February 1, 2027, with a one-year extension option. For additional information on the Company’s financing transactions in the year 2023 through the date of this Annual Report on Form 10-K, see “Financing Activities” in Management’s Overview and Summary.</w:t>
      </w:r>
    </w:p>
    <w:p>
      <w:pPr>
        <w:spacing w:after="0" w:line="91" w:lineRule="exact"/>
        <w:rPr>
          <w:sz w:val="20"/>
          <w:szCs w:val="20"/>
          <w:color w:val="auto"/>
        </w:rPr>
      </w:pPr>
    </w:p>
    <w:p>
      <w:pPr>
        <w:ind w:firstLine="435"/>
        <w:spacing w:after="0" w:line="280" w:lineRule="auto"/>
        <w:rPr>
          <w:sz w:val="20"/>
          <w:szCs w:val="20"/>
          <w:color w:val="auto"/>
        </w:rPr>
      </w:pPr>
      <w:r>
        <w:rPr>
          <w:rFonts w:ascii="Times New Roman" w:cs="Times New Roman" w:eastAsia="Times New Roman" w:hAnsi="Times New Roman"/>
          <w:sz w:val="16"/>
          <w:szCs w:val="16"/>
          <w:color w:val="auto"/>
        </w:rPr>
        <w:t>Previously, the Company had a $525 million revolving loan facility, which was scheduled to mature on April 14, 2024. On September 11, 2023, the Company and the Operating Partnership entered into an amended and restated credit agreement, which amends and restates their prior credit agreement, and provides for an aggregate $650 million revolving loan facility that matures on February 1, 2027, with a one-year extension option. The revolving loan facility can be expanded up to $950 million, subject to receipt of lender commitments and other conditions. Concurrently with the entry into the amended and restated credit agreement, the Company drew $152 million of the amount available under the revolving loan facility and used the proceeds to repay in full amounts outstanding under its prior credit facility. All obligations under the credit facility are guaranteed unconditionally by the Company and are secured in the form of mortgages on certain wholly-owned assets and pledges of equity interests held by certain of the Company’s subsidiaries. The new credit facility bears interest, at the Operating Partnership’s option, at either the base rate (as defined in the credit agreement) or adjusted term SOFR (as defined in the credit agreement) plus, in both cases, an applicable margin. The applicable margin depends on the Company’s overall leverage ratio and ranges from 1.00% to 2.50% over the selected index rate. As of December 31, 2023, the borrowing rate was SOFR plus a spread of 2.35%. As of December 31, 2023, borrowings under the credit facility were $105.0 million less unamortized deferred finance costs of $15.5 million for the revolving loan facility at a total effective interest rate of 8.57%. As of December 31, 2023, the Company’s availability under the revolving loan facility for additional borrowings was $544.8 million.</w:t>
      </w:r>
    </w:p>
    <w:p>
      <w:pPr>
        <w:spacing w:after="0" w:line="300" w:lineRule="exact"/>
        <w:rPr>
          <w:sz w:val="20"/>
          <w:szCs w:val="20"/>
          <w:color w:val="auto"/>
        </w:rPr>
      </w:pPr>
    </w:p>
    <w:p>
      <w:pPr>
        <w:ind w:right="200" w:firstLine="435"/>
        <w:spacing w:after="0" w:line="269" w:lineRule="auto"/>
        <w:rPr>
          <w:sz w:val="20"/>
          <w:szCs w:val="20"/>
          <w:color w:val="auto"/>
        </w:rPr>
      </w:pPr>
      <w:r>
        <w:rPr>
          <w:rFonts w:ascii="Times New Roman" w:cs="Times New Roman" w:eastAsia="Times New Roman" w:hAnsi="Times New Roman"/>
          <w:sz w:val="18"/>
          <w:szCs w:val="18"/>
          <w:color w:val="auto"/>
        </w:rPr>
        <w:t>Cash dividends and distributions for the twelve months ended December 31, 2023 were $159.3 million (including distributions from consolidated joint ventures of $5.1 million), which were funded by operations.</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December 31, 2023, the Company was in compliance with all applicable loan covenants under its agreements.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December 31, 2023, the Company had cash and cash equivalents of $94.9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1" w:name="page52"/>
    <w:bookmarkEnd w:id="51"/>
    <w:p>
      <w:pPr>
        <w:ind w:left="400"/>
        <w:spacing w:after="0"/>
        <w:rPr>
          <w:sz w:val="20"/>
          <w:szCs w:val="20"/>
          <w:color w:val="auto"/>
        </w:rPr>
      </w:pPr>
      <w:r>
        <w:rPr>
          <w:rFonts w:ascii="Times New Roman" w:cs="Times New Roman" w:eastAsia="Times New Roman" w:hAnsi="Times New Roman"/>
          <w:sz w:val="18"/>
          <w:szCs w:val="18"/>
          <w:i w:val="1"/>
          <w:iCs w:val="1"/>
          <w:color w:val="auto"/>
        </w:rPr>
        <w:t>Material Cash Commitments:</w:t>
      </w:r>
    </w:p>
    <w:p>
      <w:pPr>
        <w:spacing w:after="0" w:line="138" w:lineRule="exact"/>
        <w:rPr>
          <w:sz w:val="20"/>
          <w:szCs w:val="20"/>
          <w:color w:val="auto"/>
        </w:rPr>
      </w:pPr>
    </w:p>
    <w:p>
      <w:pPr>
        <w:ind w:right="380" w:firstLine="435"/>
        <w:spacing w:after="0" w:line="269" w:lineRule="auto"/>
        <w:rPr>
          <w:sz w:val="20"/>
          <w:szCs w:val="20"/>
          <w:color w:val="auto"/>
        </w:rPr>
      </w:pPr>
      <w:r>
        <w:rPr>
          <w:rFonts w:ascii="Times New Roman" w:cs="Times New Roman" w:eastAsia="Times New Roman" w:hAnsi="Times New Roman"/>
          <w:sz w:val="18"/>
          <w:szCs w:val="18"/>
          <w:color w:val="auto"/>
        </w:rPr>
        <w:t>The following is a schedule of material cash commitments as of December 31, 2023 for the Consolidated Centers over the periods in which they are expected to be paid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Commitments</w:t>
            </w:r>
          </w:p>
        </w:tc>
        <w:tc>
          <w:tcPr>
            <w:tcW w:w="340" w:type="dxa"/>
            <w:vAlign w:val="bottom"/>
          </w:tcPr>
          <w:p>
            <w:pPr>
              <w:spacing w:after="0"/>
              <w:rPr>
                <w:sz w:val="11"/>
                <w:szCs w:val="11"/>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220" w:type="dxa"/>
            <w:vAlign w:val="bottom"/>
          </w:tcPr>
          <w:p>
            <w:pPr>
              <w:jc w:val="right"/>
              <w:ind w:right="379"/>
              <w:spacing w:after="0" w:line="127"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4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40" w:type="dxa"/>
            <w:vAlign w:val="bottom"/>
          </w:tcPr>
          <w:p>
            <w:pPr>
              <w:spacing w:after="0"/>
              <w:rPr>
                <w:sz w:val="11"/>
                <w:szCs w:val="11"/>
                <w:color w:val="auto"/>
              </w:rPr>
            </w:pPr>
          </w:p>
        </w:tc>
        <w:tc>
          <w:tcPr>
            <w:tcW w:w="1200" w:type="dxa"/>
            <w:vAlign w:val="bottom"/>
          </w:tcPr>
          <w:p>
            <w:pPr>
              <w:jc w:val="right"/>
              <w:ind w:right="339"/>
              <w:spacing w:after="0" w:line="127"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0"/>
        </w:trPr>
        <w:tc>
          <w:tcPr>
            <w:tcW w:w="29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78"/>
        </w:trPr>
        <w:tc>
          <w:tcPr>
            <w:tcW w:w="280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Long-term debt obligations (includes</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interest payments)(1)(2)</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990,900</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1,602,050</w:t>
            </w:r>
          </w:p>
        </w:tc>
        <w:tc>
          <w:tcPr>
            <w:tcW w:w="0" w:type="dxa"/>
            <w:vAlign w:val="bottom"/>
          </w:tcPr>
          <w:p>
            <w:pPr>
              <w:spacing w:after="0"/>
              <w:rPr>
                <w:sz w:val="1"/>
                <w:szCs w:val="1"/>
                <w:color w:val="auto"/>
              </w:rPr>
            </w:pPr>
          </w:p>
        </w:tc>
      </w:tr>
      <w:tr>
        <w:trPr>
          <w:trHeight w:val="224"/>
        </w:trPr>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obligations(3)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74,831</w:t>
            </w:r>
          </w:p>
        </w:tc>
        <w:tc>
          <w:tcPr>
            <w:tcW w:w="0" w:type="dxa"/>
            <w:vAlign w:val="bottom"/>
          </w:tcPr>
          <w:p>
            <w:pPr>
              <w:spacing w:after="0"/>
              <w:rPr>
                <w:sz w:val="1"/>
                <w:szCs w:val="1"/>
                <w:color w:val="auto"/>
              </w:rPr>
            </w:pPr>
          </w:p>
        </w:tc>
      </w:tr>
      <w:tr>
        <w:trPr>
          <w:trHeight w:val="242"/>
        </w:trPr>
        <w:tc>
          <w:tcPr>
            <w:tcW w:w="2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5,064,238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1,676,881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2" w:lineRule="exact"/>
        <w:rPr>
          <w:sz w:val="20"/>
          <w:szCs w:val="20"/>
          <w:color w:val="auto"/>
        </w:rPr>
      </w:pPr>
    </w:p>
    <w:p>
      <w:pPr>
        <w:ind w:left="800" w:hanging="399"/>
        <w:spacing w:after="0"/>
        <w:tabs>
          <w:tab w:leader="none" w:pos="8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floating rate debt were based on rates in effect at December 31, 2023.</w:t>
      </w:r>
    </w:p>
    <w:p>
      <w:pPr>
        <w:spacing w:after="0" w:line="6" w:lineRule="exact"/>
        <w:rPr>
          <w:rFonts w:ascii="Times New Roman" w:cs="Times New Roman" w:eastAsia="Times New Roman" w:hAnsi="Times New Roman"/>
          <w:sz w:val="16"/>
          <w:szCs w:val="16"/>
          <w:color w:val="auto"/>
        </w:rPr>
      </w:pPr>
    </w:p>
    <w:p>
      <w:pPr>
        <w:ind w:left="800" w:right="120" w:hanging="399"/>
        <w:spacing w:after="0" w:line="247" w:lineRule="auto"/>
        <w:tabs>
          <w:tab w:leader="none" w:pos="8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22, 2024, the Company repaid the majority of the mortgage loan on Fashion District Philadelphia. The remaining $8.2 million matures on April 21, 2024. On January 25, 2024, the Company replaced the existing $116.9 million mortgage loan on Danbury Fair Mall with a new $155.0 million loan that bears interest at a fixed rate of 6.39%, is interest only during the majority of the loan term and matures on February 6, 2034. (See “Financing Activity” in Management’s Overview and Summary).</w:t>
      </w:r>
    </w:p>
    <w:p>
      <w:pPr>
        <w:spacing w:after="0" w:line="2" w:lineRule="exact"/>
        <w:rPr>
          <w:rFonts w:ascii="Times New Roman" w:cs="Times New Roman" w:eastAsia="Times New Roman" w:hAnsi="Times New Roman"/>
          <w:sz w:val="16"/>
          <w:szCs w:val="16"/>
          <w:color w:val="auto"/>
        </w:rPr>
      </w:pPr>
    </w:p>
    <w:p>
      <w:pPr>
        <w:ind w:left="800" w:hanging="399"/>
        <w:spacing w:after="0"/>
        <w:tabs>
          <w:tab w:leader="none" w:pos="8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8—Leases in the Company's Notes to the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 ("FFO")</w:t>
      </w:r>
    </w:p>
    <w:p>
      <w:pPr>
        <w:spacing w:after="0" w:line="151" w:lineRule="exact"/>
        <w:rPr>
          <w:sz w:val="20"/>
          <w:szCs w:val="20"/>
          <w:color w:val="auto"/>
        </w:rPr>
      </w:pPr>
    </w:p>
    <w:p>
      <w:pPr>
        <w:ind w:right="20" w:firstLine="435"/>
        <w:spacing w:after="0" w:line="249" w:lineRule="auto"/>
        <w:rPr>
          <w:sz w:val="20"/>
          <w:szCs w:val="20"/>
          <w:color w:val="auto"/>
        </w:rPr>
      </w:pPr>
      <w:r>
        <w:rPr>
          <w:rFonts w:ascii="Times New Roman" w:cs="Times New Roman" w:eastAsia="Times New Roman" w:hAnsi="Times New Roman"/>
          <w:sz w:val="18"/>
          <w:szCs w:val="18"/>
          <w:color w:val="auto"/>
        </w:rPr>
        <w:t>The Company uses FFO in addition to net income to report its operating and financial results and considers FFO and FFO -diluted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21" w:lineRule="exact"/>
        <w:rPr>
          <w:sz w:val="20"/>
          <w:szCs w:val="20"/>
          <w:color w:val="auto"/>
        </w:rPr>
      </w:pPr>
    </w:p>
    <w:p>
      <w:pPr>
        <w:ind w:right="20" w:firstLine="435"/>
        <w:spacing w:after="0" w:line="278" w:lineRule="auto"/>
        <w:rPr>
          <w:sz w:val="20"/>
          <w:szCs w:val="20"/>
          <w:color w:val="auto"/>
        </w:rPr>
      </w:pPr>
      <w:r>
        <w:rPr>
          <w:rFonts w:ascii="Times New Roman" w:cs="Times New Roman" w:eastAsia="Times New Roman" w:hAnsi="Times New Roman"/>
          <w:sz w:val="16"/>
          <w:szCs w:val="16"/>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 On November 16, 2023, the Company acquired its joint venture partner’s 49.9% ownership interest in Freehold Raceway Mall and as a result, this property is no longer part of the financing arrangement and is 100% owned by the Company. (See Note 12 – Financing Arrangement and Note 15</w:t>
      </w:r>
    </w:p>
    <w:p>
      <w:pPr>
        <w:spacing w:after="0" w:line="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 Acquisitions in the Notes to the Consolidated Financial Statements). References to Chandler Freehold after November 16, 2023 shall be deemed to only refer to Chandler Fashion Center.</w:t>
      </w:r>
    </w:p>
    <w:p>
      <w:pPr>
        <w:spacing w:after="0" w:line="108" w:lineRule="exact"/>
        <w:rPr>
          <w:sz w:val="20"/>
          <w:szCs w:val="20"/>
          <w:color w:val="auto"/>
        </w:rPr>
      </w:pPr>
    </w:p>
    <w:p>
      <w:pPr>
        <w:ind w:right="120" w:firstLine="435"/>
        <w:spacing w:after="0" w:line="269" w:lineRule="auto"/>
        <w:rPr>
          <w:sz w:val="20"/>
          <w:szCs w:val="20"/>
          <w:color w:val="auto"/>
        </w:rPr>
      </w:pPr>
      <w:r>
        <w:rPr>
          <w:rFonts w:ascii="Times New Roman" w:cs="Times New Roman" w:eastAsia="Times New Roman" w:hAnsi="Times New Roman"/>
          <w:sz w:val="18"/>
          <w:szCs w:val="18"/>
          <w:color w:val="auto"/>
        </w:rPr>
        <w:t>The Company also presents FFO excluding financing expense in connection with Chandler Freehold, (gain) loss on extinguishment of debt and accrued default interest expense.</w:t>
      </w:r>
    </w:p>
    <w:p>
      <w:pPr>
        <w:spacing w:after="0" w:line="102" w:lineRule="exact"/>
        <w:rPr>
          <w:sz w:val="20"/>
          <w:szCs w:val="20"/>
          <w:color w:val="auto"/>
        </w:rPr>
      </w:pPr>
    </w:p>
    <w:p>
      <w:pPr>
        <w:ind w:firstLine="435"/>
        <w:spacing w:after="0" w:line="247" w:lineRule="auto"/>
        <w:rPr>
          <w:sz w:val="20"/>
          <w:szCs w:val="20"/>
          <w:color w:val="auto"/>
        </w:rPr>
      </w:pPr>
      <w:r>
        <w:rPr>
          <w:rFonts w:ascii="Times New Roman" w:cs="Times New Roman" w:eastAsia="Times New Roman" w:hAnsi="Times New Roman"/>
          <w:sz w:val="18"/>
          <w:szCs w:val="18"/>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more meaningful measure of its operating results in comparison to the operating results of other REITs. In addition, the Company believes that FFO excluding financing expense in connection with Chandler Freehold, and impact associated with extinguishment of debt and accrued default interest expense provides useful supplemental information regarding the Company’s performance as it shows a more meaningful and consistent comparison of the Company’s operating performance and allows investors to more easily compare the Company’s results. The default interest expense reflects the interest accruing on the nonrecourse loans associated with Fashion Outlets of Niagara Falls and Country Club Plaza. GAAP requires that the Company accrue these amounts, which are not expected to be paid and are expected to be reversed once a loan is modified or once title to the mortgage loan collateral is transferred.</w:t>
      </w:r>
    </w:p>
    <w:p>
      <w:pPr>
        <w:spacing w:after="0" w:line="125" w:lineRule="exact"/>
        <w:rPr>
          <w:sz w:val="20"/>
          <w:szCs w:val="20"/>
          <w:color w:val="auto"/>
        </w:rPr>
      </w:pPr>
    </w:p>
    <w:p>
      <w:pPr>
        <w:ind w:right="340" w:firstLine="435"/>
        <w:spacing w:after="0" w:line="269" w:lineRule="auto"/>
        <w:rPr>
          <w:sz w:val="20"/>
          <w:szCs w:val="20"/>
          <w:color w:val="auto"/>
        </w:rPr>
      </w:pPr>
      <w:r>
        <w:rPr>
          <w:rFonts w:ascii="Times New Roman" w:cs="Times New Roman" w:eastAsia="Times New Roman" w:hAnsi="Times New Roman"/>
          <w:sz w:val="18"/>
          <w:szCs w:val="18"/>
          <w:color w:val="auto"/>
        </w:rPr>
        <w:t>The Company believes that FFO does not represent cash flow from operations as defined by GAAP, should not be considered as an alternative to net income (loss) as defined by GAAP, and is not indicative of cash available to fund all cash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52" w:name="page53"/>
    <w:bookmarkEnd w:id="52"/>
    <w:p>
      <w:pPr>
        <w:ind w:right="280"/>
        <w:spacing w:after="0" w:line="269" w:lineRule="auto"/>
        <w:rPr>
          <w:sz w:val="20"/>
          <w:szCs w:val="20"/>
          <w:color w:val="auto"/>
        </w:rPr>
      </w:pPr>
      <w:r>
        <w:rPr>
          <w:rFonts w:ascii="Times New Roman" w:cs="Times New Roman" w:eastAsia="Times New Roman" w:hAnsi="Times New Roman"/>
          <w:sz w:val="18"/>
          <w:szCs w:val="18"/>
          <w:color w:val="auto"/>
        </w:rPr>
        <w:t>flow needs. The Company also cautions that FFO, as presented, may not be comparable to similarly titled measures reported by other real estate investment trusts.</w:t>
      </w:r>
    </w:p>
    <w:p>
      <w:pPr>
        <w:spacing w:after="0" w:line="89" w:lineRule="exact"/>
        <w:rPr>
          <w:sz w:val="20"/>
          <w:szCs w:val="20"/>
          <w:color w:val="auto"/>
        </w:rPr>
      </w:pPr>
    </w:p>
    <w:p>
      <w:pPr>
        <w:ind w:firstLine="435"/>
        <w:spacing w:after="0" w:line="248" w:lineRule="auto"/>
        <w:rPr>
          <w:sz w:val="20"/>
          <w:szCs w:val="20"/>
          <w:color w:val="auto"/>
        </w:rPr>
      </w:pPr>
      <w:r>
        <w:rPr>
          <w:rFonts w:ascii="Times New Roman" w:cs="Times New Roman" w:eastAsia="Times New Roman" w:hAnsi="Times New Roman"/>
          <w:sz w:val="18"/>
          <w:szCs w:val="18"/>
          <w:color w:val="auto"/>
        </w:rPr>
        <w:t>Management compensates for the limitations of FFO by providing investors with financial statements prepared according to GAAP, along with this detailed discussion of FFO and a reconciliation of net (loss) income to FFO and FFO—diluted. Management believes that to further understand the Company's performance, FFO should be compared with the Company's reported net (loss) income and considered in addition to cash flows in accordance with GAAP, as presented in the Company's consolidated financial statements. The following reconciles net (loss) income attributable to the Company to FFO and FFO— diluted attributable to common stockholders and unit holders—basic and diluted, excluding financing expense in connection with Chandler Freehold, (gain) loss on extinguishment of debt, net and accrued default interest expense for the years ended December 31, 2023, 2022, 2021, 2020 and 2019 (dollars and shares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53" w:name="page54"/>
    <w:bookmarkEnd w:id="53"/>
    <w:tbl>
      <w:tblPr>
        <w:tblLayout w:type="fixed"/>
        <w:tblInd w:w="44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
        </w:trPr>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the Company</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58"/>
        </w:trPr>
        <w:tc>
          <w:tcPr>
            <w:tcW w:w="48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Adjustments to reconcile net (loss) income attributable to the Company to</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FFO attributable to common stockholders and unit holders—basic and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sale or write down of consolidated assets,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remeasurement of consolidated assets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163,298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Add: gain on undepreciated asset sales or write-down from consolidated</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16,091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19,461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7,777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84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Less: loss on write-down of non-real estate sales or write-down of assets</w:t>
            </w:r>
          </w:p>
        </w:tc>
        <w:tc>
          <w:tcPr>
            <w:tcW w:w="2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Add: noncontrolling interests share of gain (loss) on sale or write-down</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6,287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9,732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assets—consolidated assets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84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Loss (gain) on sale or write down of assets—unconsolidated joint</w:t>
            </w: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136,377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19,397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ventures(1)</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Add: gain on sale of undepreciated assets—unconsolidated joint</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7,102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7,794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ventures(1)</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on consolidated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291,612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319,619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158"/>
        </w:trPr>
        <w:tc>
          <w:tcPr>
            <w:tcW w:w="484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Less: noncontrolling interests in depreciation and amortization—</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(11,938)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(21,592)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(29,239)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amortization—unconsolidated joint ventures(1)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176,303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199,680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depreciation on personal property</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40"/>
        </w:trPr>
        <w:tc>
          <w:tcPr>
            <w:tcW w:w="48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FFO attributable to common stockholders and unit holders—basic and</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431,112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404,632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423,145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475,930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 expense in connection with Chandler Freehold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32,902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40"/>
        </w:trPr>
        <w:tc>
          <w:tcPr>
            <w:tcW w:w="48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financing expense in connection with Chandler Freehold—basic and</w:t>
            </w: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404,801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437,534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422,190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339,505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extinguishment of debt, net—consolidated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default interest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4840" w:type="dxa"/>
            <w:vAlign w:val="bottom"/>
          </w:tcPr>
          <w:p>
            <w:pPr>
              <w:ind w:left="20"/>
              <w:spacing w:after="0" w:line="138" w:lineRule="exact"/>
              <w:rPr>
                <w:sz w:val="20"/>
                <w:szCs w:val="20"/>
                <w:color w:val="auto"/>
              </w:rPr>
            </w:pPr>
            <w:r>
              <w:rPr>
                <w:rFonts w:ascii="Times New Roman" w:cs="Times New Roman" w:eastAsia="Times New Roman" w:hAnsi="Times New Roman"/>
                <w:sz w:val="16"/>
                <w:szCs w:val="16"/>
                <w:color w:val="auto"/>
              </w:rPr>
              <w:t>FFO attributable to common stockholders and unit holders excluding</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financing expense in connection with Chandler Freehold, (gain) loss on</w:t>
            </w:r>
          </w:p>
        </w:tc>
        <w:tc>
          <w:tcPr>
            <w:tcW w:w="2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403,010</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437,534</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423,197</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339,505</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18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extinguishment of debt, net and accrued default interest expense—diluted</w:t>
            </w:r>
          </w:p>
        </w:tc>
        <w:tc>
          <w:tcPr>
            <w:tcW w:w="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FFO shares outstanding for:</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holders—basic(2)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156,920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60"/>
        </w:trPr>
        <w:tc>
          <w:tcPr>
            <w:tcW w:w="48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Adjustments for the impact of dilutive securities in computing FFO—</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and unit-based compensation plans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and unit holders—diluted(3)</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223,678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156,920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51" w:lineRule="exact"/>
        <w:rPr>
          <w:sz w:val="20"/>
          <w:szCs w:val="20"/>
          <w:color w:val="auto"/>
        </w:rPr>
      </w:pPr>
    </w:p>
    <w:p>
      <w:pPr>
        <w:ind w:left="800" w:hanging="399"/>
        <w:spacing w:after="0"/>
        <w:tabs>
          <w:tab w:leader="none" w:pos="8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Unconsolidated assets are presented at the Company's pro rata share.</w:t>
      </w:r>
    </w:p>
    <w:p>
      <w:pPr>
        <w:spacing w:after="0" w:line="145" w:lineRule="exact"/>
        <w:rPr>
          <w:rFonts w:ascii="Times New Roman" w:cs="Times New Roman" w:eastAsia="Times New Roman" w:hAnsi="Times New Roman"/>
          <w:sz w:val="16"/>
          <w:szCs w:val="16"/>
          <w:color w:val="auto"/>
        </w:rPr>
      </w:pPr>
    </w:p>
    <w:p>
      <w:pPr>
        <w:ind w:left="800" w:right="420" w:hanging="399"/>
        <w:spacing w:after="0" w:line="287" w:lineRule="auto"/>
        <w:tabs>
          <w:tab w:leader="none" w:pos="8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based upon basic net income as adjusted to reach basic FFO. During the years ended December 31, 2023, 2022, 2021, 2020 and 2019, there were 9.0 million, 8.6 million, 9.9 million, 10.7 million and 10.4 million OP Units outstanding, respectively.</w:t>
      </w:r>
    </w:p>
    <w:p>
      <w:pPr>
        <w:spacing w:after="0" w:line="86" w:lineRule="exact"/>
        <w:rPr>
          <w:rFonts w:ascii="Times New Roman" w:cs="Times New Roman" w:eastAsia="Times New Roman" w:hAnsi="Times New Roman"/>
          <w:sz w:val="16"/>
          <w:szCs w:val="16"/>
          <w:color w:val="auto"/>
        </w:rPr>
      </w:pPr>
    </w:p>
    <w:p>
      <w:pPr>
        <w:ind w:left="800" w:right="500" w:hanging="399"/>
        <w:spacing w:after="0" w:line="264" w:lineRule="auto"/>
        <w:tabs>
          <w:tab w:leader="none" w:pos="8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computation of FFO—diluted shares outstanding includes the effect of share and unit-based compensation plans and the convertible senior notes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50" w:right="239" w:bottom="1440" w:gutter="0" w:footer="0" w:header="0"/>
        </w:sectPr>
      </w:pPr>
    </w:p>
    <w:bookmarkStart w:id="54" w:name="page55"/>
    <w:bookmarkEnd w:id="54"/>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primary market risk exposure is interest rate risk. The Company has managed and will continue to manage interest rate risk by</w:t>
      </w:r>
    </w:p>
    <w:p>
      <w:pPr>
        <w:spacing w:after="0" w:line="21" w:lineRule="exact"/>
        <w:rPr>
          <w:sz w:val="20"/>
          <w:szCs w:val="20"/>
          <w:color w:val="auto"/>
        </w:rPr>
      </w:pPr>
    </w:p>
    <w:p>
      <w:pPr>
        <w:ind w:right="220" w:firstLine="5"/>
        <w:spacing w:after="0" w:line="245" w:lineRule="auto"/>
        <w:tabs>
          <w:tab w:leader="none" w:pos="2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25" w:lineRule="exact"/>
        <w:rPr>
          <w:sz w:val="20"/>
          <w:szCs w:val="20"/>
          <w:color w:val="auto"/>
        </w:rPr>
      </w:pPr>
    </w:p>
    <w:p>
      <w:pPr>
        <w:ind w:right="40" w:firstLine="435"/>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2023 concerning the Company's long term debt obligations, including principal cash flows by scheduled maturity, weighted average interest rates and estimated fair value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Expected Maturity Date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years ending December 31,</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7"/>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CENTERS: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debt: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rate(1)</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739,859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608,383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538,780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378,336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1,519,423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3,786,463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3,494,872</w:t>
            </w:r>
          </w:p>
        </w:tc>
        <w:tc>
          <w:tcPr>
            <w:tcW w:w="0" w:type="dxa"/>
            <w:vAlign w:val="bottom"/>
          </w:tcPr>
          <w:p>
            <w:pPr>
              <w:spacing w:after="0"/>
              <w:rPr>
                <w:sz w:val="1"/>
                <w:szCs w:val="1"/>
                <w:color w:val="auto"/>
              </w:rPr>
            </w:pPr>
          </w:p>
        </w:tc>
      </w:tr>
      <w:tr>
        <w:trPr>
          <w:trHeight w:val="190"/>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Floating rate(2)</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70,820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105,000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475,820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480,110</w:t>
            </w:r>
          </w:p>
        </w:tc>
        <w:tc>
          <w:tcPr>
            <w:tcW w:w="0" w:type="dxa"/>
            <w:vAlign w:val="bottom"/>
          </w:tcPr>
          <w:p>
            <w:pPr>
              <w:spacing w:after="0"/>
              <w:rPr>
                <w:sz w:val="1"/>
                <w:szCs w:val="1"/>
                <w:color w:val="auto"/>
              </w:rPr>
            </w:pPr>
          </w:p>
        </w:tc>
      </w:tr>
      <w:tr>
        <w:trPr>
          <w:trHeight w:val="191"/>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6"/>
                <w:szCs w:val="16"/>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debt—Consolidated Centers</w:t>
            </w: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810,679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908,383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538,780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483,336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1,519,423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4,262,283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3,974,982</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UNCONSOLIDATED JOINT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1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VENTURE CENTERS: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1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Long term debt (at the Company's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 rata share):</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42,046</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243,253</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780,794</w:t>
            </w:r>
          </w:p>
        </w:tc>
        <w:tc>
          <w:tcPr>
            <w:tcW w:w="100" w:type="dxa"/>
            <w:vAlign w:val="bottom"/>
          </w:tcPr>
          <w:p>
            <w:pPr>
              <w:spacing w:after="0"/>
              <w:rPr>
                <w:sz w:val="16"/>
                <w:szCs w:val="16"/>
                <w:color w:val="auto"/>
              </w:rPr>
            </w:pPr>
          </w:p>
        </w:tc>
        <w:tc>
          <w:tcPr>
            <w:tcW w:w="22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386,587</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1,023,872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346,928</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2,823,480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2,649,330</w:t>
            </w: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Floating rate(3)</w:t>
            </w:r>
          </w:p>
        </w:tc>
        <w:tc>
          <w:tcPr>
            <w:tcW w:w="20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32,500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45,220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46,626</w:t>
            </w: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Average interest rate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14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debt—Unconsolidated Joint</w:t>
            </w:r>
          </w:p>
        </w:tc>
        <w:tc>
          <w:tcPr>
            <w:tcW w:w="20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53,546</w:t>
            </w:r>
          </w:p>
        </w:tc>
        <w:tc>
          <w:tcPr>
            <w:tcW w:w="10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243,253</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813,294</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386,808</w:t>
            </w:r>
          </w:p>
        </w:tc>
        <w:tc>
          <w:tcPr>
            <w:tcW w:w="12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1,024,871</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346,928</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2,868,700</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2,695,956</w:t>
            </w:r>
          </w:p>
        </w:tc>
        <w:tc>
          <w:tcPr>
            <w:tcW w:w="0" w:type="dxa"/>
            <w:vAlign w:val="bottom"/>
          </w:tcPr>
          <w:p>
            <w:pPr>
              <w:spacing w:after="0"/>
              <w:rPr>
                <w:sz w:val="1"/>
                <w:szCs w:val="1"/>
                <w:color w:val="auto"/>
              </w:rPr>
            </w:pPr>
          </w:p>
        </w:tc>
      </w:tr>
      <w:tr>
        <w:trPr>
          <w:trHeight w:val="172"/>
        </w:trPr>
        <w:tc>
          <w:tcPr>
            <w:tcW w:w="2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Venture Centers</w:t>
            </w:r>
          </w:p>
        </w:tc>
        <w:tc>
          <w:tcPr>
            <w:tcW w:w="2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51" w:lineRule="exact"/>
        <w:rPr>
          <w:sz w:val="20"/>
          <w:szCs w:val="20"/>
          <w:color w:val="auto"/>
        </w:rPr>
      </w:pPr>
    </w:p>
    <w:p>
      <w:pPr>
        <w:ind w:left="800" w:right="240" w:hanging="399"/>
        <w:spacing w:after="0" w:line="243" w:lineRule="auto"/>
        <w:tabs>
          <w:tab w:leader="none" w:pos="8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25, 2024, the Company replaced the existing $116.9 million mortgage loan on Danbury Fair Mall with a new $155.0 million, ten-year, fixed rate loan (See “Financing Activity” in Management’s Overview and Summary).</w:t>
      </w:r>
    </w:p>
    <w:p>
      <w:pPr>
        <w:spacing w:after="0" w:line="1" w:lineRule="exact"/>
        <w:rPr>
          <w:rFonts w:ascii="Times New Roman" w:cs="Times New Roman" w:eastAsia="Times New Roman" w:hAnsi="Times New Roman"/>
          <w:sz w:val="16"/>
          <w:szCs w:val="16"/>
          <w:color w:val="auto"/>
        </w:rPr>
      </w:pPr>
    </w:p>
    <w:p>
      <w:pPr>
        <w:ind w:left="800" w:hanging="399"/>
        <w:spacing w:after="0" w:line="223" w:lineRule="auto"/>
        <w:tabs>
          <w:tab w:leader="none" w:pos="8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22, 2024, the Company repaid the majority of the mortgage loan on Fashion District Philadelphia. The remaining $8.2 million matures on April 21, 2024 (See “Financing Activity” in Management’s Overview and Summary).</w:t>
      </w:r>
    </w:p>
    <w:p>
      <w:pPr>
        <w:ind w:left="800" w:right="120" w:hanging="399"/>
        <w:spacing w:after="0" w:line="246" w:lineRule="auto"/>
        <w:tabs>
          <w:tab w:leader="none" w:pos="8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10, 2024, the Company's joint venture in Boulevard Shops replaced the existing $23.0 million mortgage loan on the property with a new $24.0 million, five-year, floating rate loan (See "Financing Activity" in Management's Overview and Summary).</w:t>
      </w:r>
    </w:p>
    <w:p>
      <w:pPr>
        <w:spacing w:after="0" w:line="114" w:lineRule="exact"/>
        <w:rPr>
          <w:sz w:val="20"/>
          <w:szCs w:val="20"/>
          <w:color w:val="auto"/>
        </w:rPr>
      </w:pPr>
    </w:p>
    <w:p>
      <w:pPr>
        <w:ind w:right="80" w:firstLine="435"/>
        <w:spacing w:after="0" w:line="252" w:lineRule="auto"/>
        <w:rPr>
          <w:sz w:val="20"/>
          <w:szCs w:val="20"/>
          <w:color w:val="auto"/>
        </w:rPr>
      </w:pPr>
      <w:r>
        <w:rPr>
          <w:rFonts w:ascii="Times New Roman" w:cs="Times New Roman" w:eastAsia="Times New Roman" w:hAnsi="Times New Roman"/>
          <w:sz w:val="18"/>
          <w:szCs w:val="18"/>
          <w:color w:val="auto"/>
        </w:rPr>
        <w:t>The Consolidated Centers' total fixed rate debt at December 31, 2023 and 2022 was $3.8 billion and $3.7 billion, respectively. The average interest rate on such fixed rate debt at December 31, 2023 and 2022 was 4.29% and 4.01%, respectively. The Consolidated Centers' total floating rate debt at December 31, 2023 and 2022 was $0.5 billion and $0.7 billion, respectively. The average interest rate on such floating rate debt at December 31, 2023 and 2022 was 7.43% and 6.53%, respectively.</w:t>
      </w:r>
    </w:p>
    <w:p>
      <w:pPr>
        <w:spacing w:after="0" w:line="119" w:lineRule="exact"/>
        <w:rPr>
          <w:sz w:val="20"/>
          <w:szCs w:val="20"/>
          <w:color w:val="auto"/>
        </w:rPr>
      </w:pPr>
    </w:p>
    <w:p>
      <w:pPr>
        <w:ind w:right="100" w:firstLine="435"/>
        <w:spacing w:after="0" w:line="252" w:lineRule="auto"/>
        <w:rPr>
          <w:sz w:val="20"/>
          <w:szCs w:val="20"/>
          <w:color w:val="auto"/>
        </w:rPr>
      </w:pPr>
      <w:r>
        <w:rPr>
          <w:rFonts w:ascii="Times New Roman" w:cs="Times New Roman" w:eastAsia="Times New Roman" w:hAnsi="Times New Roman"/>
          <w:sz w:val="18"/>
          <w:szCs w:val="18"/>
          <w:color w:val="auto"/>
        </w:rPr>
        <w:t>The Company's pro rata share of the Unconsolidated Joint Venture Centers' fixed rate debt at December 31, 2023 and 2022 was $2.8 billion and $2.7 billion, respectively. The average interest rate on such fixed rate debt at December 31, 2023 and 2022 was 5.06% and 4.46%, respectively. The Company's pro rata share of the Unconsolidated Joint Venture Centers' floating rate debt at December 31, 2023 and 2022 was $45.2 million and $90.7 million, respectively. The average interest rate on such floating rate debt at December 31, 2023 and 2022 was 9.00% and 5.81%, respectively.</w:t>
      </w:r>
    </w:p>
    <w:p>
      <w:pPr>
        <w:spacing w:after="0" w:line="106" w:lineRule="exact"/>
        <w:rPr>
          <w:sz w:val="20"/>
          <w:szCs w:val="20"/>
          <w:color w:val="auto"/>
        </w:rPr>
      </w:pPr>
    </w:p>
    <w:p>
      <w:pPr>
        <w:ind w:right="40" w:firstLine="435"/>
        <w:spacing w:after="0" w:line="248" w:lineRule="auto"/>
        <w:rPr>
          <w:sz w:val="20"/>
          <w:szCs w:val="20"/>
          <w:color w:val="auto"/>
        </w:rPr>
      </w:pPr>
      <w:r>
        <w:rPr>
          <w:rFonts w:ascii="Times New Roman" w:cs="Times New Roman" w:eastAsia="Times New Roman" w:hAnsi="Times New Roman"/>
          <w:sz w:val="18"/>
          <w:szCs w:val="18"/>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December 31, 2023, the Company has interest rate cap agreements in place (See Note 4—Investments in Unconsolidated Joint Ventures and Note 5— Derivative Instruments and Hedging Activities in the Company's Notes to the Consolidated Financial Statements). The respective loans each require an interest rate cap agreement to be in place at all times, which limits how high the prevailing floating loan rate index (i.e., SOFR) for the loans can rise. As of the date of this Annual Report on Form 10-K, SOFR for each of these loans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55" w:name="page56"/>
    <w:bookmarkEnd w:id="55"/>
    <w:p>
      <w:pPr>
        <w:ind w:right="20"/>
        <w:spacing w:after="0" w:line="256" w:lineRule="auto"/>
        <w:rPr>
          <w:sz w:val="20"/>
          <w:szCs w:val="20"/>
          <w:color w:val="auto"/>
        </w:rPr>
      </w:pPr>
      <w:r>
        <w:rPr>
          <w:rFonts w:ascii="Times New Roman" w:cs="Times New Roman" w:eastAsia="Times New Roman" w:hAnsi="Times New Roman"/>
          <w:sz w:val="18"/>
          <w:szCs w:val="18"/>
          <w:color w:val="auto"/>
        </w:rPr>
        <w:t>exceeded the strike interest rate (the "Strike Rate") within the required interest rate cap agreement. If SOFR does exceed the Strike Rate, each of these loans would then be considered fixed rate debt. If SOFR for these respective loans thereafter no longer exceeds the Strike Rate, then these loans would once again be considered floating rate debt.</w:t>
      </w:r>
    </w:p>
    <w:p>
      <w:pPr>
        <w:spacing w:after="0" w:line="102" w:lineRule="exact"/>
        <w:rPr>
          <w:sz w:val="20"/>
          <w:szCs w:val="20"/>
          <w:color w:val="auto"/>
        </w:rPr>
      </w:pPr>
    </w:p>
    <w:p>
      <w:pPr>
        <w:ind w:right="320" w:firstLine="435"/>
        <w:spacing w:after="0" w:line="269" w:lineRule="auto"/>
        <w:rPr>
          <w:sz w:val="20"/>
          <w:szCs w:val="20"/>
          <w:color w:val="auto"/>
        </w:rPr>
      </w:pPr>
      <w:r>
        <w:rPr>
          <w:rFonts w:ascii="Times New Roman" w:cs="Times New Roman" w:eastAsia="Times New Roman" w:hAnsi="Times New Roman"/>
          <w:sz w:val="18"/>
          <w:szCs w:val="18"/>
          <w:color w:val="auto"/>
        </w:rPr>
        <w:t>In addition, the Company has assessed the market risk for its floating rate debt and believes that a 1% increase in interest rates would decrease future earnings and cash flows by approximately $5.2 million per year based on $521.0 million of floating rate debt outstanding at December 31, 2023.</w:t>
      </w:r>
    </w:p>
    <w:p>
      <w:pPr>
        <w:spacing w:after="0" w:line="102" w:lineRule="exact"/>
        <w:rPr>
          <w:sz w:val="20"/>
          <w:szCs w:val="20"/>
          <w:color w:val="auto"/>
        </w:rPr>
      </w:pPr>
    </w:p>
    <w:p>
      <w:pPr>
        <w:ind w:right="160" w:firstLine="435"/>
        <w:spacing w:after="0" w:line="252" w:lineRule="auto"/>
        <w:rPr>
          <w:sz w:val="20"/>
          <w:szCs w:val="20"/>
          <w:color w:val="auto"/>
        </w:rPr>
      </w:pPr>
      <w:r>
        <w:rPr>
          <w:rFonts w:ascii="Times New Roman" w:cs="Times New Roman" w:eastAsia="Times New Roman" w:hAnsi="Times New Roman"/>
          <w:sz w:val="18"/>
          <w:szCs w:val="18"/>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the Financial Statements and Financial Statement Schedules for the required information appearing in Item 15.</w:t>
      </w:r>
    </w:p>
    <w:p>
      <w:pPr>
        <w:spacing w:after="0" w:line="14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3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Conclusion Regarding Effectiveness of Disclosure Controls and Procedures</w:t>
      </w:r>
    </w:p>
    <w:p>
      <w:pPr>
        <w:spacing w:after="0" w:line="151" w:lineRule="exact"/>
        <w:rPr>
          <w:sz w:val="20"/>
          <w:szCs w:val="20"/>
          <w:color w:val="auto"/>
        </w:rPr>
      </w:pPr>
    </w:p>
    <w:p>
      <w:pPr>
        <w:ind w:firstLine="435"/>
        <w:spacing w:after="0" w:line="247" w:lineRule="auto"/>
        <w:rPr>
          <w:sz w:val="20"/>
          <w:szCs w:val="20"/>
          <w:color w:val="auto"/>
        </w:rPr>
      </w:pPr>
      <w:r>
        <w:rPr>
          <w:rFonts w:ascii="Times New Roman" w:cs="Times New Roman" w:eastAsia="Times New Roman" w:hAnsi="Times New Roman"/>
          <w:sz w:val="18"/>
          <w:szCs w:val="18"/>
          <w:color w:val="auto"/>
        </w:rPr>
        <w:t>As required by Rule 13a-15(b) under the Securities and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Annual Report on Form 10-K. Based on their evaluation as of December 31, 2023,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51" w:lineRule="exact"/>
        <w:rPr>
          <w:sz w:val="20"/>
          <w:szCs w:val="20"/>
          <w:color w:val="auto"/>
        </w:rPr>
      </w:pPr>
    </w:p>
    <w:p>
      <w:pPr>
        <w:ind w:right="100" w:firstLine="435"/>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 13a-15(f) under the Exchange Act). The Company's management assessed the effectiveness of the Company's internal control over financial reporting as of December 31, 2023. In making this assessment, the Company's management used the criteria set forth by the Committee of Sponsoring Organizations of the Treadway Commission in Internal Control—Integrated Framework (2013). The Company's management concluded that, as of December 31, 2023, its internal control over financial reporting was effective based on this assessment.</w:t>
      </w:r>
    </w:p>
    <w:p>
      <w:pPr>
        <w:spacing w:after="0" w:line="121" w:lineRule="exact"/>
        <w:rPr>
          <w:sz w:val="20"/>
          <w:szCs w:val="20"/>
          <w:color w:val="auto"/>
        </w:rPr>
      </w:pPr>
    </w:p>
    <w:p>
      <w:pPr>
        <w:ind w:right="500" w:firstLine="435"/>
        <w:spacing w:after="0" w:line="269"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the Company's 2023 consolidated financial statements included in this Annual Report on Form 10-K, has issued a report on the Company's internal control over financial reporting which follows below.</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51" w:lineRule="exact"/>
        <w:rPr>
          <w:sz w:val="20"/>
          <w:szCs w:val="20"/>
          <w:color w:val="auto"/>
        </w:rPr>
      </w:pPr>
    </w:p>
    <w:p>
      <w:pPr>
        <w:ind w:right="440" w:firstLine="435"/>
        <w:spacing w:after="0" w:line="269"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December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38" w:lineRule="exact"/>
        <w:rPr>
          <w:sz w:val="20"/>
          <w:szCs w:val="20"/>
          <w:color w:val="auto"/>
        </w:rPr>
      </w:pPr>
    </w:p>
    <w:p>
      <w:pPr>
        <w:ind w:right="120" w:firstLine="435"/>
        <w:spacing w:after="0" w:line="294" w:lineRule="auto"/>
        <w:rPr>
          <w:sz w:val="20"/>
          <w:szCs w:val="20"/>
          <w:color w:val="auto"/>
        </w:rPr>
      </w:pPr>
      <w:r>
        <w:rPr>
          <w:rFonts w:ascii="Times New Roman" w:cs="Times New Roman" w:eastAsia="Times New Roman" w:hAnsi="Times New Roman"/>
          <w:sz w:val="16"/>
          <w:szCs w:val="16"/>
          <w:color w:val="auto"/>
        </w:rPr>
        <w:t>We have audited The Macerich Company and subsidiaries’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spacing w:after="0" w:line="87" w:lineRule="exact"/>
        <w:rPr>
          <w:sz w:val="20"/>
          <w:szCs w:val="20"/>
          <w:color w:val="auto"/>
        </w:rPr>
      </w:pPr>
    </w:p>
    <w:p>
      <w:pPr>
        <w:ind w:right="40" w:firstLine="435"/>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(loss) income, equity, and cash flows for each of the years in the three-year period ended December 31, 2023, and the related notes and financial statement Schedule III - Real Estate and Accumulated Depreciation (collectively, the consolidated financial statements), and our report dated February 26, 2024 expressed an unqualified opinion on those consolidated financial statements.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38"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38" w:lineRule="exact"/>
        <w:rPr>
          <w:sz w:val="20"/>
          <w:szCs w:val="20"/>
          <w:color w:val="auto"/>
        </w:rPr>
      </w:pPr>
    </w:p>
    <w:p>
      <w:pPr>
        <w:ind w:firstLine="435"/>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6" w:lineRule="exact"/>
        <w:rPr>
          <w:sz w:val="20"/>
          <w:szCs w:val="20"/>
          <w:color w:val="auto"/>
        </w:rPr>
      </w:pPr>
    </w:p>
    <w:p>
      <w:pPr>
        <w:ind w:right="20" w:firstLine="435"/>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57" w:name="page58"/>
    <w:bookmarkEnd w:id="57"/>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38" w:lineRule="exact"/>
        <w:rPr>
          <w:sz w:val="20"/>
          <w:szCs w:val="20"/>
          <w:color w:val="auto"/>
        </w:rPr>
      </w:pPr>
    </w:p>
    <w:p>
      <w:pPr>
        <w:jc w:val="both"/>
        <w:ind w:right="160" w:firstLine="435"/>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31, 2023,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51" w:lineRule="exact"/>
        <w:rPr>
          <w:sz w:val="20"/>
          <w:szCs w:val="20"/>
          <w:color w:val="auto"/>
        </w:rPr>
      </w:pPr>
    </w:p>
    <w:p>
      <w:pPr>
        <w:ind w:right="880" w:firstLine="435"/>
        <w:spacing w:after="0" w:line="269" w:lineRule="auto"/>
        <w:rPr>
          <w:sz w:val="20"/>
          <w:szCs w:val="20"/>
          <w:color w:val="auto"/>
        </w:rPr>
      </w:pPr>
      <w:r>
        <w:rPr>
          <w:rFonts w:ascii="Times New Roman" w:cs="Times New Roman" w:eastAsia="Times New Roman" w:hAnsi="Times New Roman"/>
          <w:sz w:val="18"/>
          <w:szCs w:val="18"/>
          <w:color w:val="auto"/>
        </w:rPr>
        <w:t>The information required by Item 10 will be included in the Company’s definitive proxy statement to be filed for its 2024 Annual Meeting of Stockholders and is incorporated by reference herein.</w:t>
      </w:r>
    </w:p>
    <w:p>
      <w:pPr>
        <w:spacing w:after="0" w:line="89" w:lineRule="exact"/>
        <w:rPr>
          <w:sz w:val="20"/>
          <w:szCs w:val="20"/>
          <w:color w:val="auto"/>
        </w:rPr>
      </w:pPr>
    </w:p>
    <w:p>
      <w:pPr>
        <w:ind w:firstLine="435"/>
        <w:spacing w:after="0" w:line="282" w:lineRule="auto"/>
        <w:rPr>
          <w:sz w:val="20"/>
          <w:szCs w:val="20"/>
          <w:color w:val="auto"/>
        </w:rPr>
      </w:pPr>
      <w:r>
        <w:rPr>
          <w:rFonts w:ascii="Times New Roman" w:cs="Times New Roman" w:eastAsia="Times New Roman" w:hAnsi="Times New Roman"/>
          <w:sz w:val="16"/>
          <w:szCs w:val="16"/>
          <w:color w:val="auto"/>
        </w:rPr>
        <w:t xml:space="preserve">The Company has adopted a Code of Business Conduct and Ethics that provides principles of conduct and ethics for its directors, officers and employees. This Code complies with the requirements of the Sarbanes-Oxley Act of 2002 and applicable rules of the Securities and Exchange Commission and the New York Stock Exchange. In addition, the Company has adopted a Code of Ethics for CEO and Senior Financial Officers which supplements the Code of Business Conduct and Ethics applicable to all employees and complies with the additional requirements of the Sarbanes-Oxley Act of 2002 and applicable rules of the Securities and Exchange Commission for those officers. To the extent required by applicable rules of the Securities and Exchange Commission and the New York Stock Exchange, the Company intends to promptly disclose future amendments to certain provisions of these Codes or waivers of such provisions granted to directors and executive officers, including the Company’s principal executive officer, principal financial officer, principal accounting officer or persons performing similar functions, on the Company’s website at </w:t>
      </w:r>
      <w:r>
        <w:rPr>
          <w:rFonts w:ascii="Times New Roman" w:cs="Times New Roman" w:eastAsia="Times New Roman" w:hAnsi="Times New Roman"/>
          <w:sz w:val="16"/>
          <w:szCs w:val="16"/>
          <w:i w:val="1"/>
          <w:iCs w:val="1"/>
          <w:color w:val="auto"/>
        </w:rPr>
        <w:t>www.macerich.com</w:t>
      </w:r>
      <w:r>
        <w:rPr>
          <w:rFonts w:ascii="Times New Roman" w:cs="Times New Roman" w:eastAsia="Times New Roman" w:hAnsi="Times New Roman"/>
          <w:sz w:val="16"/>
          <w:szCs w:val="16"/>
          <w:color w:val="auto"/>
        </w:rPr>
        <w:t xml:space="preserve"> under "Investors—Corporate Governance—Code of Ethics." Each of these Codes of Conduct is available on the Company’s website at </w:t>
      </w:r>
      <w:r>
        <w:rPr>
          <w:rFonts w:ascii="Times New Roman" w:cs="Times New Roman" w:eastAsia="Times New Roman" w:hAnsi="Times New Roman"/>
          <w:sz w:val="16"/>
          <w:szCs w:val="16"/>
          <w:i w:val="1"/>
          <w:iCs w:val="1"/>
          <w:color w:val="auto"/>
        </w:rPr>
        <w:t>www.macerich.com</w:t>
      </w:r>
      <w:r>
        <w:rPr>
          <w:rFonts w:ascii="Times New Roman" w:cs="Times New Roman" w:eastAsia="Times New Roman" w:hAnsi="Times New Roman"/>
          <w:sz w:val="16"/>
          <w:szCs w:val="16"/>
          <w:color w:val="auto"/>
        </w:rPr>
        <w:t xml:space="preserve"> under "Investors—Corporate Governance."</w:t>
      </w:r>
    </w:p>
    <w:p>
      <w:pPr>
        <w:spacing w:after="0" w:line="96" w:lineRule="exact"/>
        <w:rPr>
          <w:sz w:val="20"/>
          <w:szCs w:val="20"/>
          <w:color w:val="auto"/>
        </w:rPr>
      </w:pPr>
    </w:p>
    <w:p>
      <w:pPr>
        <w:ind w:right="440" w:firstLine="435"/>
        <w:spacing w:after="0" w:line="269" w:lineRule="auto"/>
        <w:rPr>
          <w:sz w:val="20"/>
          <w:szCs w:val="20"/>
          <w:color w:val="auto"/>
        </w:rPr>
      </w:pPr>
      <w:r>
        <w:rPr>
          <w:rFonts w:ascii="Times New Roman" w:cs="Times New Roman" w:eastAsia="Times New Roman" w:hAnsi="Times New Roman"/>
          <w:sz w:val="18"/>
          <w:szCs w:val="18"/>
          <w:color w:val="auto"/>
        </w:rPr>
        <w:t>During 2023, there were no material changes to the procedures described in the Company's proxy statement relating to the 2024 Annual Meeting of Stockholders by which stockholders may recommend director nominees to the Company.</w:t>
      </w:r>
    </w:p>
    <w:p>
      <w:pPr>
        <w:spacing w:after="0" w:line="10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38" w:lineRule="exact"/>
        <w:rPr>
          <w:sz w:val="20"/>
          <w:szCs w:val="20"/>
          <w:color w:val="auto"/>
        </w:rPr>
      </w:pPr>
    </w:p>
    <w:p>
      <w:pPr>
        <w:ind w:right="900" w:firstLine="435"/>
        <w:spacing w:after="0" w:line="269" w:lineRule="auto"/>
        <w:rPr>
          <w:sz w:val="20"/>
          <w:szCs w:val="20"/>
          <w:color w:val="auto"/>
        </w:rPr>
      </w:pPr>
      <w:r>
        <w:rPr>
          <w:rFonts w:ascii="Times New Roman" w:cs="Times New Roman" w:eastAsia="Times New Roman" w:hAnsi="Times New Roman"/>
          <w:sz w:val="18"/>
          <w:szCs w:val="18"/>
          <w:color w:val="auto"/>
        </w:rPr>
        <w:t>The information required by Item 11 will be included in the Company’s definitive proxy statement to be filed for its 2024 Annual Meeting of Stockholders and is incorporated by reference herein.</w:t>
      </w:r>
    </w:p>
    <w:p>
      <w:pPr>
        <w:spacing w:after="0" w:line="100"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1" w:lineRule="exact"/>
        <w:rPr>
          <w:sz w:val="20"/>
          <w:szCs w:val="20"/>
          <w:color w:val="auto"/>
        </w:rPr>
      </w:pPr>
    </w:p>
    <w:p>
      <w:pPr>
        <w:ind w:right="880" w:firstLine="435"/>
        <w:spacing w:after="0" w:line="269" w:lineRule="auto"/>
        <w:rPr>
          <w:sz w:val="20"/>
          <w:szCs w:val="20"/>
          <w:color w:val="auto"/>
        </w:rPr>
      </w:pPr>
      <w:r>
        <w:rPr>
          <w:rFonts w:ascii="Times New Roman" w:cs="Times New Roman" w:eastAsia="Times New Roman" w:hAnsi="Times New Roman"/>
          <w:sz w:val="18"/>
          <w:szCs w:val="18"/>
          <w:color w:val="auto"/>
        </w:rPr>
        <w:t>The information required by Item 12 will be included in the Company’s definitive proxy statement to be filed for its 2024 Annual Meeting of Stockholders and is incorporated by reference herein.</w:t>
      </w:r>
    </w:p>
    <w:p>
      <w:pPr>
        <w:spacing w:after="0" w:line="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51" w:lineRule="exact"/>
        <w:rPr>
          <w:sz w:val="20"/>
          <w:szCs w:val="20"/>
          <w:color w:val="auto"/>
        </w:rPr>
      </w:pPr>
    </w:p>
    <w:p>
      <w:pPr>
        <w:ind w:right="880" w:firstLine="435"/>
        <w:spacing w:after="0" w:line="269" w:lineRule="auto"/>
        <w:rPr>
          <w:sz w:val="20"/>
          <w:szCs w:val="20"/>
          <w:color w:val="auto"/>
        </w:rPr>
      </w:pPr>
      <w:r>
        <w:rPr>
          <w:rFonts w:ascii="Times New Roman" w:cs="Times New Roman" w:eastAsia="Times New Roman" w:hAnsi="Times New Roman"/>
          <w:sz w:val="18"/>
          <w:szCs w:val="18"/>
          <w:color w:val="auto"/>
        </w:rPr>
        <w:t>The information required by Item 13 will be included in the Company’s definitive proxy statement to be filed for its 2024 Annual Meeting of Stockholders and is incorporated by reference herein.</w:t>
      </w:r>
    </w:p>
    <w:p>
      <w:pPr>
        <w:spacing w:after="0" w:line="10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38" w:lineRule="exact"/>
        <w:rPr>
          <w:sz w:val="20"/>
          <w:szCs w:val="20"/>
          <w:color w:val="auto"/>
        </w:rPr>
      </w:pPr>
    </w:p>
    <w:p>
      <w:pPr>
        <w:ind w:right="880" w:firstLine="435"/>
        <w:spacing w:after="0" w:line="269" w:lineRule="auto"/>
        <w:rPr>
          <w:sz w:val="20"/>
          <w:szCs w:val="20"/>
          <w:color w:val="auto"/>
        </w:rPr>
      </w:pPr>
      <w:r>
        <w:rPr>
          <w:rFonts w:ascii="Times New Roman" w:cs="Times New Roman" w:eastAsia="Times New Roman" w:hAnsi="Times New Roman"/>
          <w:sz w:val="18"/>
          <w:szCs w:val="18"/>
          <w:color w:val="auto"/>
        </w:rPr>
        <w:t>The information required by Item 14 will be included in the Company’s definitive proxy statement to be filed for its 2024 Annual Meeting of Stockholders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48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3"/>
        </w:trPr>
        <w:tc>
          <w:tcPr>
            <w:tcW w:w="10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 and (c)</w:t>
            </w:r>
          </w:p>
        </w:tc>
        <w:tc>
          <w:tcPr>
            <w:tcW w:w="9020" w:type="dxa"/>
            <w:vAlign w:val="bottom"/>
            <w:gridSpan w:val="11"/>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Financial Statements</w:t>
            </w: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200" w:type="dxa"/>
            <w:vAlign w:val="bottom"/>
            <w:vMerge w:val="continue"/>
          </w:tcPr>
          <w:p>
            <w:pPr>
              <w:spacing w:after="0"/>
              <w:rPr>
                <w:sz w:val="18"/>
                <w:szCs w:val="18"/>
                <w:color w:val="auto"/>
              </w:rPr>
            </w:pPr>
          </w:p>
        </w:tc>
        <w:tc>
          <w:tcPr>
            <w:tcW w:w="9020" w:type="dxa"/>
            <w:vAlign w:val="bottom"/>
            <w:gridSpan w:val="11"/>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4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(KPMG LLP, Los Angeles, CA, PCAOB Auditor Firm</w:t>
            </w:r>
          </w:p>
        </w:tc>
        <w:tc>
          <w:tcPr>
            <w:tcW w:w="7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top w:val="single" w:sz="8" w:color="0000FF"/>
            </w:tcBorders>
          </w:tcPr>
          <w:p>
            <w:pPr>
              <w:spacing w:after="0" w:line="164" w:lineRule="exact"/>
              <w:rPr>
                <w:sz w:val="20"/>
                <w:szCs w:val="20"/>
                <w:color w:val="auto"/>
              </w:rPr>
            </w:pPr>
            <w:r>
              <w:rPr>
                <w:rFonts w:ascii="Times New Roman" w:cs="Times New Roman" w:eastAsia="Times New Roman" w:hAnsi="Times New Roman"/>
                <w:sz w:val="18"/>
                <w:szCs w:val="18"/>
                <w:color w:val="0000FF"/>
                <w:w w:val="94"/>
              </w:rPr>
              <w:t>ID:185)</w:t>
            </w:r>
          </w:p>
        </w:tc>
        <w:tc>
          <w:tcPr>
            <w:tcW w:w="7440" w:type="dxa"/>
            <w:vAlign w:val="bottom"/>
            <w:tcBorders>
              <w:top w:val="single" w:sz="8" w:color="0000FF"/>
            </w:tcBorders>
            <w:gridSpan w:val="8"/>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8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balance sheets as of December 31, 2023 and 2022</w:t>
            </w:r>
          </w:p>
        </w:tc>
        <w:tc>
          <w:tcPr>
            <w:tcW w:w="3960" w:type="dxa"/>
            <w:vAlign w:val="bottom"/>
            <w:gridSpan w:val="5"/>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2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operations for the years ended December 31, 2023, 2022 and 2021</w:t>
            </w:r>
          </w:p>
        </w:tc>
        <w:tc>
          <w:tcPr>
            <w:tcW w:w="1820" w:type="dxa"/>
            <w:vAlign w:val="bottom"/>
            <w:gridSpan w:val="3"/>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4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comprehensive (loss) income for the years ended December 31, 2023, 2022 and 2021</w:t>
            </w:r>
          </w:p>
        </w:tc>
        <w:tc>
          <w:tcPr>
            <w:tcW w:w="500" w:type="dxa"/>
            <w:vAlign w:val="bottom"/>
            <w:gridSpan w:val="2"/>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2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equity for the years ended December 31, 2023, 2022 and 2021</w:t>
            </w:r>
          </w:p>
        </w:tc>
        <w:tc>
          <w:tcPr>
            <w:tcW w:w="162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4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6"/>
              </w:rPr>
              <w:t>Notes to consolidated financial statements</w:t>
            </w:r>
          </w:p>
        </w:tc>
        <w:tc>
          <w:tcPr>
            <w:tcW w:w="3660" w:type="dxa"/>
            <w:vAlign w:val="bottom"/>
            <w:gridSpan w:val="4"/>
          </w:tcPr>
          <w:p>
            <w:pPr>
              <w:spacing w:after="0"/>
              <w:rPr>
                <w:sz w:val="17"/>
                <w:szCs w:val="17"/>
                <w:color w:val="auto"/>
              </w:rPr>
            </w:pPr>
          </w:p>
        </w:tc>
        <w:tc>
          <w:tcPr>
            <w:tcW w:w="1820" w:type="dxa"/>
            <w:vAlign w:val="bottom"/>
            <w:gridSpan w:val="3"/>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200" w:type="dxa"/>
            <w:vAlign w:val="bottom"/>
          </w:tcPr>
          <w:p>
            <w:pPr>
              <w:spacing w:after="0"/>
              <w:rPr>
                <w:sz w:val="20"/>
                <w:szCs w:val="20"/>
                <w:color w:val="auto"/>
              </w:rPr>
            </w:pPr>
          </w:p>
        </w:tc>
        <w:tc>
          <w:tcPr>
            <w:tcW w:w="9020" w:type="dxa"/>
            <w:vAlign w:val="bottom"/>
            <w:gridSpan w:val="11"/>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Financial Statement Schedule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w w:val="96"/>
              </w:rPr>
              <w:t>Schedule III—Real estate and accumulated depreciation</w:t>
            </w:r>
          </w:p>
        </w:tc>
        <w:tc>
          <w:tcPr>
            <w:tcW w:w="4500" w:type="dxa"/>
            <w:vAlign w:val="bottom"/>
            <w:gridSpan w:val="6"/>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8"/>
              </w:rPr>
              <w:t>101</w:t>
            </w:r>
          </w:p>
        </w:tc>
        <w:tc>
          <w:tcPr>
            <w:tcW w:w="0" w:type="dxa"/>
            <w:vAlign w:val="bottom"/>
          </w:tcPr>
          <w:p>
            <w:pPr>
              <w:spacing w:after="0"/>
              <w:rPr>
                <w:sz w:val="1"/>
                <w:szCs w:val="1"/>
                <w:color w:val="auto"/>
              </w:rPr>
            </w:pPr>
          </w:p>
        </w:tc>
      </w:tr>
      <w:tr>
        <w:trPr>
          <w:trHeight w:val="20"/>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w:t>
            </w: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2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Exhibit Index</w:t>
            </w:r>
          </w:p>
        </w:tc>
        <w:tc>
          <w:tcPr>
            <w:tcW w:w="2980" w:type="dxa"/>
            <w:vAlign w:val="bottom"/>
            <w:gridSpan w:val="2"/>
          </w:tcPr>
          <w:p>
            <w:pPr>
              <w:spacing w:after="0"/>
              <w:rPr>
                <w:sz w:val="24"/>
                <w:szCs w:val="24"/>
                <w:color w:val="auto"/>
              </w:rPr>
            </w:pPr>
          </w:p>
        </w:tc>
        <w:tc>
          <w:tcPr>
            <w:tcW w:w="450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104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1015" w:right="57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Macerich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51" w:lineRule="exact"/>
        <w:rPr>
          <w:sz w:val="20"/>
          <w:szCs w:val="20"/>
          <w:color w:val="auto"/>
        </w:rPr>
      </w:pPr>
    </w:p>
    <w:p>
      <w:pPr>
        <w:ind w:right="80" w:firstLine="435"/>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Macerich Company and subsidiaries (Company) as of December 31, 2023 and 2022, the related consolidated statements of operations, comprehensive (loss) income, equity, and cash flows for each of the years in the three-year period ended December 31, 2023, and the related notes and financial statement Schedule III - Real Estate and Accumulated Depreciation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21"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26, 2024 expressed an unqualified opinion on the effectiveness of the Company’s internal control over financial reporting.</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51"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20" w:firstLine="435"/>
        <w:spacing w:after="0" w:line="24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51" w:lineRule="exact"/>
        <w:rPr>
          <w:sz w:val="20"/>
          <w:szCs w:val="20"/>
          <w:color w:val="auto"/>
        </w:rPr>
      </w:pPr>
    </w:p>
    <w:p>
      <w:pPr>
        <w:ind w:firstLine="435"/>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Assessment of impairment of property, net and investments in unconsolidated joint ventures</w:t>
      </w:r>
    </w:p>
    <w:p>
      <w:pPr>
        <w:spacing w:after="0" w:line="138" w:lineRule="exact"/>
        <w:rPr>
          <w:sz w:val="20"/>
          <w:szCs w:val="20"/>
          <w:color w:val="auto"/>
        </w:rPr>
      </w:pPr>
    </w:p>
    <w:p>
      <w:pPr>
        <w:ind w:left="720" w:right="60"/>
        <w:spacing w:after="0" w:line="247" w:lineRule="auto"/>
        <w:rPr>
          <w:sz w:val="20"/>
          <w:szCs w:val="20"/>
          <w:color w:val="auto"/>
        </w:rPr>
      </w:pPr>
      <w:r>
        <w:rPr>
          <w:rFonts w:ascii="Times New Roman" w:cs="Times New Roman" w:eastAsia="Times New Roman" w:hAnsi="Times New Roman"/>
          <w:sz w:val="18"/>
          <w:szCs w:val="18"/>
          <w:color w:val="auto"/>
        </w:rPr>
        <w:t>As discussed in Notes 2, 4, and 6 to the consolidated financial statements, the Company evaluates its consolidated property and investments in unconsolidated joint ventures (which own and operate properties) for impairment whenever there are indicators that the carrying value of the property may not be recoverable or where there may be an other-than-temporary impairment of investments in unconsolidated joint ventures. The Company considers property operating performance, expected holding periods, capitalization rates, and other market factors in making this evaluation. As of December 31, 2023, property, net was $5,900 million and investments in unconsolidated joint ventures was $853 million. If the carrying value of a property exceeds the estimate of its undiscounted cash flows, an impairment loss is recognized equal to the excess of the carrying value over its fair value. The fair value of property is determined through either a sales approach or a discounted cash flow approach. Impairment of properties held in an unconsolidated joint venture follows a similar method. As discussed in Note 6 to the consolidated financial statements, due to a reduction in the expected holding period of a consolidated property, the Company determined the property's carrying value was impaired and recorded an impairment charge of $144.7 million based on a discounted cash flow approach.</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60" w:name="page61"/>
    <w:bookmarkEnd w:id="60"/>
    <w:p>
      <w:pPr>
        <w:spacing w:after="0" w:line="249" w:lineRule="auto"/>
        <w:rPr>
          <w:sz w:val="20"/>
          <w:szCs w:val="20"/>
          <w:color w:val="auto"/>
        </w:rPr>
      </w:pPr>
      <w:r>
        <w:rPr>
          <w:rFonts w:ascii="Times New Roman" w:cs="Times New Roman" w:eastAsia="Times New Roman" w:hAnsi="Times New Roman"/>
          <w:sz w:val="18"/>
          <w:szCs w:val="18"/>
          <w:color w:val="auto"/>
        </w:rPr>
        <w:t>We identified the assessment of impairment of property, net and investments in unconsolidated joint ventures as a critical audit matter. Subjective auditor judgment was required to assess the relevant events or changes in circumstances that Company officials considered when evaluating expected holding periods. A shortening of a property’s expected holding period could indicate a potential impairment. In addition, the evaluation of the fair value as determined through a discounted cash flow approach, in particular the key assumptions over the property’s market rental rates, discount rate, and terminal capitalization rate, required a high degree of auditor judgement. The evaluation of these key assumptions required significant audit effort, including the involvement of valuation professionals with specialized skills and knowledge.</w:t>
      </w:r>
    </w:p>
    <w:p>
      <w:pPr>
        <w:spacing w:after="0" w:line="10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property impairment process, including controls over the Company’s evaluation of the expected holding period and the development of the key assumptions used in the discounted cash flow analysis. We evaluated the relevant events or changes in circumstances that the Company considered when evaluating expected holding periods by:</w:t>
      </w:r>
    </w:p>
    <w:p>
      <w:pPr>
        <w:spacing w:after="0" w:line="119" w:lineRule="exact"/>
        <w:rPr>
          <w:sz w:val="20"/>
          <w:szCs w:val="20"/>
          <w:color w:val="auto"/>
        </w:rPr>
      </w:pPr>
    </w:p>
    <w:p>
      <w:pPr>
        <w:ind w:left="400" w:right="80" w:hanging="8"/>
        <w:spacing w:after="0" w:line="269" w:lineRule="auto"/>
        <w:tabs>
          <w:tab w:leader="none" w:pos="5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minutes of the meetings of the Company’s Board of Directors and obtaining written representations regarding potential plans, if any, to dispose of certain real estate properties</w:t>
      </w:r>
    </w:p>
    <w:p>
      <w:pPr>
        <w:spacing w:after="0" w:line="102" w:lineRule="exact"/>
        <w:rPr>
          <w:rFonts w:ascii="Times New Roman" w:cs="Times New Roman" w:eastAsia="Times New Roman" w:hAnsi="Times New Roman"/>
          <w:sz w:val="18"/>
          <w:szCs w:val="18"/>
          <w:color w:val="auto"/>
        </w:rPr>
      </w:pPr>
    </w:p>
    <w:p>
      <w:pPr>
        <w:ind w:left="540" w:hanging="148"/>
        <w:spacing w:after="0"/>
        <w:tabs>
          <w:tab w:leader="none" w:pos="5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inquiring about the Company’s plans with those in the organization responsible for, and having authority over, potential disposition activities</w:t>
      </w:r>
    </w:p>
    <w:p>
      <w:pPr>
        <w:spacing w:after="0" w:line="158" w:lineRule="exact"/>
        <w:rPr>
          <w:rFonts w:ascii="Times New Roman" w:cs="Times New Roman" w:eastAsia="Times New Roman" w:hAnsi="Times New Roman"/>
          <w:sz w:val="16"/>
          <w:szCs w:val="16"/>
          <w:color w:val="auto"/>
        </w:rPr>
      </w:pPr>
    </w:p>
    <w:p>
      <w:pPr>
        <w:ind w:left="540" w:hanging="148"/>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external communications with investors and analysts</w:t>
      </w:r>
    </w:p>
    <w:p>
      <w:pPr>
        <w:spacing w:after="0" w:line="148" w:lineRule="exact"/>
        <w:rPr>
          <w:rFonts w:ascii="Times New Roman" w:cs="Times New Roman" w:eastAsia="Times New Roman" w:hAnsi="Times New Roman"/>
          <w:sz w:val="18"/>
          <w:szCs w:val="18"/>
          <w:color w:val="auto"/>
        </w:rPr>
      </w:pPr>
    </w:p>
    <w:p>
      <w:pPr>
        <w:ind w:left="540" w:hanging="148"/>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Company’s plans for properties with mortgages maturing within one year.</w:t>
      </w:r>
    </w:p>
    <w:p>
      <w:pPr>
        <w:spacing w:after="0" w:line="14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With the assistance of our valuation professionals with specialized skills and knowledge, we evaluated the significant assumptions used in the discounted cash flow analysis by comparing the market rental rates, discount rate, and terminal capitalization rate used by the Company to publicly available market data for comparable properties in a similar geographic region.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the fair value of the financing arrangement obligation</w:t>
      </w:r>
    </w:p>
    <w:p>
      <w:pPr>
        <w:spacing w:after="0" w:line="15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6"/>
          <w:szCs w:val="16"/>
          <w:color w:val="auto"/>
        </w:rPr>
        <w:t>As discussed in Notes 2 and 12 to the consolidated financial statements, the Company reports the Chandler Freehold consolidated joint venture as a financing arrangement with the related deferred gain recorded as a liability at fair value. The fair value of the financing arrangement obligation is determined primarily based upon the fair value of the underlying shopping center, Chandler Fashion Center, owned by the Chandler Freehold consolidated joint venture. The fair value of the shopping center is estimated using a discounted cash flow model. Subsequent changes in the fair value of the financing arrangement obligation are recorded as interest expense. The financing arrangement obligation as of December 31, 2023 was $103 million. The adjustment to fair value of the financing arrangement obligation was $35 million for the year ended December 31, 2023.</w:t>
      </w:r>
    </w:p>
    <w:p>
      <w:pPr>
        <w:spacing w:after="0" w:line="9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We identified the evaluation of the fair value of the Chandler Freehold financing arrangement obligation as a critical audit matter. A high degree of auditor judgement was required in evaluating the discounted cash flow model used to fair value the shopping centers. Specifically, the model was sensitive to reasonably possible changes to significant assumptions, which have a significant effect on the determination of fair value of the financing arrangement obligation. The key assumptions include market rental rates, discount rates, and terminal capitalization rates. The evaluation of these key assumptions required significant audit effort, including the involvement of valuation professionals with specialized skills and knowledge.</w:t>
      </w:r>
    </w:p>
    <w:p>
      <w:pPr>
        <w:spacing w:after="0" w:line="78"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fair value determination process for the financing arrangement obligation and specifically the development of the key assumptions used in the discounted cash flow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68580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500"/>
          </w:cols>
          <w:pgMar w:left="1040" w:top="1017" w:right="359" w:bottom="1440" w:gutter="0" w:footer="0" w:header="0"/>
        </w:sectPr>
      </w:pPr>
    </w:p>
    <w:bookmarkStart w:id="61" w:name="page62"/>
    <w:bookmarkEnd w:id="61"/>
    <w:p>
      <w:pPr>
        <w:ind w:left="720"/>
        <w:spacing w:after="0" w:line="256" w:lineRule="auto"/>
        <w:rPr>
          <w:sz w:val="20"/>
          <w:szCs w:val="20"/>
          <w:color w:val="auto"/>
        </w:rPr>
      </w:pPr>
      <w:r>
        <w:rPr>
          <w:rFonts w:ascii="Times New Roman" w:cs="Times New Roman" w:eastAsia="Times New Roman" w:hAnsi="Times New Roman"/>
          <w:sz w:val="18"/>
          <w:szCs w:val="18"/>
          <w:color w:val="auto"/>
        </w:rPr>
        <w:t>With the assistance of our valuation professionals with specialized skills and knowledge, we evaluated the significant assumptions used in the discounted cash flow analysis by comparing the market rental rates, discount rate, and terminal capitalization rate used by the Company to publicly available market data for comparable properties in a similar geographic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0" w:lineRule="exact"/>
        <w:rPr>
          <w:sz w:val="20"/>
          <w:szCs w:val="20"/>
          <w:color w:val="auto"/>
        </w:rPr>
      </w:pPr>
    </w:p>
    <w:p>
      <w:pPr>
        <w:spacing w:after="0" w:line="3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60"/>
          </w:cols>
          <w:pgMar w:left="320" w:top="1017" w:right="5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4"/>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7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5,900,489</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6,127,790</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100,320</w:t>
            </w: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80,819</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and other receivables,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183,593</w:t>
            </w: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126,606</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247,424</w:t>
            </w: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1,224,288</w:t>
            </w:r>
          </w:p>
        </w:tc>
      </w:tr>
      <w:tr>
        <w:trPr>
          <w:trHeight w:val="217"/>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7,513,512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8,094,139</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notes payable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4,136,136</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4,240,596</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and other notes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163,117</w:t>
            </w: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63,107</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94,911</w:t>
            </w:r>
          </w:p>
        </w:tc>
      </w:tr>
      <w:tr>
        <w:trPr>
          <w:trHeight w:val="22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318,745</w:t>
            </w: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 excess of investments in unconsolidated joint ventures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121,093</w:t>
            </w:r>
          </w:p>
        </w:tc>
      </w:tr>
      <w:tr>
        <w:trPr>
          <w:trHeight w:val="224"/>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arrangement obligation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143,221</w:t>
            </w:r>
          </w:p>
        </w:tc>
      </w:tr>
      <w:tr>
        <w:trPr>
          <w:trHeight w:val="217"/>
        </w:trPr>
        <w:tc>
          <w:tcPr>
            <w:tcW w:w="7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4,985,911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5,144,790</w:t>
            </w:r>
          </w:p>
        </w:tc>
      </w:tr>
      <w:tr>
        <w:trPr>
          <w:trHeight w:val="204"/>
        </w:trPr>
        <w:tc>
          <w:tcPr>
            <w:tcW w:w="77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1"/>
        </w:trPr>
        <w:tc>
          <w:tcPr>
            <w:tcW w:w="77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Common stock, $0.01 par value, 500,000,000 shares authorized at December 31, 2023 and 2022,</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1"/>
        </w:trPr>
        <w:tc>
          <w:tcPr>
            <w:tcW w:w="77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8"/>
                <w:szCs w:val="18"/>
                <w:color w:val="auto"/>
              </w:rPr>
              <w:t>215,976,614 and 215,241,129 shares issued and outstanding at December 31, 2023 and 2022,</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7"/>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24"/>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5,509,603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5,506,084</w:t>
            </w:r>
          </w:p>
        </w:tc>
      </w:tr>
      <w:tr>
        <w:trPr>
          <w:trHeight w:val="224"/>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(3,063,789)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(2,643,094)</w:t>
            </w:r>
          </w:p>
        </w:tc>
      </w:tr>
      <w:tr>
        <w:trPr>
          <w:trHeight w:val="224"/>
        </w:trPr>
        <w:tc>
          <w:tcPr>
            <w:tcW w:w="7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17"/>
        </w:trPr>
        <w:tc>
          <w:tcPr>
            <w:tcW w:w="7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2,447,020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2,865,773</w:t>
            </w:r>
          </w:p>
        </w:tc>
      </w:tr>
      <w:tr>
        <w:trPr>
          <w:trHeight w:val="224"/>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83,576</w:t>
            </w:r>
          </w:p>
        </w:tc>
      </w:tr>
      <w:tr>
        <w:trPr>
          <w:trHeight w:val="217"/>
        </w:trPr>
        <w:tc>
          <w:tcPr>
            <w:tcW w:w="7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2,527,601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2,949,349</w:t>
            </w:r>
          </w:p>
        </w:tc>
      </w:tr>
      <w:tr>
        <w:trPr>
          <w:trHeight w:val="217"/>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7,513,512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8,094,139</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68580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580" w:top="1015" w:right="59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809,023</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800,548</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787,547</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30,104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33,867</w:t>
            </w:r>
          </w:p>
        </w:tc>
        <w:tc>
          <w:tcPr>
            <w:tcW w:w="0" w:type="dxa"/>
            <w:vAlign w:val="bottom"/>
          </w:tcPr>
          <w:p>
            <w:pPr>
              <w:spacing w:after="0"/>
              <w:rPr>
                <w:sz w:val="1"/>
                <w:szCs w:val="1"/>
                <w:color w:val="auto"/>
              </w:rPr>
            </w:pPr>
          </w:p>
        </w:tc>
      </w:tr>
      <w:tr>
        <w:trPr>
          <w:trHeight w:val="191"/>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Management Companies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30,185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26,023</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884,068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859,164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847,437</w:t>
            </w:r>
          </w:p>
        </w:tc>
        <w:tc>
          <w:tcPr>
            <w:tcW w:w="0" w:type="dxa"/>
            <w:vAlign w:val="bottom"/>
          </w:tcPr>
          <w:p>
            <w:pPr>
              <w:spacing w:after="0"/>
              <w:rPr>
                <w:sz w:val="1"/>
                <w:szCs w:val="1"/>
                <w:color w:val="auto"/>
              </w:rPr>
            </w:pPr>
          </w:p>
        </w:tc>
      </w:tr>
      <w:tr>
        <w:trPr>
          <w:trHeight w:val="167"/>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288,407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289,884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295,016</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24,838</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Management Companies' operating expenses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67,799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61,030</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REIT general and administrative expenses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30,056</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291,612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311,129</w:t>
            </w:r>
          </w:p>
        </w:tc>
        <w:tc>
          <w:tcPr>
            <w:tcW w:w="0" w:type="dxa"/>
            <w:vAlign w:val="bottom"/>
          </w:tcPr>
          <w:p>
            <w:pPr>
              <w:spacing w:after="0"/>
              <w:rPr>
                <w:sz w:val="1"/>
                <w:szCs w:val="1"/>
                <w:color w:val="auto"/>
              </w:rPr>
            </w:pPr>
          </w:p>
        </w:tc>
      </w:tr>
      <w:tr>
        <w:trPr>
          <w:trHeight w:val="191"/>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706,489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709,129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722,069</w:t>
            </w:r>
          </w:p>
        </w:tc>
        <w:tc>
          <w:tcPr>
            <w:tcW w:w="0" w:type="dxa"/>
            <w:vAlign w:val="bottom"/>
          </w:tcPr>
          <w:p>
            <w:pPr>
              <w:spacing w:after="0"/>
              <w:rPr>
                <w:sz w:val="1"/>
                <w:szCs w:val="1"/>
                <w:color w:val="auto"/>
              </w:rPr>
            </w:pPr>
          </w:p>
        </w:tc>
      </w:tr>
      <w:tr>
        <w:trPr>
          <w:trHeight w:val="178"/>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expense:</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Related parties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197,126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182,116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196,397</w:t>
            </w:r>
          </w:p>
        </w:tc>
        <w:tc>
          <w:tcPr>
            <w:tcW w:w="0" w:type="dxa"/>
            <w:vAlign w:val="bottom"/>
          </w:tcPr>
          <w:p>
            <w:pPr>
              <w:spacing w:after="0"/>
              <w:rPr>
                <w:sz w:val="1"/>
                <w:szCs w:val="1"/>
                <w:color w:val="auto"/>
              </w:rPr>
            </w:pPr>
          </w:p>
        </w:tc>
      </w:tr>
      <w:tr>
        <w:trPr>
          <w:trHeight w:val="190"/>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192,679</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extinguishment of debt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184"/>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871,201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925,980</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915,755</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(loss) income of unconsolidated joint ventures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15,689</w:t>
            </w:r>
          </w:p>
        </w:tc>
        <w:tc>
          <w:tcPr>
            <w:tcW w:w="0" w:type="dxa"/>
            <w:vAlign w:val="bottom"/>
          </w:tcPr>
          <w:p>
            <w:pPr>
              <w:spacing w:after="0"/>
              <w:rPr>
                <w:sz w:val="1"/>
                <w:szCs w:val="1"/>
                <w:color w:val="auto"/>
              </w:rPr>
            </w:pP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(6,948)</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on sale or write down of assets, net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(134,523)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75,740</w:t>
            </w:r>
          </w:p>
        </w:tc>
        <w:tc>
          <w:tcPr>
            <w:tcW w:w="0" w:type="dxa"/>
            <w:vAlign w:val="bottom"/>
          </w:tcPr>
          <w:p>
            <w:pPr>
              <w:spacing w:after="0"/>
              <w:rPr>
                <w:sz w:val="1"/>
                <w:szCs w:val="1"/>
                <w:color w:val="auto"/>
              </w:rPr>
            </w:pPr>
          </w:p>
        </w:tc>
      </w:t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(65,079)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16,163</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8"/>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the Company</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(274,065)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(66,068)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14,263</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common share attributable to common stockholders:</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215,548,000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215,031,000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198,070,000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215,548,000</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215,031,000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198,070,000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68580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896" w:right="55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5"/>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16,163</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cap/swap agreements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8,184</w:t>
            </w:r>
          </w:p>
        </w:tc>
      </w:t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income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(279,683)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24,347</w:t>
            </w: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r>
      <w:tr>
        <w:trPr>
          <w:trHeight w:val="198"/>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income attributable to the Company</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(275,649)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(65,412)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22,447</w:t>
            </w: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68580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015" w:right="5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3"/>
        </w:trPr>
        <w:tc>
          <w:tcPr>
            <w:tcW w:w="3360" w:type="dxa"/>
            <w:vAlign w:val="bottom"/>
          </w:tcPr>
          <w:p>
            <w:pPr>
              <w:spacing w:after="0"/>
              <w:rPr>
                <w:sz w:val="21"/>
                <w:szCs w:val="21"/>
                <w:color w:val="auto"/>
              </w:rPr>
            </w:pPr>
          </w:p>
        </w:tc>
        <w:tc>
          <w:tcPr>
            <w:tcW w:w="15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19"/>
        </w:trPr>
        <w:tc>
          <w:tcPr>
            <w:tcW w:w="3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2"/>
                <w:szCs w:val="12"/>
                <w:b w:val="1"/>
                <w:bCs w:val="1"/>
                <w:color w:val="auto"/>
              </w:rPr>
              <w:t>Par</w:t>
            </w: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0"/>
                <w:szCs w:val="10"/>
                <w:color w:val="auto"/>
              </w:rPr>
            </w:pPr>
          </w:p>
        </w:tc>
        <w:tc>
          <w:tcPr>
            <w:tcW w:w="600" w:type="dxa"/>
            <w:vAlign w:val="bottom"/>
          </w:tcPr>
          <w:p>
            <w:pPr>
              <w:jc w:val="right"/>
              <w:ind w:right="179"/>
              <w:spacing w:after="0" w:line="11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78"/>
        </w:trPr>
        <w:tc>
          <w:tcPr>
            <w:tcW w:w="3360" w:type="dxa"/>
            <w:vAlign w:val="bottom"/>
          </w:tcPr>
          <w:p>
            <w:pPr>
              <w:spacing w:after="0"/>
              <w:rPr>
                <w:sz w:val="15"/>
                <w:szCs w:val="15"/>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5"/>
                <w:szCs w:val="15"/>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January 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149,770,575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1,498</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4,603,378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(2,339,619)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2,257,049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188,211</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2,445,260</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16,163</w:t>
            </w:r>
          </w:p>
        </w:tc>
      </w:tr>
      <w:tr>
        <w:trPr>
          <w:trHeight w:val="17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cap/swap agreements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8,184</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share and unit-based plans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248,264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17,998</w:t>
            </w:r>
          </w:p>
        </w:tc>
      </w:tr>
      <w:tr>
        <w:trPr>
          <w:trHeight w:val="17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143,191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1,348</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62,049,131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829,621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830,241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830,241</w:t>
            </w:r>
          </w:p>
        </w:tc>
      </w:tr>
      <w:tr>
        <w:trPr>
          <w:trHeight w:val="17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declared ($0.60) per share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(118,340)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(118,340)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(118,340)</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(25,107)</w:t>
            </w:r>
          </w:p>
        </w:tc>
      </w:tr>
      <w:tr>
        <w:trPr>
          <w:trHeight w:val="17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from noncontrolling interests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Conversion of noncontrolling interests to common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2,585,896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Redemption of noncontrolling interests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r>
      <w:tr>
        <w:trPr>
          <w:trHeight w:val="165"/>
        </w:trPr>
        <w:tc>
          <w:tcPr>
            <w:tcW w:w="33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 of noncontrolling interests in Operating Partnership</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5"/>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214,797,057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5,488,440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(2,443,696)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3,046,867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129,282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3,176,149</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5"/>
        </w:trPr>
        <w:tc>
          <w:tcPr>
            <w:tcW w:w="3240" w:type="dxa"/>
            <w:vAlign w:val="bottom"/>
          </w:tcPr>
          <w:p>
            <w:pPr>
              <w:spacing w:after="0"/>
              <w:rPr>
                <w:sz w:val="12"/>
                <w:szCs w:val="12"/>
                <w:color w:val="auto"/>
              </w:rPr>
            </w:pP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53"/>
        </w:trPr>
        <w:tc>
          <w:tcPr>
            <w:tcW w:w="32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jc w:val="center"/>
              <w:ind w:right="220"/>
              <w:spacing w:after="0" w:line="53" w:lineRule="exact"/>
              <w:rPr>
                <w:sz w:val="20"/>
                <w:szCs w:val="20"/>
                <w:color w:val="auto"/>
              </w:rPr>
            </w:pPr>
            <w:r>
              <w:rPr>
                <w:rFonts w:ascii="Times New Roman" w:cs="Times New Roman" w:eastAsia="Times New Roman" w:hAnsi="Times New Roman"/>
                <w:sz w:val="6"/>
                <w:szCs w:val="6"/>
                <w:b w:val="1"/>
                <w:bCs w:val="1"/>
                <w:color w:val="auto"/>
              </w:rPr>
              <w:t>Additional</w:t>
            </w: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tcPr>
          <w:p>
            <w:pPr>
              <w:jc w:val="center"/>
              <w:ind w:right="22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100" w:type="dxa"/>
            <w:vAlign w:val="bottom"/>
          </w:tcPr>
          <w:p>
            <w:pPr>
              <w:spacing w:after="0"/>
              <w:rPr>
                <w:sz w:val="4"/>
                <w:szCs w:val="4"/>
                <w:color w:val="auto"/>
              </w:rPr>
            </w:pPr>
          </w:p>
        </w:tc>
        <w:tc>
          <w:tcPr>
            <w:tcW w:w="980" w:type="dxa"/>
            <w:vAlign w:val="bottom"/>
            <w:gridSpan w:val="2"/>
          </w:tcPr>
          <w:p>
            <w:pPr>
              <w:jc w:val="center"/>
              <w:ind w:right="200"/>
              <w:spacing w:after="0" w:line="53" w:lineRule="exact"/>
              <w:rPr>
                <w:sz w:val="20"/>
                <w:szCs w:val="20"/>
                <w:color w:val="auto"/>
              </w:rPr>
            </w:pPr>
            <w:r>
              <w:rPr>
                <w:rFonts w:ascii="Times New Roman" w:cs="Times New Roman" w:eastAsia="Times New Roman" w:hAnsi="Times New Roman"/>
                <w:sz w:val="6"/>
                <w:szCs w:val="6"/>
                <w:b w:val="1"/>
                <w:bCs w:val="1"/>
                <w:color w:val="auto"/>
              </w:rPr>
              <w:t>Total</w:t>
            </w: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3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6"/>
              </w:rPr>
              <w:t>Par</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2"/>
                <w:szCs w:val="12"/>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8"/>
        </w:trPr>
        <w:tc>
          <w:tcPr>
            <w:tcW w:w="324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 Income</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5"/>
                <w:szCs w:val="15"/>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1"/>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214,797,057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5,488,440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(2,443,696)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3,046,867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129,282</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3,176,149</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Net (loss) income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(65,079)</w:t>
            </w: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rate cap/swap agreements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share and unit-based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218,771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22,119</w:t>
            </w: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Employee stock 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179,723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1,741</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Stock offerings, net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Distributions declared ($0.62) per share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(133,330)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(133,330)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(133,330)</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(52,998)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(52,998)</w:t>
            </w: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Contributions from noncontrolling interests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Conversion of noncontrolling interests to common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Redemption of noncontrolling interests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r>
      <w:tr>
        <w:trPr>
          <w:trHeight w:val="16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Adjustment of noncontrolling interests in Operating Partnership</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95"/>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215,241,129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5,506,084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(2,643,094)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2,865,773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2,949,349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68580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423"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1"/>
        </w:trPr>
        <w:tc>
          <w:tcPr>
            <w:tcW w:w="2580" w:type="dxa"/>
            <w:vAlign w:val="bottom"/>
          </w:tcPr>
          <w:p>
            <w:pPr>
              <w:spacing w:after="0"/>
              <w:rPr>
                <w:sz w:val="16"/>
                <w:szCs w:val="16"/>
                <w:color w:val="auto"/>
              </w:rPr>
            </w:pPr>
          </w:p>
        </w:tc>
        <w:tc>
          <w:tcPr>
            <w:tcW w:w="15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6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19"/>
        </w:trPr>
        <w:tc>
          <w:tcPr>
            <w:tcW w:w="2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Par</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1020" w:type="dxa"/>
            <w:vAlign w:val="bottom"/>
          </w:tcPr>
          <w:p>
            <w:pPr>
              <w:jc w:val="right"/>
              <w:ind w:right="119"/>
              <w:spacing w:after="0" w:line="11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10"/>
                <w:szCs w:val="10"/>
                <w:color w:val="auto"/>
              </w:rPr>
            </w:pPr>
          </w:p>
        </w:tc>
        <w:tc>
          <w:tcPr>
            <w:tcW w:w="700" w:type="dxa"/>
            <w:vAlign w:val="bottom"/>
          </w:tcPr>
          <w:p>
            <w:pPr>
              <w:jc w:val="right"/>
              <w:ind w:right="239"/>
              <w:spacing w:after="0" w:line="11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78"/>
        </w:trPr>
        <w:tc>
          <w:tcPr>
            <w:tcW w:w="258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5"/>
                <w:szCs w:val="15"/>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6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60" w:type="dxa"/>
            <w:vAlign w:val="bottom"/>
          </w:tcPr>
          <w:p>
            <w:pPr>
              <w:spacing w:after="0"/>
              <w:rPr>
                <w:sz w:val="15"/>
                <w:szCs w:val="15"/>
                <w:color w:val="auto"/>
              </w:rPr>
            </w:pPr>
          </w:p>
        </w:tc>
        <w:tc>
          <w:tcPr>
            <w:tcW w:w="700" w:type="dxa"/>
            <w:vAlign w:val="bottom"/>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17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December 31,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215,241,129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5,506,084</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(2,643,094)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632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2,865,773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83,576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2,949,349</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(274,065)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(274,065)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(278,099)</w:t>
            </w:r>
          </w:p>
        </w:tc>
      </w:tr>
      <w:tr>
        <w:trPr>
          <w:trHeight w:val="17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rate cap agreements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(1,584)</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share and unit-based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16,065</w:t>
            </w:r>
          </w:p>
        </w:tc>
      </w:tr>
      <w:tr>
        <w:trPr>
          <w:trHeight w:val="17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Employee stock purchases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226,766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1,798</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offerings, net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w:t>
            </w:r>
          </w:p>
        </w:tc>
      </w:tr>
      <w:tr>
        <w:trPr>
          <w:trHeight w:val="17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Distributions declared ($0.68) per share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(146,630)</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Distributions to noncontrolling interests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(12,660)</w:t>
            </w:r>
          </w:p>
        </w:tc>
      </w:tr>
      <w:tr>
        <w:trPr>
          <w:trHeight w:val="124"/>
        </w:trPr>
        <w:tc>
          <w:tcPr>
            <w:tcW w:w="25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Conversion of noncontrolling interests to</w:t>
            </w: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84"/>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common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183,490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Redemption of noncontrolling interests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24"/>
        </w:trPr>
        <w:tc>
          <w:tcPr>
            <w:tcW w:w="25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Adjustment of noncontrolling interests in</w:t>
            </w: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78"/>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Operating Partnership</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2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215,976,614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5,509,603</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(3,063,789)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(952)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2,447,020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80,581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2,527,601</w:t>
            </w:r>
          </w:p>
        </w:tc>
      </w:tr>
      <w:tr>
        <w:trPr>
          <w:trHeight w:val="20"/>
        </w:trPr>
        <w:tc>
          <w:tcPr>
            <w:tcW w:w="2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68580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80"/>
          </w:cols>
          <w:pgMar w:left="700" w:top="1423" w:right="71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(278,099)</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(65,079)</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16,163</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(Gain) loss on extinguishment of debt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205"/>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Loss (gain) on sale or write down of assets,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(75,740)</w:t>
            </w: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302,480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324,403</w:t>
            </w:r>
          </w:p>
        </w:tc>
      </w:tr>
      <w:tr>
        <w:trPr>
          <w:trHeight w:val="205"/>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Amortization of share and unit-based plans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14,273</w:t>
            </w: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Straight-line rent and amortization of above and below market leases, net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(7,691)</w:t>
            </w:r>
          </w:p>
        </w:tc>
      </w:tr>
      <w:tr>
        <w:trPr>
          <w:trHeight w:val="205"/>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Recovery of doubtful accounts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w:t>
            </w: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6,948</w:t>
            </w:r>
          </w:p>
        </w:tc>
      </w:tr>
      <w:tr>
        <w:trPr>
          <w:trHeight w:val="205"/>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Equity in loss (income) of unconsolidated joint ventures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(15,689)</w:t>
            </w: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Change in fair value of financing arrangement obligation</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(15,390)</w:t>
            </w:r>
          </w:p>
        </w:tc>
      </w:tr>
      <w:tr>
        <w:trPr>
          <w:trHeight w:val="205"/>
        </w:trPr>
        <w:tc>
          <w:tcPr>
            <w:tcW w:w="6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Distributions of income from unconsolidated joint ventures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0"/>
        </w:trPr>
        <w:tc>
          <w:tcPr>
            <w:tcW w:w="6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Changes in assets and liabilities, net of acquisitions and dispositions: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5"/>
        </w:trPr>
        <w:tc>
          <w:tcPr>
            <w:tcW w:w="6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62,421</w:t>
            </w:r>
          </w:p>
        </w:tc>
      </w:tr>
      <w:tr>
        <w:trPr>
          <w:trHeight w:val="190"/>
        </w:trPr>
        <w:tc>
          <w:tcPr>
            <w:tcW w:w="6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14,876</w:t>
            </w:r>
          </w:p>
        </w:tc>
      </w:tr>
      <w:tr>
        <w:trPr>
          <w:trHeight w:val="205"/>
        </w:trPr>
        <w:tc>
          <w:tcPr>
            <w:tcW w:w="6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(from) to affiliates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r>
      <w:tr>
        <w:trPr>
          <w:trHeight w:val="190"/>
        </w:trPr>
        <w:tc>
          <w:tcPr>
            <w:tcW w:w="6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w:t>
            </w:r>
          </w:p>
        </w:tc>
      </w:tr>
      <w:tr>
        <w:trPr>
          <w:trHeight w:val="205"/>
        </w:trPr>
        <w:tc>
          <w:tcPr>
            <w:tcW w:w="6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71,014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(28,064)</w:t>
            </w:r>
          </w:p>
        </w:tc>
      </w:tr>
      <w:tr>
        <w:trPr>
          <w:trHeight w:val="184"/>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295,502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337,510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286,368</w:t>
            </w:r>
          </w:p>
        </w:tc>
      </w:tr>
      <w:tr>
        <w:trPr>
          <w:trHeight w:val="17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property</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Development, redevelopment, expansion and renovation of properties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(77,686)</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improvements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(30,521)</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collection of notes receivable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leasing costs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from unconsolidated joint ventures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131,306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93,927</w:t>
            </w: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Contributions to unconsolidated joint ventures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(86,846)</w:t>
            </w: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collection of receivable in connection with sale of joint venture property</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50,458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337,514</w:t>
            </w:r>
          </w:p>
        </w:tc>
      </w:tr>
      <w:tr>
        <w:trPr>
          <w:trHeight w:val="191"/>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234,968</w:t>
            </w:r>
          </w:p>
        </w:tc>
      </w:tr>
    </w:tbl>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68580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015" w:right="55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7"/>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mortgages, bank and other notes payable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520,000</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on mortgages, bank and other notes payable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(863,258)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(2,020,395)</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(22,872)</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 on finance arrangement obligation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share and unit-based plans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proceeds from stock offerings, net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830,241</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of noncontrolling interests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and distributions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(159,290)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(186,328)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(143,447)</w:t>
            </w:r>
          </w:p>
        </w:tc>
        <w:tc>
          <w:tcPr>
            <w:tcW w:w="0" w:type="dxa"/>
            <w:vAlign w:val="bottom"/>
          </w:tcPr>
          <w:p>
            <w:pPr>
              <w:spacing w:after="0"/>
              <w:rPr>
                <w:sz w:val="1"/>
                <w:szCs w:val="1"/>
                <w:color w:val="auto"/>
              </w:rPr>
            </w:pPr>
          </w:p>
        </w:tc>
      </w:tr>
      <w:tr>
        <w:trPr>
          <w:trHeight w:val="184"/>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(338,888)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(321,940)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(837,024)</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(315,688)</w:t>
            </w:r>
          </w:p>
        </w:tc>
        <w:tc>
          <w:tcPr>
            <w:tcW w:w="0" w:type="dxa"/>
            <w:vAlign w:val="bottom"/>
          </w:tcPr>
          <w:p>
            <w:pPr>
              <w:spacing w:after="0"/>
              <w:rPr>
                <w:sz w:val="1"/>
                <w:szCs w:val="1"/>
                <w:color w:val="auto"/>
              </w:rPr>
            </w:pPr>
          </w:p>
        </w:tc>
      </w:tr>
      <w:tr>
        <w:trPr>
          <w:trHeight w:val="191"/>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year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181,139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166,971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482,659</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year</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190,294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181,139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166,971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payments for interest, net of amounts capitalized</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180,321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204,221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development costs included in accounts payable and accrued expenses and other accrued liabilities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Conversion of Operating Partnership Units to common stock</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48,807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 in connection with sale of joint venture property</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Assets acquired from unconsolidated joint venture</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46,713</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23,554</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015" w:right="5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38" w:lineRule="exact"/>
        <w:rPr>
          <w:sz w:val="20"/>
          <w:szCs w:val="20"/>
          <w:color w:val="auto"/>
        </w:rPr>
      </w:pPr>
    </w:p>
    <w:p>
      <w:pPr>
        <w:ind w:right="180" w:firstLine="435"/>
        <w:spacing w:after="0" w:line="269" w:lineRule="auto"/>
        <w:rPr>
          <w:sz w:val="20"/>
          <w:szCs w:val="20"/>
          <w:color w:val="auto"/>
        </w:rPr>
      </w:pPr>
      <w:r>
        <w:rPr>
          <w:rFonts w:ascii="Times New Roman" w:cs="Times New Roman" w:eastAsia="Times New Roman" w:hAnsi="Times New Roman"/>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102" w:lineRule="exact"/>
        <w:rPr>
          <w:sz w:val="20"/>
          <w:szCs w:val="20"/>
          <w:color w:val="auto"/>
        </w:rPr>
      </w:pPr>
    </w:p>
    <w:p>
      <w:pPr>
        <w:ind w:right="260" w:firstLine="435"/>
        <w:spacing w:after="0" w:line="256" w:lineRule="auto"/>
        <w:rPr>
          <w:sz w:val="20"/>
          <w:szCs w:val="20"/>
          <w:color w:val="auto"/>
        </w:rPr>
      </w:pPr>
      <w:r>
        <w:rPr>
          <w:rFonts w:ascii="Times New Roman" w:cs="Times New Roman" w:eastAsia="Times New Roman" w:hAnsi="Times New Roman"/>
          <w:sz w:val="18"/>
          <w:szCs w:val="18"/>
          <w:color w:val="auto"/>
        </w:rPr>
        <w:t>The Company commenced operations effective with the completion of its initial public offering on March 16, 1994. As of December 31, 2023,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115" w:lineRule="exact"/>
        <w:rPr>
          <w:sz w:val="20"/>
          <w:szCs w:val="20"/>
          <w:color w:val="auto"/>
        </w:rPr>
      </w:pPr>
    </w:p>
    <w:p>
      <w:pPr>
        <w:ind w:right="80" w:firstLine="435"/>
        <w:spacing w:after="0" w:line="249" w:lineRule="auto"/>
        <w:rPr>
          <w:sz w:val="20"/>
          <w:szCs w:val="20"/>
          <w:color w:val="auto"/>
        </w:rPr>
      </w:pPr>
      <w:r>
        <w:rPr>
          <w:rFonts w:ascii="Times New Roman" w:cs="Times New Roman" w:eastAsia="Times New Roman" w:hAnsi="Times New Roman"/>
          <w:sz w:val="18"/>
          <w:szCs w:val="18"/>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106" w:lineRule="exact"/>
        <w:rPr>
          <w:sz w:val="20"/>
          <w:szCs w:val="20"/>
          <w:color w:val="auto"/>
        </w:rPr>
      </w:pPr>
    </w:p>
    <w:p>
      <w:pPr>
        <w:ind w:left="440" w:right="7680" w:hanging="435"/>
        <w:spacing w:after="0" w:line="413" w:lineRule="auto"/>
        <w:tabs>
          <w:tab w:leader="none" w:pos="18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Presentation:</w:t>
      </w:r>
    </w:p>
    <w:p>
      <w:pPr>
        <w:spacing w:after="0" w:line="1" w:lineRule="exact"/>
        <w:rPr>
          <w:sz w:val="20"/>
          <w:szCs w:val="20"/>
          <w:color w:val="auto"/>
        </w:rPr>
      </w:pPr>
    </w:p>
    <w:p>
      <w:pPr>
        <w:ind w:right="100" w:firstLine="435"/>
        <w:spacing w:after="0" w:line="269"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generally accepted accounting principles ("GAAP") in the United States of America.</w:t>
      </w:r>
    </w:p>
    <w:p>
      <w:pPr>
        <w:spacing w:after="0" w:line="89" w:lineRule="exact"/>
        <w:rPr>
          <w:sz w:val="20"/>
          <w:szCs w:val="20"/>
          <w:color w:val="auto"/>
        </w:rPr>
      </w:pPr>
    </w:p>
    <w:p>
      <w:pPr>
        <w:ind w:right="60" w:firstLine="435"/>
        <w:spacing w:after="0" w:line="249"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Investments in entities in which the Company has a controlling financial interest or entities that meet the definition of a variable interest entity ("VIE") in accordance with Accounting Standards Codification ("ASC") 810, "Consolidation", in which the Company has, as a result of ownership, contractual or other financial interests, both the power to direct activities that most significantly impact the economic performance of the VIE and the obligation to absorb losses or the right to receive benefits that could potentially be significant to the VIE are consolidated; otherwise they are accounted for under the equity method of accounting and are reflected as investments in unconsolidated joint ventures.</w:t>
      </w:r>
    </w:p>
    <w:p>
      <w:pPr>
        <w:spacing w:after="0" w:line="121"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VIEs, including SanTan Village Regional Center.</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Operating Partnership's VIEs included the following assets and liabilities: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24"/>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128,673</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452,559</w:t>
            </w:r>
          </w:p>
        </w:tc>
      </w:tr>
      <w:tr>
        <w:trPr>
          <w:trHeight w:val="224"/>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93,102</w:t>
            </w:r>
          </w:p>
        </w:tc>
      </w:tr>
      <w:tr>
        <w:trPr>
          <w:trHeight w:val="217"/>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545,661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4"/>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219,506</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323,841</w:t>
            </w:r>
          </w:p>
        </w:tc>
      </w:tr>
      <w:tr>
        <w:trPr>
          <w:trHeight w:val="224"/>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135,340</w:t>
            </w:r>
          </w:p>
        </w:tc>
      </w:tr>
      <w:tr>
        <w:trPr>
          <w:trHeight w:val="217"/>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459,181</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Basis of Presentation: (Continued)</w:t>
      </w:r>
    </w:p>
    <w:p>
      <w:pPr>
        <w:spacing w:after="0" w:line="155" w:lineRule="exact"/>
        <w:rPr>
          <w:sz w:val="20"/>
          <w:szCs w:val="20"/>
          <w:color w:val="auto"/>
        </w:rPr>
      </w:pPr>
    </w:p>
    <w:p>
      <w:pPr>
        <w:ind w:left="800" w:right="80" w:hanging="399"/>
        <w:spacing w:after="0" w:line="270" w:lineRule="auto"/>
        <w:tabs>
          <w:tab w:leader="none" w:pos="800" w:val="left"/>
        </w:tabs>
        <w:numPr>
          <w:ilvl w:val="0"/>
          <w:numId w:val="3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On December 9, 2023, the Company acquired its joint venture partner's 50.0% interest in Fashion District Philadelphia for no consideration, and the Company now owns 100% of this property. As a result, Fashion District Philadelphia is not included at December 31, 2023 (See Note 15–Acquisitions).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consolidated financial statements.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presents a reconciliation of the beginning of period and end of period cash and cash equivalents and restricted cash reported on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to the totals shown on its consolidated statements of cash flows:</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465,297</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482,659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112,454</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54,517</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166,971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and Cash Equivalents and Restricted Cash:</w:t>
      </w:r>
    </w:p>
    <w:p>
      <w:pPr>
        <w:spacing w:after="0" w:line="138" w:lineRule="exact"/>
        <w:rPr>
          <w:sz w:val="20"/>
          <w:szCs w:val="20"/>
          <w:color w:val="auto"/>
        </w:rPr>
      </w:pPr>
    </w:p>
    <w:p>
      <w:pPr>
        <w:ind w:right="40" w:firstLine="435"/>
        <w:spacing w:after="0" w:line="332" w:lineRule="auto"/>
        <w:rPr>
          <w:sz w:val="20"/>
          <w:szCs w:val="20"/>
          <w:color w:val="auto"/>
        </w:rPr>
      </w:pPr>
      <w:r>
        <w:rPr>
          <w:rFonts w:ascii="Times New Roman" w:cs="Times New Roman" w:eastAsia="Times New Roman" w:hAnsi="Times New Roman"/>
          <w:sz w:val="16"/>
          <w:szCs w:val="16"/>
          <w:color w:val="auto"/>
        </w:rPr>
        <w:t>The Company considers all highly liquid investments with an original maturity of three months or less when purchased to be cash equivalents, for which cost approximates fair value. Restricted cash includes impounds of property taxes and other capital reserves required under loan and other agreements.</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51" w:lineRule="exact"/>
        <w:rPr>
          <w:sz w:val="20"/>
          <w:szCs w:val="20"/>
          <w:color w:val="auto"/>
        </w:rPr>
      </w:pPr>
    </w:p>
    <w:p>
      <w:pPr>
        <w:ind w:right="40" w:firstLine="435"/>
        <w:spacing w:after="0" w:line="248" w:lineRule="auto"/>
        <w:rPr>
          <w:sz w:val="20"/>
          <w:szCs w:val="20"/>
          <w:color w:val="auto"/>
        </w:rPr>
      </w:pPr>
      <w:r>
        <w:rPr>
          <w:rFonts w:ascii="Times New Roman" w:cs="Times New Roman" w:eastAsia="Times New Roman" w:hAnsi="Times New Roman"/>
          <w:sz w:val="18"/>
          <w:szCs w:val="18"/>
          <w:color w:val="auto"/>
        </w:rPr>
        <w:t>Leasing revenue includes minimum rents, percentage rents, tenant recoveries and other leasing income. Minimum rental revenues are recognized on a straight-line basis over the terms of the related leases. The difference between the amount of rent due in a year and the amount recorded as rental income is referred to as the "straight-line rent adjustment." Minimum rents were (decreased) increased by $(4,624), $(777) and $5,873 due to the straight-line rent adjustment during the years ended December 31, 2023, 2022 and 2021, respectively.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110" w:lineRule="exact"/>
        <w:rPr>
          <w:sz w:val="20"/>
          <w:szCs w:val="20"/>
          <w:color w:val="auto"/>
        </w:rPr>
      </w:pPr>
    </w:p>
    <w:p>
      <w:pPr>
        <w:ind w:right="200" w:firstLine="435"/>
        <w:spacing w:after="0" w:line="256" w:lineRule="auto"/>
        <w:rPr>
          <w:sz w:val="20"/>
          <w:szCs w:val="20"/>
          <w:color w:val="auto"/>
        </w:rPr>
      </w:pPr>
      <w:r>
        <w:rPr>
          <w:rFonts w:ascii="Times New Roman" w:cs="Times New Roman" w:eastAsia="Times New Roman" w:hAnsi="Times New Roman"/>
          <w:sz w:val="18"/>
          <w:szCs w:val="18"/>
          <w:color w:val="auto"/>
        </w:rPr>
        <w:t>The Management Companies provide property management, leasing, corporate, development, redevelopment and acquisition services to affiliated and non-affiliated shopping centers. In consideration for these services, the Management Companies receive monthly management fees generally ranging from 1.5% to 4% of the gross monthly rental revenue of the properties managed.</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Property:</w:t>
      </w:r>
    </w:p>
    <w:p>
      <w:pPr>
        <w:spacing w:after="0" w:line="151"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is recorded at cost and is depreciated using a straight-line method over the estimated useful lives of the assets as follows:</w:t>
      </w:r>
    </w:p>
    <w:p>
      <w:pPr>
        <w:spacing w:after="0" w:line="193" w:lineRule="exact"/>
        <w:rPr>
          <w:sz w:val="20"/>
          <w:szCs w:val="20"/>
          <w:color w:val="auto"/>
        </w:rPr>
      </w:pPr>
    </w:p>
    <w:tbl>
      <w:tblPr>
        <w:tblLayout w:type="fixed"/>
        <w:tblInd w:w="1240" w:type="dxa"/>
        <w:tblCellMar>
          <w:top w:w="0" w:type="dxa"/>
          <w:left w:w="0" w:type="dxa"/>
          <w:bottom w:w="0" w:type="dxa"/>
          <w:right w:w="0" w:type="dxa"/>
        </w:tblCellMar>
      </w:tblPr>
      <w:tr>
        <w:trPr>
          <w:trHeight w:val="22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 years</w:t>
            </w:r>
          </w:p>
        </w:tc>
      </w:tr>
      <w:tr>
        <w:trPr>
          <w:trHeight w:val="22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Tenant improvements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2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furnishings</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bl>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Capitalization of Costs:</w:t>
      </w:r>
    </w:p>
    <w:p>
      <w:pPr>
        <w:spacing w:after="0" w:line="151" w:lineRule="exact"/>
        <w:rPr>
          <w:sz w:val="20"/>
          <w:szCs w:val="20"/>
          <w:color w:val="auto"/>
        </w:rPr>
      </w:pPr>
    </w:p>
    <w:p>
      <w:pPr>
        <w:ind w:right="40" w:firstLine="435"/>
        <w:spacing w:after="0" w:line="247" w:lineRule="auto"/>
        <w:rPr>
          <w:sz w:val="20"/>
          <w:szCs w:val="20"/>
          <w:color w:val="auto"/>
        </w:rPr>
      </w:pPr>
      <w:r>
        <w:rPr>
          <w:rFonts w:ascii="Times New Roman" w:cs="Times New Roman" w:eastAsia="Times New Roman" w:hAnsi="Times New Roman"/>
          <w:sz w:val="18"/>
          <w:szCs w:val="18"/>
          <w:color w:val="auto"/>
        </w:rPr>
        <w:t>The Company capitalizes costs incurred in redevelopment, development, renovation and improvement of properties. The capitalized costs include pre-construction costs essential to the development of the property, development costs, construction costs, interest costs, real estate taxes, salaries and related costs and other costs incurred during the period of development. These capitalized costs include direct and certain indirect costs clearly associated with the project. Indirect costs include real estate taxes, insurance and certain shared administrative costs. In assessing the amounts of direct and indirect costs to be capitalized, allocations are made to projects based on estimates of the actual amount of time spent on each activity. Indirect costs not clearly associated with specific projects are expensed as period costs. Capitalized indirect costs are allocated to development and redevelopment activities based on the square footage of the portion of the building not held available for immediate occupancy. If costs and activities incurred to ready the vacant space cease, then cost capitalization is also discontinued until such activities are resumed. Once work has been completed on a vacant space, project costs are no longer capitalized. For projects with extended lease-up periods, the Company ends the capitalization when significant activities have ceased, which does not exceed the shorter of a one-year period after the completion of the building shell or when the construction is substantially complete.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Investment in Unconsolidated Joint Ventures:</w:t>
      </w:r>
    </w:p>
    <w:p>
      <w:pPr>
        <w:spacing w:after="0" w:line="138" w:lineRule="exact"/>
        <w:rPr>
          <w:sz w:val="20"/>
          <w:szCs w:val="20"/>
          <w:color w:val="auto"/>
        </w:rPr>
      </w:pPr>
    </w:p>
    <w:p>
      <w:pPr>
        <w:ind w:right="60" w:firstLine="435"/>
        <w:spacing w:after="0" w:line="248" w:lineRule="auto"/>
        <w:rPr>
          <w:sz w:val="20"/>
          <w:szCs w:val="20"/>
          <w:color w:val="auto"/>
        </w:rPr>
      </w:pPr>
      <w:r>
        <w:rPr>
          <w:rFonts w:ascii="Times New Roman" w:cs="Times New Roman" w:eastAsia="Times New Roman" w:hAnsi="Times New Roman"/>
          <w:sz w:val="18"/>
          <w:szCs w:val="18"/>
          <w:color w:val="auto"/>
        </w:rPr>
        <w:t>The Company accounts for its investments in joint ventures using the equity method of accounting unless the Company has a controlling financial interest in the joint venture or the joint venture meets the definition of a VIE in which the Company is the primary beneficiary through both its power to direct activities that most significantly impact the economic performance of the variable interest entity and the obligation to absorb losses or the right to receive benefits that could potentially be significant to the variable interest entity. Although the Company has a greater than 50% interest in Corte Madera Village, LLC, Macerich HHF Centers LLC, New River Associates LLC and Pacific Premier Retail LLC, the Company does not have controlling financial interests in these joint ventures due to the substantive participation rights of the outside partners in these joint ventures and, therefore, accounts for its investments in these joint ventures using the equity method of accounting.</w:t>
      </w:r>
    </w:p>
    <w:p>
      <w:pPr>
        <w:spacing w:after="0" w:line="123" w:lineRule="exact"/>
        <w:rPr>
          <w:sz w:val="20"/>
          <w:szCs w:val="20"/>
          <w:color w:val="auto"/>
        </w:rPr>
      </w:pPr>
    </w:p>
    <w:p>
      <w:pPr>
        <w:ind w:firstLine="435"/>
        <w:spacing w:after="0" w:line="248" w:lineRule="auto"/>
        <w:rPr>
          <w:sz w:val="20"/>
          <w:szCs w:val="20"/>
          <w:color w:val="auto"/>
        </w:rPr>
      </w:pPr>
      <w:r>
        <w:rPr>
          <w:rFonts w:ascii="Times New Roman" w:cs="Times New Roman" w:eastAsia="Times New Roman" w:hAnsi="Times New Roman"/>
          <w:sz w:val="18"/>
          <w:szCs w:val="18"/>
          <w:color w:val="auto"/>
        </w:rPr>
        <w:t>Equity method investments are initially recorded on the balance sheet at cost and are subsequently adjusted to reflect the Company’s proportionate share of net earnings and losses, distributions received, additional contributions and certain other adjustments, as appropriate. The Company ceases recognizing its proportionate share of net losses when such losses reduce the investment to zero and the Company has no obligation to guarantee the joint venture’s obligations and is not otherwise committed to provide further financial support to the joint venture. The Company separately reports investments in joint ventures when accumulated distributions have exceeded the Company’s investment, as distributions in excess of investments in unconsolidated joint ventures. The net investment of certain joint ventures is less than zero because of financing or operating distributions that are usually greater than net income, as net income includes charges for depreciation and amortization.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38" w:lineRule="exact"/>
        <w:rPr>
          <w:sz w:val="20"/>
          <w:szCs w:val="20"/>
          <w:color w:val="auto"/>
        </w:rPr>
      </w:pPr>
    </w:p>
    <w:p>
      <w:pPr>
        <w:ind w:right="60" w:firstLine="435"/>
        <w:spacing w:after="0" w:line="283" w:lineRule="auto"/>
        <w:rPr>
          <w:sz w:val="20"/>
          <w:szCs w:val="20"/>
          <w:color w:val="auto"/>
        </w:rPr>
      </w:pPr>
      <w:r>
        <w:rPr>
          <w:rFonts w:ascii="Times New Roman" w:cs="Times New Roman" w:eastAsia="Times New Roman" w:hAnsi="Times New Roman"/>
          <w:sz w:val="16"/>
          <w:szCs w:val="16"/>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6"/>
          <w:szCs w:val="16"/>
          <w:color w:val="auto"/>
        </w:rPr>
        <w:t>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w:t>
      </w:r>
    </w:p>
    <w:p>
      <w:pPr>
        <w:spacing w:after="0" w:line="1" w:lineRule="exact"/>
        <w:rPr>
          <w:sz w:val="20"/>
          <w:szCs w:val="20"/>
          <w:color w:val="auto"/>
        </w:rPr>
      </w:pPr>
    </w:p>
    <w:p>
      <w:pPr>
        <w:ind w:right="20" w:firstLine="5"/>
        <w:spacing w:after="0" w:line="244" w:lineRule="auto"/>
        <w:tabs>
          <w:tab w:leader="none" w:pos="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is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31" w:lineRule="exact"/>
        <w:rPr>
          <w:sz w:val="20"/>
          <w:szCs w:val="20"/>
          <w:color w:val="auto"/>
        </w:rPr>
      </w:pPr>
    </w:p>
    <w:p>
      <w:pPr>
        <w:jc w:val="both"/>
        <w:ind w:right="60" w:firstLine="435"/>
        <w:spacing w:after="0" w:line="252" w:lineRule="auto"/>
        <w:rPr>
          <w:sz w:val="20"/>
          <w:szCs w:val="20"/>
          <w:color w:val="auto"/>
        </w:rPr>
      </w:pPr>
      <w:r>
        <w:rPr>
          <w:rFonts w:ascii="Times New Roman" w:cs="Times New Roman" w:eastAsia="Times New Roman" w:hAnsi="Times New Roman"/>
          <w:sz w:val="18"/>
          <w:szCs w:val="18"/>
          <w:color w:val="auto"/>
        </w:rPr>
        <w:t>Remeasurement gains and losses are recognized when the Company becomes the primary beneficiary of an existing equity method investment that is a VIE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Deferred Charges:</w:t>
      </w:r>
    </w:p>
    <w:p>
      <w:pPr>
        <w:spacing w:after="0" w:line="138"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Direct costs relating to obtaining tenant leases are deferred and amortized over the initial term of the lease agreement using the straight-line method. As these deferred leasing costs represent productive assets incurred in connection with the Company's leasing arrangements at the Centers, the related cash flows are classified as investing activities within the accompanying Consolidated Statements of Cash Flows. Costs relating to financing of shopping center properties are deferred and amortized over the life of the related loan using the straight-line method, which approximates the effective interest method.</w:t>
      </w:r>
    </w:p>
    <w:p>
      <w:pPr>
        <w:spacing w:after="0" w:line="200" w:lineRule="exact"/>
        <w:rPr>
          <w:sz w:val="20"/>
          <w:szCs w:val="20"/>
          <w:color w:val="auto"/>
        </w:rPr>
      </w:pPr>
    </w:p>
    <w:p>
      <w:pPr>
        <w:spacing w:after="0" w:line="301"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The range of the terms of the agreements is as follows:</w:t>
            </w:r>
          </w:p>
        </w:tc>
        <w:tc>
          <w:tcPr>
            <w:tcW w:w="32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leasing costs</w:t>
            </w:r>
          </w:p>
        </w:tc>
        <w:tc>
          <w:tcPr>
            <w:tcW w:w="320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1 - 15 years</w:t>
            </w:r>
          </w:p>
        </w:tc>
      </w:tr>
      <w:tr>
        <w:trPr>
          <w:trHeight w:val="22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2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1 - 15 years</w:t>
            </w:r>
          </w:p>
        </w:tc>
      </w:tr>
    </w:tbl>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Accounting for Impairment:</w:t>
      </w:r>
    </w:p>
    <w:p>
      <w:pPr>
        <w:spacing w:after="0" w:line="151" w:lineRule="exact"/>
        <w:rPr>
          <w:sz w:val="20"/>
          <w:szCs w:val="20"/>
          <w:color w:val="auto"/>
        </w:rPr>
      </w:pPr>
    </w:p>
    <w:p>
      <w:pPr>
        <w:ind w:firstLine="435"/>
        <w:spacing w:after="0" w:line="284" w:lineRule="auto"/>
        <w:rPr>
          <w:sz w:val="20"/>
          <w:szCs w:val="20"/>
          <w:color w:val="auto"/>
        </w:rPr>
      </w:pPr>
      <w:r>
        <w:rPr>
          <w:rFonts w:ascii="Times New Roman" w:cs="Times New Roman" w:eastAsia="Times New Roman" w:hAnsi="Times New Roman"/>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capitalization rates and estimated holding periods. The Company generally holds and operates its properties long-term, which decreases the likelihood of their carrying values not being recoverable. Changes in events or changes in circumstances may alter the expected hold period of an asset or asset group, which may result in an impairment loss and such loss could be material to the Company's financial condition or operating performance. If the carrying value of the property exceeds the estimated undiscounted cash flows, an impairment loss is recognized equal to the excess of carrying value over its estimated fair value. Properties classified as held for sale are measured at the lower of the carrying amount or fair value less cost to sell.</w:t>
      </w:r>
    </w:p>
    <w:p>
      <w:pPr>
        <w:spacing w:after="0" w:line="83" w:lineRule="exact"/>
        <w:rPr>
          <w:sz w:val="20"/>
          <w:szCs w:val="20"/>
          <w:color w:val="auto"/>
        </w:rPr>
      </w:pPr>
    </w:p>
    <w:p>
      <w:pPr>
        <w:ind w:right="380" w:firstLine="435"/>
        <w:spacing w:after="0" w:line="256" w:lineRule="auto"/>
        <w:rPr>
          <w:sz w:val="20"/>
          <w:szCs w:val="20"/>
          <w:color w:val="auto"/>
        </w:rPr>
      </w:pPr>
      <w:r>
        <w:rPr>
          <w:rFonts w:ascii="Times New Roman" w:cs="Times New Roman" w:eastAsia="Times New Roman" w:hAnsi="Times New Roman"/>
          <w:sz w:val="18"/>
          <w:szCs w:val="18"/>
          <w:color w:val="auto"/>
        </w:rPr>
        <w:t>The estimated fair value of a property is typically determined through a discounted cash flow analysis or based upon a contracted sales price. The discounted cash flow method includes significant unobservable inputs including the discount rate, terminal capitalization rate and market rents. Cash flow projections and rates are subject to management’s judgment and changes in those assumptions could impact the estimation of fair value.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firstLine="435"/>
        <w:spacing w:after="0" w:line="250" w:lineRule="auto"/>
        <w:rPr>
          <w:sz w:val="20"/>
          <w:szCs w:val="20"/>
          <w:color w:val="auto"/>
        </w:rPr>
      </w:pPr>
      <w:r>
        <w:rPr>
          <w:rFonts w:ascii="Times New Roman" w:cs="Times New Roman" w:eastAsia="Times New Roman" w:hAnsi="Times New Roman"/>
          <w:sz w:val="18"/>
          <w:szCs w:val="18"/>
          <w:color w:val="auto"/>
        </w:rPr>
        <w:t>The Company’s investments in unconsolidated joint ventures apply the same accounting model for property level impairment as described above. Further, 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 The Company records any such impairment up to the extent of its investment.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Share and Unit-based Compensation Plans:</w:t>
      </w:r>
    </w:p>
    <w:p>
      <w:pPr>
        <w:spacing w:after="0" w:line="151" w:lineRule="exact"/>
        <w:rPr>
          <w:sz w:val="20"/>
          <w:szCs w:val="20"/>
          <w:color w:val="auto"/>
        </w:rPr>
      </w:pPr>
    </w:p>
    <w:p>
      <w:pPr>
        <w:ind w:right="20" w:firstLine="435"/>
        <w:spacing w:after="0" w:line="269" w:lineRule="auto"/>
        <w:rPr>
          <w:sz w:val="20"/>
          <w:szCs w:val="20"/>
          <w:color w:val="auto"/>
        </w:rPr>
      </w:pPr>
      <w:r>
        <w:rPr>
          <w:rFonts w:ascii="Times New Roman" w:cs="Times New Roman" w:eastAsia="Times New Roman" w:hAnsi="Times New Roman"/>
          <w:sz w:val="18"/>
          <w:szCs w:val="18"/>
          <w:color w:val="auto"/>
        </w:rPr>
        <w:t>The cost of share and unit-based compensation awards is measured at the grant date based on the calculated fair value of the awards and is recognized on a straight-line basis over the requisite service period, which is generally the vesting period of the awards.</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151" w:lineRule="exact"/>
        <w:rPr>
          <w:sz w:val="20"/>
          <w:szCs w:val="20"/>
          <w:color w:val="auto"/>
        </w:rPr>
      </w:pPr>
    </w:p>
    <w:p>
      <w:pPr>
        <w:ind w:right="80" w:firstLine="435"/>
        <w:spacing w:after="0" w:line="249" w:lineRule="auto"/>
        <w:rPr>
          <w:sz w:val="20"/>
          <w:szCs w:val="20"/>
          <w:color w:val="auto"/>
        </w:rPr>
      </w:pPr>
      <w:r>
        <w:rPr>
          <w:rFonts w:ascii="Times New Roman" w:cs="Times New Roman" w:eastAsia="Times New Roman" w:hAnsi="Times New Roman"/>
          <w:sz w:val="18"/>
          <w:szCs w:val="18"/>
          <w:color w:val="auto"/>
        </w:rPr>
        <w:t>The Company recognizes all derivatives in the consolidated financial statements and measures the derivatives at fair value. The Company uses interest rate swap and cap agreements (collectively, "interest rate agreements") in the normal course of business to manage or reduce its exposure to adverse fluctuations in interest rates. The Company designs its hedges to be effective in reducing the risk exposure that they are designated to hedge. Any instrument that meets the cash flow hedging criteria is formally designated as a cash flow hedge at the inception of the derivative contract. On an ongoing quarterly basis, the Company adjusts its balance sheet to reflect the current fair value of its derivatives. To the extent they are effective, changes in fair value are recorded in comprehensive income.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Amounts paid (received) as a result of interest rate agreements are recorded as an addition (reduction) to (of) interest expense.</w:t>
      </w:r>
    </w:p>
    <w:p>
      <w:pPr>
        <w:spacing w:after="0" w:line="136" w:lineRule="exact"/>
        <w:rPr>
          <w:sz w:val="20"/>
          <w:szCs w:val="20"/>
          <w:color w:val="auto"/>
        </w:rPr>
      </w:pPr>
    </w:p>
    <w:p>
      <w:pPr>
        <w:ind w:right="260" w:firstLine="435"/>
        <w:spacing w:after="0" w:line="269" w:lineRule="auto"/>
        <w:rPr>
          <w:sz w:val="20"/>
          <w:szCs w:val="20"/>
          <w:color w:val="auto"/>
        </w:rPr>
      </w:pPr>
      <w:r>
        <w:rPr>
          <w:rFonts w:ascii="Times New Roman" w:cs="Times New Roman" w:eastAsia="Times New Roman" w:hAnsi="Times New Roman"/>
          <w:sz w:val="18"/>
          <w:szCs w:val="18"/>
          <w:color w:val="auto"/>
        </w:rPr>
        <w:t>If any derivative instrument used for risk management does not meet the hedging criteria, it is marked-to-market each period with the change in value included in the consolidated statements of operations.</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51" w:lineRule="exact"/>
        <w:rPr>
          <w:sz w:val="20"/>
          <w:szCs w:val="20"/>
          <w:color w:val="auto"/>
        </w:rPr>
      </w:pPr>
    </w:p>
    <w:p>
      <w:pPr>
        <w:ind w:firstLine="435"/>
        <w:spacing w:after="0" w:line="248" w:lineRule="auto"/>
        <w:rPr>
          <w:sz w:val="20"/>
          <w:szCs w:val="20"/>
          <w:color w:val="auto"/>
        </w:rPr>
      </w:pPr>
      <w:r>
        <w:rPr>
          <w:rFonts w:ascii="Times New Roman" w:cs="Times New Roman" w:eastAsia="Times New Roman" w:hAnsi="Times New Roman"/>
          <w:sz w:val="18"/>
          <w:szCs w:val="18"/>
          <w:color w:val="auto"/>
        </w:rPr>
        <w:t>The Company elected to be taxed as a REIT under the Code commencing with its taxable year ended December 31, 1994. To qualify as a REIT, the Company must meet a number of organizational and operational requirements, including a requirement that it distribute at least 90% of its taxable income to its stockholders. It is management's current intention to adhere to these requirements and maintain the Company's REIT status. As a REIT, the Company generally will not be subject to corporate level federal income tax on taxable income it distributes currently to its stockholders. If the Company fails to qualify as a REIT in any taxable year, then it will be subject to federal income taxes at regular corporate rates and may not be able to qualify as a REIT for four subsequent taxable years. Even if the Company qualifies for taxation as a REIT, the Company may be subject to certain state and local taxes on its income and property and to federal income and excise taxes on its undistributed taxable income, if any.</w:t>
      </w:r>
    </w:p>
    <w:p>
      <w:pPr>
        <w:spacing w:after="0" w:line="110" w:lineRule="exact"/>
        <w:rPr>
          <w:sz w:val="20"/>
          <w:szCs w:val="20"/>
          <w:color w:val="auto"/>
        </w:rPr>
      </w:pPr>
    </w:p>
    <w:p>
      <w:pPr>
        <w:ind w:right="220" w:firstLine="435"/>
        <w:spacing w:after="0" w:line="256" w:lineRule="auto"/>
        <w:rPr>
          <w:sz w:val="20"/>
          <w:szCs w:val="20"/>
          <w:color w:val="auto"/>
        </w:rPr>
      </w:pPr>
      <w:r>
        <w:rPr>
          <w:rFonts w:ascii="Times New Roman" w:cs="Times New Roman" w:eastAsia="Times New Roman" w:hAnsi="Times New Roman"/>
          <w:sz w:val="18"/>
          <w:szCs w:val="18"/>
          <w:color w:val="auto"/>
        </w:rPr>
        <w:t>Each partner is taxed individually on its share of partnership income or loss, and accordingly, no provision for federal and state income tax is provided for the Operating Partnership in the consolidated financial statements. The Company's taxable REIT subsidiaries ("TRSs") are subject to corporate level income taxes, which are provided for in the Company's consolidated financial statements.</w:t>
      </w:r>
    </w:p>
    <w:p>
      <w:pPr>
        <w:spacing w:after="0" w:line="115" w:lineRule="exact"/>
        <w:rPr>
          <w:sz w:val="20"/>
          <w:szCs w:val="20"/>
          <w:color w:val="auto"/>
        </w:rPr>
      </w:pPr>
    </w:p>
    <w:p>
      <w:pPr>
        <w:ind w:firstLine="435"/>
        <w:spacing w:after="0" w:line="286"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 The deferred tax assets and liabilities of the TRSs relate primarily to differences in the book and tax bases of property and to operating loss carryforwards for federal and state income tax purposes. A valuation allowance for deferred tax assets is provided if the Company believes it is more likely than not that all or some portion of the deferred tax assets will not be realized. Realization of deferred tax assets is dependent on the Company generating sufficient taxable income in future periods.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51" w:lineRule="exact"/>
        <w:rPr>
          <w:sz w:val="20"/>
          <w:szCs w:val="20"/>
          <w:color w:val="auto"/>
        </w:rPr>
      </w:pPr>
    </w:p>
    <w:p>
      <w:pPr>
        <w:ind w:right="40" w:firstLine="435"/>
        <w:spacing w:after="0" w:line="269" w:lineRule="auto"/>
        <w:rPr>
          <w:sz w:val="20"/>
          <w:szCs w:val="20"/>
          <w:color w:val="auto"/>
        </w:rPr>
      </w:pPr>
      <w:r>
        <w:rPr>
          <w:rFonts w:ascii="Times New Roman" w:cs="Times New Roman" w:eastAsia="Times New Roman" w:hAnsi="Times New Roman"/>
          <w:sz w:val="18"/>
          <w:szCs w:val="18"/>
          <w:color w:val="auto"/>
        </w:rPr>
        <w:t>The Company currently operates in one business segment, the acquisition, ownership, development, redevelopment, management and leasing of regional and community shopping centers. Additionally, the Company operates in one geographic area, the United States.</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38" w:lineRule="exact"/>
        <w:rPr>
          <w:sz w:val="20"/>
          <w:szCs w:val="20"/>
          <w:color w:val="auto"/>
        </w:rPr>
      </w:pPr>
    </w:p>
    <w:p>
      <w:pPr>
        <w:ind w:right="80" w:firstLine="435"/>
        <w:spacing w:after="0" w:line="269" w:lineRule="auto"/>
        <w:rPr>
          <w:sz w:val="20"/>
          <w:szCs w:val="20"/>
          <w:color w:val="auto"/>
        </w:rPr>
      </w:pPr>
      <w:r>
        <w:rPr>
          <w:rFonts w:ascii="Times New Roman" w:cs="Times New Roman" w:eastAsia="Times New Roman" w:hAnsi="Times New Roman"/>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102" w:lineRule="exact"/>
        <w:rPr>
          <w:sz w:val="20"/>
          <w:szCs w:val="20"/>
          <w:color w:val="auto"/>
        </w:rPr>
      </w:pPr>
    </w:p>
    <w:p>
      <w:pPr>
        <w:ind w:firstLine="435"/>
        <w:spacing w:after="0" w:line="283" w:lineRule="auto"/>
        <w:rPr>
          <w:sz w:val="20"/>
          <w:szCs w:val="20"/>
          <w:color w:val="auto"/>
        </w:rPr>
      </w:pPr>
      <w:r>
        <w:rPr>
          <w:rFonts w:ascii="Times New Roman" w:cs="Times New Roman" w:eastAsia="Times New Roman" w:hAnsi="Times New Roman"/>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96" w:lineRule="exact"/>
        <w:rPr>
          <w:sz w:val="20"/>
          <w:szCs w:val="20"/>
          <w:color w:val="auto"/>
        </w:rPr>
      </w:pPr>
    </w:p>
    <w:p>
      <w:pPr>
        <w:ind w:right="120" w:firstLine="435"/>
        <w:spacing w:after="0" w:line="256" w:lineRule="auto"/>
        <w:rPr>
          <w:sz w:val="20"/>
          <w:szCs w:val="20"/>
          <w:color w:val="auto"/>
        </w:rPr>
      </w:pPr>
      <w:r>
        <w:rPr>
          <w:rFonts w:ascii="Times New Roman" w:cs="Times New Roman" w:eastAsia="Times New Roman" w:hAnsi="Times New Roman"/>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02" w:lineRule="exact"/>
        <w:rPr>
          <w:sz w:val="20"/>
          <w:szCs w:val="20"/>
          <w:color w:val="auto"/>
        </w:rPr>
      </w:pPr>
    </w:p>
    <w:p>
      <w:pPr>
        <w:ind w:right="40" w:firstLine="435"/>
        <w:spacing w:after="0" w:line="286" w:lineRule="auto"/>
        <w:rPr>
          <w:sz w:val="20"/>
          <w:szCs w:val="20"/>
          <w:color w:val="auto"/>
        </w:rPr>
      </w:pPr>
      <w:r>
        <w:rPr>
          <w:rFonts w:ascii="Times New Roman" w:cs="Times New Roman" w:eastAsia="Times New Roman" w:hAnsi="Times New Roman"/>
          <w:sz w:val="16"/>
          <w:szCs w:val="16"/>
          <w:color w:val="auto"/>
        </w:rPr>
        <w:t>The fair values of interest rate agreements are determined using the market standard methodology of discounting the future expected cash receipts that would occur if variable interest rates fell below or rose above the strike rate of the interest rate agreements. The variable interest rates used in the calculation of projected receipts on the interest rate agreements are based on an expectation of future interest rates derived from observable market interest rate curves and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94"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The Company records its financing arrangement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Concentration of Risk:</w:t>
      </w:r>
    </w:p>
    <w:p>
      <w:pPr>
        <w:spacing w:after="0" w:line="138" w:lineRule="exact"/>
        <w:rPr>
          <w:sz w:val="20"/>
          <w:szCs w:val="20"/>
          <w:color w:val="auto"/>
        </w:rPr>
      </w:pPr>
    </w:p>
    <w:p>
      <w:pPr>
        <w:ind w:right="220" w:firstLine="435"/>
        <w:spacing w:after="0" w:line="269" w:lineRule="auto"/>
        <w:rPr>
          <w:sz w:val="20"/>
          <w:szCs w:val="20"/>
          <w:color w:val="auto"/>
        </w:rPr>
      </w:pPr>
      <w:r>
        <w:rPr>
          <w:rFonts w:ascii="Times New Roman" w:cs="Times New Roman" w:eastAsia="Times New Roman" w:hAnsi="Times New Roman"/>
          <w:sz w:val="18"/>
          <w:szCs w:val="18"/>
          <w:color w:val="auto"/>
        </w:rPr>
        <w:t>The Company maintains its cash accounts in a number of commercial banks. Accounts at these banks are guaranteed by the Federal Deposit Insurance Corporation ("FDIC") up to $250. At various times during the year, the Company had deposits in excess of the FDIC insurance limit.</w:t>
      </w:r>
    </w:p>
    <w:p>
      <w:pPr>
        <w:spacing w:after="0" w:line="102" w:lineRule="exact"/>
        <w:rPr>
          <w:sz w:val="20"/>
          <w:szCs w:val="20"/>
          <w:color w:val="auto"/>
        </w:rPr>
      </w:pPr>
    </w:p>
    <w:p>
      <w:pPr>
        <w:ind w:right="80" w:firstLine="435"/>
        <w:spacing w:after="0" w:line="256" w:lineRule="auto"/>
        <w:rPr>
          <w:sz w:val="20"/>
          <w:szCs w:val="20"/>
          <w:color w:val="auto"/>
        </w:rPr>
      </w:pPr>
      <w:r>
        <w:rPr>
          <w:rFonts w:ascii="Times New Roman" w:cs="Times New Roman" w:eastAsia="Times New Roman" w:hAnsi="Times New Roman"/>
          <w:sz w:val="18"/>
          <w:szCs w:val="18"/>
          <w:color w:val="auto"/>
        </w:rPr>
        <w:t>No Center or tenant generated more than 10% of total revenues during the years ended December 31, 2023, 2022 or 2021, with the exception of one Center in New York which represents approximately 11% and 12% of the Company's consolidated revenues for the years ended December 31, 2023 and 2022, respectively.</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Management Estimates:</w:t>
      </w:r>
    </w:p>
    <w:p>
      <w:pPr>
        <w:spacing w:after="0" w:line="138" w:lineRule="exact"/>
        <w:rPr>
          <w:sz w:val="20"/>
          <w:szCs w:val="20"/>
          <w:color w:val="auto"/>
        </w:rPr>
      </w:pPr>
    </w:p>
    <w:p>
      <w:pPr>
        <w:ind w:right="460" w:firstLine="435"/>
        <w:spacing w:after="0" w:line="269"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18"/>
          <w:szCs w:val="18"/>
          <w:color w:val="auto"/>
        </w:rPr>
        <w:t>date of the financial statements and the reported amounts of revenues and expenses during the reporting period. Actual results could differ from those estimates.</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51"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(“ASU”) No. 2023-07 “Segment Reporting (Topic 280): Improvements to Reportable Segment Disclosures.” This ASU is effective for fiscal years beginning after December 15, 2023, and interim periods within fiscal years beginning after December 15, 2024, with early adoption permitted. The Company is currently evaluating the impact of adopting this ASU on its consolidated financial statements and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151" w:lineRule="exact"/>
        <w:rPr>
          <w:sz w:val="20"/>
          <w:szCs w:val="20"/>
          <w:color w:val="auto"/>
        </w:rPr>
      </w:pPr>
    </w:p>
    <w:p>
      <w:pPr>
        <w:ind w:left="240" w:right="20" w:firstLine="395"/>
        <w:spacing w:after="0" w:line="269"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used in the computation of earnings per share for the years ended December 31 (shares in thousands):</w:t>
      </w:r>
    </w:p>
    <w:p>
      <w:pPr>
        <w:spacing w:after="0" w:line="136"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(278,099)</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(65,079)</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the Company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earnings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151"/>
        </w:trPr>
        <w:tc>
          <w:tcPr>
            <w:tcW w:w="622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Numerator for basic and diluted EPS—net (loss) income attributable to common</w:t>
            </w: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(274,935)</w:t>
            </w:r>
          </w:p>
        </w:tc>
        <w:tc>
          <w:tcPr>
            <w:tcW w:w="100" w:type="dxa"/>
            <w:vAlign w:val="bottom"/>
          </w:tcPr>
          <w:p>
            <w:pPr>
              <w:spacing w:after="0"/>
              <w:rPr>
                <w:sz w:val="13"/>
                <w:szCs w:val="13"/>
                <w:color w:val="auto"/>
              </w:rPr>
            </w:pPr>
          </w:p>
        </w:tc>
        <w:tc>
          <w:tcPr>
            <w:tcW w:w="28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(66,924)</w:t>
            </w:r>
          </w:p>
        </w:tc>
        <w:tc>
          <w:tcPr>
            <w:tcW w:w="100" w:type="dxa"/>
            <w:vAlign w:val="bottom"/>
          </w:tcPr>
          <w:p>
            <w:pPr>
              <w:spacing w:after="0"/>
              <w:rPr>
                <w:sz w:val="13"/>
                <w:szCs w:val="13"/>
                <w:color w:val="auto"/>
              </w:rPr>
            </w:pP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Denominator for basic and diluted EPS—weighted average number of common shares</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215,548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215,031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198,070</w:t>
            </w:r>
          </w:p>
        </w:tc>
        <w:tc>
          <w:tcPr>
            <w:tcW w:w="0" w:type="dxa"/>
            <w:vAlign w:val="bottom"/>
          </w:tcPr>
          <w:p>
            <w:pPr>
              <w:spacing w:after="0"/>
              <w:rPr>
                <w:sz w:val="1"/>
                <w:szCs w:val="1"/>
                <w:color w:val="auto"/>
              </w:rPr>
            </w:pPr>
          </w:p>
        </w:tc>
      </w:tr>
      <w:tr>
        <w:trPr>
          <w:trHeight w:val="211"/>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EPS—net (loss) income attributable to common stockholders: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151" w:lineRule="exact"/>
        <w:rPr>
          <w:sz w:val="20"/>
          <w:szCs w:val="20"/>
          <w:color w:val="auto"/>
        </w:rPr>
      </w:pPr>
    </w:p>
    <w:p>
      <w:pPr>
        <w:ind w:left="800" w:right="120" w:hanging="399"/>
        <w:spacing w:after="0" w:line="287" w:lineRule="auto"/>
        <w:tabs>
          <w:tab w:leader="none" w:pos="8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excludes 99,565, 99,565 and 101,948 convertible preferred units for the years ended December 31, 2023, 2022 and 2021, respectively, as their impact was antidilutive.</w:t>
      </w:r>
    </w:p>
    <w:p>
      <w:pPr>
        <w:spacing w:after="0" w:line="86" w:lineRule="exact"/>
        <w:rPr>
          <w:rFonts w:ascii="Times New Roman" w:cs="Times New Roman" w:eastAsia="Times New Roman" w:hAnsi="Times New Roman"/>
          <w:sz w:val="16"/>
          <w:szCs w:val="16"/>
          <w:color w:val="auto"/>
        </w:rPr>
      </w:pPr>
    </w:p>
    <w:p>
      <w:pPr>
        <w:ind w:left="800" w:right="480"/>
        <w:spacing w:after="0" w:line="27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Diluted EPS excludes 8,952,452, 8,646,182 and 9,920,654 Operating Partnership units ("OP Units") for the years ended December 31, 2023, 2022 and 2021, respectively,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w:t>
      </w:r>
    </w:p>
    <w:p>
      <w:pPr>
        <w:spacing w:after="0" w:line="151" w:lineRule="exact"/>
        <w:rPr>
          <w:sz w:val="20"/>
          <w:szCs w:val="20"/>
          <w:color w:val="auto"/>
        </w:rPr>
      </w:pPr>
    </w:p>
    <w:p>
      <w:pPr>
        <w:ind w:right="240" w:firstLine="435"/>
        <w:spacing w:after="0" w:line="263" w:lineRule="auto"/>
        <w:rPr>
          <w:sz w:val="20"/>
          <w:szCs w:val="20"/>
          <w:color w:val="auto"/>
        </w:rPr>
      </w:pPr>
      <w:r>
        <w:rPr>
          <w:rFonts w:ascii="Times New Roman" w:cs="Times New Roman" w:eastAsia="Times New Roman" w:hAnsi="Times New Roman"/>
          <w:sz w:val="18"/>
          <w:szCs w:val="18"/>
          <w:color w:val="auto"/>
        </w:rPr>
        <w:t>The Company owns operating properties through various unconsolidated joint ventures with third parties. The Company's direct or indirect ownership interest in each joint venture as of December 31, 2023 was as follows:</w:t>
      </w:r>
    </w:p>
    <w:tbl>
      <w:tblPr>
        <w:tblLayout w:type="fixed"/>
        <w:tblInd w:w="0" w:type="dxa"/>
        <w:tblCellMar>
          <w:top w:w="0" w:type="dxa"/>
          <w:left w:w="0" w:type="dxa"/>
          <w:bottom w:w="0" w:type="dxa"/>
          <w:right w:w="0" w:type="dxa"/>
        </w:tblCellMar>
      </w:tblPr>
      <w:tr>
        <w:trPr>
          <w:trHeight w:val="158"/>
        </w:trPr>
        <w:tc>
          <w:tcPr>
            <w:tcW w:w="768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Joint Venture</w:t>
            </w:r>
          </w:p>
        </w:tc>
        <w:tc>
          <w:tcPr>
            <w:tcW w:w="1580" w:type="dxa"/>
            <w:vAlign w:val="bottom"/>
          </w:tcPr>
          <w:p>
            <w:pPr>
              <w:jc w:val="right"/>
              <w:ind w:right="193"/>
              <w:spacing w:after="0" w:line="157" w:lineRule="exact"/>
              <w:rPr>
                <w:sz w:val="20"/>
                <w:szCs w:val="20"/>
                <w:color w:val="auto"/>
              </w:rPr>
            </w:pPr>
            <w:r>
              <w:rPr>
                <w:rFonts w:ascii="Times New Roman" w:cs="Times New Roman" w:eastAsia="Times New Roman" w:hAnsi="Times New Roman"/>
                <w:sz w:val="14"/>
                <w:szCs w:val="14"/>
                <w:b w:val="1"/>
                <w:bCs w:val="1"/>
                <w:color w:val="auto"/>
              </w:rPr>
              <w:t>Ownership %(1)</w:t>
            </w:r>
          </w:p>
        </w:tc>
      </w:tr>
      <w:tr>
        <w:trPr>
          <w:trHeight w:val="33"/>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 Tysons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Biltmore Shopping Center Partners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Corte Madera Village,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Country Club Plaza KC Partners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Kierland Commons Investment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Macerich HHF Broadway Plaza LLC—Broadway Plaza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Macerich HHF Centers LLC—Various Properties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New River Associates LLC—Arrowhead Towne Center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Pacific Premier Retail LLC—Various Properties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Propcor II Associates, LLC—Boulevard Shops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PV Land SPE,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Scottsdale Fashion Square Partnership</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TM TRS Holding Company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Tysons Corner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Tysons Corner Hotel I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Tysons Corner Property Holdings II LLC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Tysons Corner Property LLC</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West Acres Development, LLP</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24"/>
        </w:trPr>
        <w:tc>
          <w:tcPr>
            <w:tcW w:w="7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WMAP, L.L.C.—Atlas Park, The Shops at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6" w:lineRule="exact"/>
        <w:rPr>
          <w:sz w:val="20"/>
          <w:szCs w:val="20"/>
          <w:color w:val="auto"/>
        </w:rPr>
      </w:pPr>
    </w:p>
    <w:p>
      <w:pPr>
        <w:ind w:left="1200" w:right="60" w:hanging="562"/>
        <w:spacing w:after="0" w:line="268" w:lineRule="auto"/>
        <w:tabs>
          <w:tab w:leader="none" w:pos="12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ownership interest in this table reflects its direct or indirect legal ownership interest. Legal ownership may, at times, not equal the Company’s economic interest in the listed entities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w:t>
      </w:r>
    </w:p>
    <w:p>
      <w:pPr>
        <w:spacing w:after="0" w:line="2" w:lineRule="exact"/>
        <w:rPr>
          <w:rFonts w:ascii="Times New Roman" w:cs="Times New Roman" w:eastAsia="Times New Roman" w:hAnsi="Times New Roman"/>
          <w:sz w:val="15"/>
          <w:szCs w:val="15"/>
          <w:color w:val="auto"/>
        </w:rPr>
      </w:pPr>
    </w:p>
    <w:p>
      <w:pPr>
        <w:ind w:left="1200" w:right="60"/>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349" w:lineRule="exact"/>
        <w:rPr>
          <w:sz w:val="20"/>
          <w:szCs w:val="20"/>
          <w:color w:val="auto"/>
        </w:rPr>
      </w:pPr>
    </w:p>
    <w:p>
      <w:pPr>
        <w:ind w:right="260" w:firstLine="435"/>
        <w:spacing w:after="0" w:line="269" w:lineRule="auto"/>
        <w:rPr>
          <w:sz w:val="20"/>
          <w:szCs w:val="20"/>
          <w:color w:val="auto"/>
        </w:rPr>
      </w:pPr>
      <w:r>
        <w:rPr>
          <w:rFonts w:ascii="Times New Roman" w:cs="Times New Roman" w:eastAsia="Times New Roman" w:hAnsi="Times New Roman"/>
          <w:sz w:val="18"/>
          <w:szCs w:val="18"/>
          <w:color w:val="auto"/>
        </w:rPr>
        <w:t>The Company has made the following investments, dispositions and financings in unconsolidated joint ventures during the years ended December 31, 2023, 2022 and 2021 and events subsequent to December 31, 2023:</w:t>
      </w:r>
    </w:p>
    <w:p>
      <w:pPr>
        <w:spacing w:after="0" w:line="102" w:lineRule="exact"/>
        <w:rPr>
          <w:sz w:val="20"/>
          <w:szCs w:val="20"/>
          <w:color w:val="auto"/>
        </w:rPr>
      </w:pPr>
    </w:p>
    <w:p>
      <w:pPr>
        <w:ind w:right="500" w:firstLine="435"/>
        <w:spacing w:after="0" w:line="269" w:lineRule="auto"/>
        <w:rPr>
          <w:sz w:val="20"/>
          <w:szCs w:val="20"/>
          <w:color w:val="auto"/>
        </w:rPr>
      </w:pPr>
      <w:r>
        <w:rPr>
          <w:rFonts w:ascii="Times New Roman" w:cs="Times New Roman" w:eastAsia="Times New Roman" w:hAnsi="Times New Roman"/>
          <w:sz w:val="18"/>
          <w:szCs w:val="18"/>
          <w:color w:val="auto"/>
        </w:rPr>
        <w:t>On March 29, 2021, concurrent with the sale of Paradise Valley Mall (see Note 16 – Dispositions), the Company elected to reinvest into the newly formed joint venture at a 5% ownership interest for $3,819 in cash that is accounted for under the equity method of accounting.</w:t>
      </w:r>
    </w:p>
    <w:p>
      <w:pPr>
        <w:spacing w:after="0" w:line="102"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On October 26, 2021, the Company's joint venture in The Shops at Atlas Park replaced the existing loan on the property with a new $65,000 loan that bears interest at a floating rate of LIBOR plus 4.15% (converted to SOFR plus 4.26% on April 7, 2023) and matures on November 9, 2026, including extension options. The loan is covered by an interest rate cap agreement that effectively prevents LIBOR/SOFR from exceeding 3.0% through November 7, 2023. The interest rate cap has since been extended and effectively prevents SOFR from exceeding 5.76% through November 7, 2024.</w:t>
      </w:r>
    </w:p>
    <w:p>
      <w:pPr>
        <w:spacing w:after="0" w:line="106" w:lineRule="exact"/>
        <w:rPr>
          <w:sz w:val="20"/>
          <w:szCs w:val="20"/>
          <w:color w:val="auto"/>
        </w:rPr>
      </w:pPr>
    </w:p>
    <w:p>
      <w:pPr>
        <w:ind w:right="500" w:firstLine="435"/>
        <w:spacing w:after="0" w:line="269" w:lineRule="auto"/>
        <w:rPr>
          <w:sz w:val="20"/>
          <w:szCs w:val="20"/>
          <w:color w:val="auto"/>
        </w:rPr>
      </w:pPr>
      <w:r>
        <w:rPr>
          <w:rFonts w:ascii="Times New Roman" w:cs="Times New Roman" w:eastAsia="Times New Roman" w:hAnsi="Times New Roman"/>
          <w:sz w:val="18"/>
          <w:szCs w:val="18"/>
          <w:color w:val="auto"/>
        </w:rPr>
        <w:t>On December 31, 2021, the Company assigned its joint venture interest in The Shops at North Bridge in Chicago, Illinois to its partner in the joint venture. The assignment included the assumption by the joint venture partner of the Company’s share</w:t>
      </w:r>
    </w:p>
    <w:p>
      <w:pPr>
        <w:sectPr>
          <w:pgSz w:w="11900" w:h="16838" w:orient="portrait"/>
          <w:cols w:equalWidth="0" w:num="1">
            <w:col w:w="11220"/>
          </w:cols>
          <w:pgMar w:left="320" w:top="2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of the debt owed by the joint venture and no cash consideration was received by the Company. The Company recognized a loss of approximately $28,276 in connection with the assignment.</w:t>
      </w:r>
    </w:p>
    <w:p>
      <w:pPr>
        <w:spacing w:after="0" w:line="102" w:lineRule="exact"/>
        <w:rPr>
          <w:sz w:val="20"/>
          <w:szCs w:val="20"/>
          <w:color w:val="auto"/>
        </w:rPr>
      </w:pPr>
    </w:p>
    <w:p>
      <w:pPr>
        <w:ind w:right="120" w:firstLine="435"/>
        <w:spacing w:after="0" w:line="269" w:lineRule="auto"/>
        <w:rPr>
          <w:sz w:val="20"/>
          <w:szCs w:val="20"/>
          <w:color w:val="auto"/>
        </w:rPr>
      </w:pPr>
      <w:r>
        <w:rPr>
          <w:rFonts w:ascii="Times New Roman" w:cs="Times New Roman" w:eastAsia="Times New Roman" w:hAnsi="Times New Roman"/>
          <w:sz w:val="18"/>
          <w:szCs w:val="18"/>
          <w:color w:val="auto"/>
        </w:rPr>
        <w:t>On December 31, 2021, the Company sold its joint venture interest in the undeveloped property at 443 North Wabash Avenue in Chicago, Illinois to its partner in the joint venture for $21,000. The Company recognized an immaterial gain in connection with the sale.</w:t>
      </w:r>
    </w:p>
    <w:p>
      <w:pPr>
        <w:spacing w:after="0" w:line="102" w:lineRule="exact"/>
        <w:rPr>
          <w:sz w:val="20"/>
          <w:szCs w:val="20"/>
          <w:color w:val="auto"/>
        </w:rPr>
      </w:pPr>
    </w:p>
    <w:p>
      <w:pPr>
        <w:ind w:right="40" w:firstLine="435"/>
        <w:spacing w:after="0" w:line="256" w:lineRule="auto"/>
        <w:rPr>
          <w:sz w:val="20"/>
          <w:szCs w:val="20"/>
          <w:color w:val="auto"/>
        </w:rPr>
      </w:pPr>
      <w:r>
        <w:rPr>
          <w:rFonts w:ascii="Times New Roman" w:cs="Times New Roman" w:eastAsia="Times New Roman" w:hAnsi="Times New Roman"/>
          <w:sz w:val="18"/>
          <w:szCs w:val="18"/>
          <w:color w:val="auto"/>
        </w:rPr>
        <w:t>On February 2, 2022, the Company’s joint venture in FlatIron Crossing replaced the existing $197,011 loan on the property with a new $175,000 loan that bears interest at SOFR plus 3.70% and matures on February 9, 2025. The loan is covered by an interest rate cap agreement that effectively prevents SOFR from exceeding 4.0% through February 15, 2024 and 5.0% through February 9, 2025.</w:t>
      </w:r>
    </w:p>
    <w:p>
      <w:pPr>
        <w:spacing w:after="0" w:line="102" w:lineRule="exact"/>
        <w:rPr>
          <w:sz w:val="20"/>
          <w:szCs w:val="20"/>
          <w:color w:val="auto"/>
        </w:rPr>
      </w:pPr>
    </w:p>
    <w:p>
      <w:pPr>
        <w:ind w:right="20" w:firstLine="435"/>
        <w:spacing w:after="0" w:line="249" w:lineRule="auto"/>
        <w:rPr>
          <w:sz w:val="20"/>
          <w:szCs w:val="20"/>
          <w:color w:val="auto"/>
        </w:rPr>
      </w:pPr>
      <w:r>
        <w:rPr>
          <w:rFonts w:ascii="Times New Roman" w:cs="Times New Roman" w:eastAsia="Times New Roman" w:hAnsi="Times New Roman"/>
          <w:sz w:val="18"/>
          <w:szCs w:val="18"/>
          <w:color w:val="auto"/>
        </w:rPr>
        <w:t>On August 2, 2022, the Company acquired the remaining 50% ownership interest in two former Sears parcels (Deptford Mall and Vintage Faire Mall) in MS Portfolio LLC, the Company's joint venture with Seritage Growth Properties ("Seritage"), for a total purchase price of approximately $24,544. As a result of this transaction and the shortening of holding periods on certain other assets in the joint venture, an impairment loss was recorded for the twelve months ending December 31, 2022. The Company's share of the impairment loss was $27,054. Effective as of August 2, 2022, the Company now owns and has consolidated its 100% interest in these two former Sears parcels in its consolidated financial statements (See Note 15</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Consolidated Joint Venture and Acquisitions).</w:t>
      </w:r>
    </w:p>
    <w:p>
      <w:pPr>
        <w:spacing w:after="0" w:line="121" w:lineRule="exact"/>
        <w:rPr>
          <w:sz w:val="20"/>
          <w:szCs w:val="20"/>
          <w:color w:val="auto"/>
        </w:rPr>
      </w:pPr>
    </w:p>
    <w:p>
      <w:pPr>
        <w:ind w:firstLine="435"/>
        <w:spacing w:after="0" w:line="250" w:lineRule="auto"/>
        <w:rPr>
          <w:sz w:val="20"/>
          <w:szCs w:val="20"/>
          <w:color w:val="auto"/>
        </w:rPr>
      </w:pPr>
      <w:r>
        <w:rPr>
          <w:rFonts w:ascii="Times New Roman" w:cs="Times New Roman" w:eastAsia="Times New Roman" w:hAnsi="Times New Roman"/>
          <w:sz w:val="18"/>
          <w:szCs w:val="18"/>
          <w:color w:val="auto"/>
        </w:rPr>
        <w:t>On November 14, 2022, the Company's joint venture in Washington Square closed on a four-year maturity date extension for the existing loan to November 1, 2026, including extension options. The Company's joint venture repaid $15,000 ($9,000 at the Company's pro rata share) of the outstanding loan balance at closing. The loan bears interest at SOFR plus 4.0% and is covered by an interest rate cap agreement that effectively prevents SOFR from exceeding 4.0% through November 1, 2024. On November 1, 2023, the Company's joint venture repaid an additional $15,000 ($9,000 at the Company's pro rata share) of the outstanding loan balance.</w:t>
      </w:r>
    </w:p>
    <w:p>
      <w:pPr>
        <w:spacing w:after="0" w:line="121" w:lineRule="exact"/>
        <w:rPr>
          <w:sz w:val="20"/>
          <w:szCs w:val="20"/>
          <w:color w:val="auto"/>
        </w:rPr>
      </w:pPr>
    </w:p>
    <w:p>
      <w:pPr>
        <w:ind w:right="440" w:firstLine="435"/>
        <w:spacing w:after="0" w:line="269" w:lineRule="auto"/>
        <w:rPr>
          <w:sz w:val="20"/>
          <w:szCs w:val="20"/>
          <w:color w:val="auto"/>
        </w:rPr>
      </w:pPr>
      <w:r>
        <w:rPr>
          <w:rFonts w:ascii="Times New Roman" w:cs="Times New Roman" w:eastAsia="Times New Roman" w:hAnsi="Times New Roman"/>
          <w:sz w:val="18"/>
          <w:szCs w:val="18"/>
          <w:color w:val="auto"/>
        </w:rPr>
        <w:t>On March 3, 2023, the Company’s joint venture in Scottsdale Fashion Square replaced the existing $403,931 mortgage loan on the property with a $700,000 loan that bears interest at a fixed rate of 6.21%, is interest only during the entire loan term and matures on March 6, 2028.</w:t>
      </w:r>
    </w:p>
    <w:p>
      <w:pPr>
        <w:spacing w:after="0" w:line="89" w:lineRule="exact"/>
        <w:rPr>
          <w:sz w:val="20"/>
          <w:szCs w:val="20"/>
          <w:color w:val="auto"/>
        </w:rPr>
      </w:pPr>
    </w:p>
    <w:p>
      <w:pPr>
        <w:ind w:right="120" w:firstLine="435"/>
        <w:spacing w:after="0" w:line="256" w:lineRule="auto"/>
        <w:rPr>
          <w:sz w:val="20"/>
          <w:szCs w:val="20"/>
          <w:color w:val="auto"/>
        </w:rPr>
      </w:pPr>
      <w:r>
        <w:rPr>
          <w:rFonts w:ascii="Times New Roman" w:cs="Times New Roman" w:eastAsia="Times New Roman" w:hAnsi="Times New Roman"/>
          <w:sz w:val="18"/>
          <w:szCs w:val="18"/>
          <w:color w:val="auto"/>
        </w:rPr>
        <w:t>On April 25, 2023, the Company's joint venture in Deptford Mall closed on a three-year maturity date extension for the existing loan to April 3, 2026, including extension options. The Company's joint venture repaid $10,000 ($5,100 at the Company's pro rata share) of the outstanding loan balance at closing. The interest rate on the loan remains unchanged at 3.73%.</w:t>
      </w:r>
    </w:p>
    <w:p>
      <w:pPr>
        <w:spacing w:after="0" w:line="115" w:lineRule="exact"/>
        <w:rPr>
          <w:sz w:val="20"/>
          <w:szCs w:val="20"/>
          <w:color w:val="auto"/>
        </w:rPr>
      </w:pPr>
    </w:p>
    <w:p>
      <w:pPr>
        <w:ind w:right="20" w:firstLine="435"/>
        <w:spacing w:after="0" w:line="250" w:lineRule="auto"/>
        <w:rPr>
          <w:sz w:val="20"/>
          <w:szCs w:val="20"/>
          <w:color w:val="auto"/>
        </w:rPr>
      </w:pPr>
      <w:r>
        <w:rPr>
          <w:rFonts w:ascii="Times New Roman" w:cs="Times New Roman" w:eastAsia="Times New Roman" w:hAnsi="Times New Roman"/>
          <w:sz w:val="18"/>
          <w:szCs w:val="18"/>
          <w:color w:val="auto"/>
        </w:rPr>
        <w:t>Effective May 9, 2023, the Company’s joint venture in Country Club Plaza defaulted on the $295,210 ($147,605 at the Company’s pro rata share) non-recourse loan on the property. The Company’s joint venture is in negotiations with the lender on the terms of this non-recourse loan. Accordingly, the joint venture shortened the holding period of the property due to the uncertainty as to the outcome of these discussions. As a result of shortening the holding period, the joint venture determined the fair value of the property was less than the carrying value and recorded an impairment loss during 2023. The Company recognized $100,997 as its share of the impairment which was limited to the extent of its investment which has been reduced to zero.</w:t>
      </w:r>
    </w:p>
    <w:p>
      <w:pPr>
        <w:spacing w:after="0" w:line="121" w:lineRule="exact"/>
        <w:rPr>
          <w:sz w:val="20"/>
          <w:szCs w:val="20"/>
          <w:color w:val="auto"/>
        </w:rPr>
      </w:pPr>
    </w:p>
    <w:p>
      <w:pPr>
        <w:ind w:right="260" w:firstLine="435"/>
        <w:spacing w:after="0" w:line="250" w:lineRule="auto"/>
        <w:rPr>
          <w:sz w:val="20"/>
          <w:szCs w:val="20"/>
          <w:color w:val="auto"/>
        </w:rPr>
      </w:pPr>
      <w:r>
        <w:rPr>
          <w:rFonts w:ascii="Times New Roman" w:cs="Times New Roman" w:eastAsia="Times New Roman" w:hAnsi="Times New Roman"/>
          <w:sz w:val="18"/>
          <w:szCs w:val="18"/>
          <w:color w:val="auto"/>
        </w:rPr>
        <w:t>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As a result of this transaction and the shortening of holding periods, an impairment loss was recorded by the joint venture. The Company’s share of the impairment loss was $51,363. Effective as of May 18, 2023, the Company now owns and has consolidated its 100% interest in these five former Sears parcels in its consolidated financial statements (See Note 15—Acquisitions).</w:t>
      </w:r>
    </w:p>
    <w:p>
      <w:pPr>
        <w:spacing w:after="0" w:line="94" w:lineRule="exact"/>
        <w:rPr>
          <w:sz w:val="20"/>
          <w:szCs w:val="20"/>
          <w:color w:val="auto"/>
        </w:rPr>
      </w:pPr>
    </w:p>
    <w:p>
      <w:pPr>
        <w:ind w:right="180" w:firstLine="435"/>
        <w:spacing w:after="0" w:line="254" w:lineRule="auto"/>
        <w:rPr>
          <w:sz w:val="20"/>
          <w:szCs w:val="20"/>
          <w:color w:val="auto"/>
        </w:rPr>
      </w:pPr>
      <w:r>
        <w:rPr>
          <w:rFonts w:ascii="Times New Roman" w:cs="Times New Roman" w:eastAsia="Times New Roman" w:hAnsi="Times New Roman"/>
          <w:sz w:val="18"/>
          <w:szCs w:val="18"/>
          <w:color w:val="auto"/>
        </w:rPr>
        <w:t>On December 4, 2023, the Company's joint venture in Tysons Corner Center replaced the existing $666,465 mortgage loan on the property with a new $710,000 loan that bears interest at a fixed rate of 6.60%, is interest only during the entire loan term and matures on December 6, 2028.</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435"/>
        <w:spacing w:after="0" w:line="238" w:lineRule="auto"/>
        <w:rPr>
          <w:sz w:val="20"/>
          <w:szCs w:val="20"/>
          <w:color w:val="auto"/>
        </w:rPr>
      </w:pPr>
      <w:r>
        <w:rPr>
          <w:rFonts w:ascii="Times New Roman" w:cs="Times New Roman" w:eastAsia="Times New Roman" w:hAnsi="Times New Roman"/>
          <w:sz w:val="18"/>
          <w:szCs w:val="18"/>
          <w:color w:val="auto"/>
        </w:rPr>
        <w:t>On December 27, 2023, the Company’s joint venture in One Westside sold the property, a 680,000 square foot office property in Los Angeles, California for $700,000. The existing $324,632 loan on the property was repaid, and $77,643 of net proceeds were generated at the Company’s 25% ownership share, which were used to reduce the Company’s revolving loan facility. As a result of this transaction, the Company recognized its share of gain on sale of assets of $8,118.</w:t>
      </w:r>
    </w:p>
    <w:p>
      <w:pPr>
        <w:spacing w:after="0" w:line="127" w:lineRule="exact"/>
        <w:rPr>
          <w:sz w:val="20"/>
          <w:szCs w:val="20"/>
          <w:color w:val="auto"/>
        </w:rPr>
      </w:pPr>
    </w:p>
    <w:p>
      <w:pPr>
        <w:ind w:firstLine="435"/>
        <w:spacing w:after="0" w:line="256" w:lineRule="auto"/>
        <w:rPr>
          <w:sz w:val="20"/>
          <w:szCs w:val="20"/>
          <w:color w:val="auto"/>
        </w:rPr>
      </w:pPr>
      <w:r>
        <w:rPr>
          <w:rFonts w:ascii="Times New Roman" w:cs="Times New Roman" w:eastAsia="Times New Roman" w:hAnsi="Times New Roman"/>
          <w:sz w:val="18"/>
          <w:szCs w:val="18"/>
          <w:color w:val="auto"/>
        </w:rPr>
        <w:t>On January 10, 2024, the Company's joint venture in Boulevard Shops replaced the existing $23,000 mortgage loan on the property with a new $24,000 loan that bears interest at a variable rate of SOFR plus 2.50%, is interest only during the entire loan term and matures on December 5, 2028. The new loan has a required interest rate cap throughout the term of the loan at a strike rate of 7.5%.</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Combined and condensed balance sheets and statements of operations are presented below for all unconsolidated joint ventures.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and Condensed Balance Sheets of Unconsolidated Joint Ventures as of December 31:</w:t>
      </w:r>
    </w:p>
    <w:p>
      <w:pPr>
        <w:spacing w:after="0" w:line="39" w:lineRule="exact"/>
        <w:rPr>
          <w:sz w:val="20"/>
          <w:szCs w:val="20"/>
          <w:color w:val="auto"/>
        </w:rPr>
      </w:pPr>
    </w:p>
    <w:tbl>
      <w:tblPr>
        <w:tblLayout w:type="fixed"/>
        <w:tblInd w:w="102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net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7,201,941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8,156,632</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664,036</w:t>
            </w:r>
          </w:p>
        </w:tc>
      </w:tr>
      <w:tr>
        <w:trPr>
          <w:trHeight w:val="217"/>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7,809,805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8,820,668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partners' capital(1):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and other notes payable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5,445,411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5,491,250</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451,511</w:t>
            </w: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1,528,348</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Outside partners' capital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1,349,559</w:t>
            </w:r>
          </w:p>
        </w:tc>
      </w:tr>
      <w:tr>
        <w:trPr>
          <w:trHeight w:val="217"/>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7,809,805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8,820,668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joint ventures: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capital</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1,090,403</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1,528,348</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Basis adjustment(2)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(425,153)</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677,978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1,103,195</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Assets—Investments in unconsolidated joint ventures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852,764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1,224,288</w:t>
            </w:r>
          </w:p>
        </w:tc>
      </w:tr>
      <w:tr>
        <w:trPr>
          <w:trHeight w:val="224"/>
        </w:trPr>
        <w:tc>
          <w:tcPr>
            <w:tcW w:w="6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Liabilities—Distributions in excess of investments in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(121,093)</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677,978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1,103,195</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6" w:lineRule="exact"/>
        <w:rPr>
          <w:sz w:val="20"/>
          <w:szCs w:val="20"/>
          <w:color w:val="auto"/>
        </w:rPr>
      </w:pPr>
    </w:p>
    <w:p>
      <w:pPr>
        <w:ind w:left="560" w:right="180" w:hanging="555"/>
        <w:spacing w:after="0" w:line="270" w:lineRule="auto"/>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include the assets of $2,613,690 and $2,690,651 of Pacific Premier Retail LLC (the "PPR Portfolio") as of December 31, 2023 and 2022, respectively, and liabilities of $1,578,328 and $1,611,661 of the PPR Portfolio as of December 31, 2023 and 2022, respectively.</w:t>
      </w:r>
    </w:p>
    <w:p>
      <w:pPr>
        <w:spacing w:after="0" w:line="205" w:lineRule="exact"/>
        <w:rPr>
          <w:rFonts w:ascii="Times New Roman" w:cs="Times New Roman" w:eastAsia="Times New Roman" w:hAnsi="Times New Roman"/>
          <w:sz w:val="16"/>
          <w:szCs w:val="16"/>
          <w:color w:val="auto"/>
        </w:rPr>
      </w:pPr>
    </w:p>
    <w:p>
      <w:pPr>
        <w:ind w:left="560" w:right="260" w:hanging="555"/>
        <w:spacing w:after="0" w:line="255" w:lineRule="auto"/>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amortizes the difference between the cost of its investments in unconsolidated joint ventures and the book value of the underlying equity into (loss) income on a straight-line basis consistent with the lives of the underlying assets. The amortization of this difference was $(14,316), $9,371 and $10,276 for the years ended December 31, 2023, 2022 and 2021,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Combined and Condensed Statements of Operations of Unconsolidated Joint Ventures:</w:t>
      </w:r>
    </w:p>
    <w:p>
      <w:pPr>
        <w:spacing w:after="0" w:line="2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220" w:type="dxa"/>
            <w:vAlign w:val="bottom"/>
          </w:tcPr>
          <w:p>
            <w:pPr>
              <w:spacing w:after="0"/>
              <w:rPr>
                <w:sz w:val="11"/>
                <w:szCs w:val="11"/>
                <w:color w:val="auto"/>
              </w:rPr>
            </w:pPr>
          </w:p>
        </w:tc>
        <w:tc>
          <w:tcPr>
            <w:tcW w:w="82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868,803</w:t>
            </w:r>
          </w:p>
        </w:tc>
        <w:tc>
          <w:tcPr>
            <w:tcW w:w="0" w:type="dxa"/>
            <w:vAlign w:val="bottom"/>
          </w:tcPr>
          <w:p>
            <w:pPr>
              <w:spacing w:after="0"/>
              <w:rPr>
                <w:sz w:val="1"/>
                <w:szCs w:val="1"/>
                <w:color w:val="auto"/>
              </w:rPr>
            </w:pPr>
          </w:p>
        </w:tc>
      </w:tr>
      <w:tr>
        <w:trPr>
          <w:trHeight w:val="191"/>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23,923</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181,085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711,641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892,726</w:t>
            </w:r>
          </w:p>
        </w:tc>
        <w:tc>
          <w:tcPr>
            <w:tcW w:w="0" w:type="dxa"/>
            <w:vAlign w:val="bottom"/>
          </w:tcPr>
          <w:p>
            <w:pPr>
              <w:spacing w:after="0"/>
              <w:rPr>
                <w:sz w:val="1"/>
                <w:szCs w:val="1"/>
                <w:color w:val="auto"/>
              </w:rPr>
            </w:pPr>
          </w:p>
        </w:tc>
      </w:tr>
      <w:tr>
        <w:trPr>
          <w:trHeight w:val="16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291,939</w:t>
            </w:r>
          </w:p>
        </w:tc>
        <w:tc>
          <w:tcPr>
            <w:tcW w:w="0" w:type="dxa"/>
            <w:vAlign w:val="bottom"/>
          </w:tcPr>
          <w:p>
            <w:pPr>
              <w:spacing w:after="0"/>
              <w:rPr>
                <w:sz w:val="1"/>
                <w:szCs w:val="1"/>
                <w:color w:val="auto"/>
              </w:rPr>
            </w:pPr>
          </w:p>
        </w:tc>
      </w:tr>
      <w:tr>
        <w:trPr>
          <w:trHeight w:val="190"/>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6,669</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285,426</w:t>
            </w:r>
          </w:p>
        </w:tc>
        <w:tc>
          <w:tcPr>
            <w:tcW w:w="0" w:type="dxa"/>
            <w:vAlign w:val="bottom"/>
          </w:tcPr>
          <w:p>
            <w:pPr>
              <w:spacing w:after="0"/>
              <w:rPr>
                <w:sz w:val="1"/>
                <w:szCs w:val="1"/>
                <w:color w:val="auto"/>
              </w:rPr>
            </w:pPr>
          </w:p>
        </w:tc>
      </w:tr>
      <w:tr>
        <w:trPr>
          <w:trHeight w:val="191"/>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89,629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250,005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339,634</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700,648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923,668</w:t>
            </w:r>
          </w:p>
        </w:tc>
        <w:tc>
          <w:tcPr>
            <w:tcW w:w="0" w:type="dxa"/>
            <w:vAlign w:val="bottom"/>
          </w:tcPr>
          <w:p>
            <w:pPr>
              <w:spacing w:after="0"/>
              <w:rPr>
                <w:sz w:val="1"/>
                <w:szCs w:val="1"/>
                <w:color w:val="auto"/>
              </w:rPr>
            </w:pPr>
          </w:p>
        </w:tc>
      </w:tr>
      <w:tr>
        <w:trPr>
          <w:trHeight w:val="18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(192,336)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(192,336)</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(181,343)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equity in net loss</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(140,420)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(156,937)</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668,523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852,143</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20,706</w:t>
            </w:r>
          </w:p>
        </w:tc>
        <w:tc>
          <w:tcPr>
            <w:tcW w:w="0" w:type="dxa"/>
            <w:vAlign w:val="bottom"/>
          </w:tcPr>
          <w:p>
            <w:pPr>
              <w:spacing w:after="0"/>
              <w:rPr>
                <w:sz w:val="1"/>
                <w:szCs w:val="1"/>
                <w:color w:val="auto"/>
              </w:rPr>
            </w:pPr>
          </w:p>
        </w:tc>
      </w:tr>
      <w:tr>
        <w:trPr>
          <w:trHeight w:val="184"/>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184,359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688,490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872,849</w:t>
            </w:r>
          </w:p>
        </w:tc>
        <w:tc>
          <w:tcPr>
            <w:tcW w:w="0" w:type="dxa"/>
            <w:vAlign w:val="bottom"/>
          </w:tcPr>
          <w:p>
            <w:pPr>
              <w:spacing w:after="0"/>
              <w:rPr>
                <w:sz w:val="1"/>
                <w:szCs w:val="1"/>
                <w:color w:val="auto"/>
              </w:rPr>
            </w:pPr>
          </w:p>
        </w:tc>
      </w:tr>
      <w:tr>
        <w:trPr>
          <w:trHeight w:val="17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274,117</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expense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0" w:type="dxa"/>
            <w:vAlign w:val="bottom"/>
          </w:tcPr>
          <w:p>
            <w:pPr>
              <w:spacing w:after="0"/>
              <w:rPr>
                <w:sz w:val="1"/>
                <w:szCs w:val="1"/>
                <w:color w:val="auto"/>
              </w:rPr>
            </w:pPr>
          </w:p>
        </w:tc>
      </w:tr>
      <w:tr>
        <w:trPr>
          <w:trHeight w:val="190"/>
        </w:trPr>
        <w:tc>
          <w:tcPr>
            <w:tcW w:w="4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214,400</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258,008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353,998</w:t>
            </w:r>
          </w:p>
        </w:tc>
        <w:tc>
          <w:tcPr>
            <w:tcW w:w="0" w:type="dxa"/>
            <w:vAlign w:val="bottom"/>
          </w:tcPr>
          <w:p>
            <w:pPr>
              <w:spacing w:after="0"/>
              <w:rPr>
                <w:sz w:val="1"/>
                <w:szCs w:val="1"/>
                <w:color w:val="auto"/>
              </w:rPr>
            </w:pPr>
          </w:p>
        </w:tc>
      </w:tr>
      <w:tr>
        <w:trPr>
          <w:trHeight w:val="184"/>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205,535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643,544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849,079</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(28,968)</w:t>
            </w:r>
          </w:p>
        </w:tc>
        <w:tc>
          <w:tcPr>
            <w:tcW w:w="0" w:type="dxa"/>
            <w:vAlign w:val="bottom"/>
          </w:tcPr>
          <w:p>
            <w:pPr>
              <w:spacing w:after="0"/>
              <w:rPr>
                <w:sz w:val="1"/>
                <w:szCs w:val="1"/>
                <w:color w:val="auto"/>
              </w:rPr>
            </w:pPr>
          </w:p>
        </w:tc>
      </w:tr>
      <w:tr>
        <w:trPr>
          <w:trHeight w:val="191"/>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Company's equity in net loss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26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PPR Portfolio</w:t>
            </w: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Joint</w:t>
            </w:r>
          </w:p>
        </w:tc>
        <w:tc>
          <w:tcPr>
            <w:tcW w:w="240" w:type="dxa"/>
            <w:vAlign w:val="bottom"/>
          </w:tcPr>
          <w:p>
            <w:pPr>
              <w:spacing w:after="0"/>
              <w:rPr>
                <w:sz w:val="12"/>
                <w:szCs w:val="12"/>
                <w:color w:val="auto"/>
              </w:rPr>
            </w:pPr>
          </w:p>
        </w:tc>
        <w:tc>
          <w:tcPr>
            <w:tcW w:w="84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2021</w:t>
            </w: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Leasing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168,842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631,139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799,981</w:t>
            </w:r>
          </w:p>
        </w:tc>
        <w:tc>
          <w:tcPr>
            <w:tcW w:w="0" w:type="dxa"/>
            <w:vAlign w:val="bottom"/>
          </w:tcPr>
          <w:p>
            <w:pPr>
              <w:spacing w:after="0"/>
              <w:rPr>
                <w:sz w:val="1"/>
                <w:szCs w:val="1"/>
                <w:color w:val="auto"/>
              </w:rPr>
            </w:pPr>
          </w:p>
        </w:tc>
      </w:tr>
      <w:tr>
        <w:trPr>
          <w:trHeight w:val="191"/>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57,083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57,145</w:t>
            </w:r>
          </w:p>
        </w:tc>
        <w:tc>
          <w:tcPr>
            <w:tcW w:w="0" w:type="dxa"/>
            <w:vAlign w:val="bottom"/>
          </w:tcPr>
          <w:p>
            <w:pPr>
              <w:spacing w:after="0"/>
              <w:rPr>
                <w:sz w:val="1"/>
                <w:szCs w:val="1"/>
                <w:color w:val="auto"/>
              </w:rPr>
            </w:pPr>
          </w:p>
        </w:tc>
      </w:tr>
      <w:tr>
        <w:trPr>
          <w:trHeight w:val="198"/>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168,904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688,222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857,126</w:t>
            </w:r>
          </w:p>
        </w:tc>
        <w:tc>
          <w:tcPr>
            <w:tcW w:w="0" w:type="dxa"/>
            <w:vAlign w:val="bottom"/>
          </w:tcPr>
          <w:p>
            <w:pPr>
              <w:spacing w:after="0"/>
              <w:rPr>
                <w:sz w:val="1"/>
                <w:szCs w:val="1"/>
                <w:color w:val="auto"/>
              </w:rPr>
            </w:pPr>
          </w:p>
        </w:tc>
      </w:tr>
      <w:tr>
        <w:trPr>
          <w:trHeight w:val="17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Shopping center and operating expenses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246,692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286,990</w:t>
            </w:r>
          </w:p>
        </w:tc>
        <w:tc>
          <w:tcPr>
            <w:tcW w:w="0" w:type="dxa"/>
            <w:vAlign w:val="bottom"/>
          </w:tcPr>
          <w:p>
            <w:pPr>
              <w:spacing w:after="0"/>
              <w:rPr>
                <w:sz w:val="1"/>
                <w:szCs w:val="1"/>
                <w:color w:val="auto"/>
              </w:rPr>
            </w:pPr>
          </w:p>
        </w:tc>
      </w:tr>
      <w:tr>
        <w:trPr>
          <w:trHeight w:val="190"/>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Leasing expense</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5,678</w:t>
            </w:r>
          </w:p>
        </w:tc>
        <w:tc>
          <w:tcPr>
            <w:tcW w:w="0" w:type="dxa"/>
            <w:vAlign w:val="bottom"/>
          </w:tcPr>
          <w:p>
            <w:pPr>
              <w:spacing w:after="0"/>
              <w:rPr>
                <w:sz w:val="1"/>
                <w:szCs w:val="1"/>
                <w:color w:val="auto"/>
              </w:rPr>
            </w:pPr>
          </w:p>
        </w:tc>
      </w:tr>
      <w:tr>
        <w:trPr>
          <w:trHeight w:val="205"/>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210,617</w:t>
            </w:r>
          </w:p>
        </w:tc>
        <w:tc>
          <w:tcPr>
            <w:tcW w:w="0" w:type="dxa"/>
            <w:vAlign w:val="bottom"/>
          </w:tcPr>
          <w:p>
            <w:pPr>
              <w:spacing w:after="0"/>
              <w:rPr>
                <w:sz w:val="1"/>
                <w:szCs w:val="1"/>
                <w:color w:val="auto"/>
              </w:rPr>
            </w:pPr>
          </w:p>
        </w:tc>
      </w:tr>
      <w:tr>
        <w:trPr>
          <w:trHeight w:val="191"/>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97,494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253,561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351,055</w:t>
            </w:r>
          </w:p>
        </w:tc>
        <w:tc>
          <w:tcPr>
            <w:tcW w:w="0" w:type="dxa"/>
            <w:vAlign w:val="bottom"/>
          </w:tcPr>
          <w:p>
            <w:pPr>
              <w:spacing w:after="0"/>
              <w:rPr>
                <w:sz w:val="1"/>
                <w:szCs w:val="1"/>
                <w:color w:val="auto"/>
              </w:rPr>
            </w:pPr>
          </w:p>
        </w:tc>
      </w:tr>
      <w:tr>
        <w:trPr>
          <w:trHeight w:val="198"/>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202,150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652,190</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854,340</w:t>
            </w:r>
          </w:p>
        </w:tc>
        <w:tc>
          <w:tcPr>
            <w:tcW w:w="0" w:type="dxa"/>
            <w:vAlign w:val="bottom"/>
          </w:tcPr>
          <w:p>
            <w:pPr>
              <w:spacing w:after="0"/>
              <w:rPr>
                <w:sz w:val="1"/>
                <w:szCs w:val="1"/>
                <w:color w:val="auto"/>
              </w:rPr>
            </w:pPr>
          </w:p>
        </w:tc>
      </w:tr>
      <w:tr>
        <w:trPr>
          <w:trHeight w:val="184"/>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Loss on sale or write down of assets, net</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(9,178)</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Company's equity in net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(10,866)</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26,555</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Significant accounting policies used by the unconsolidated joint ventures are similar to those used by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w:t>
      </w:r>
    </w:p>
    <w:p>
      <w:pPr>
        <w:spacing w:after="0" w:line="151"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The Company uses interest rate cap agreements to manage the interest rate risk on certain floating rate debt. The Company recorded other comprehensive (loss) income related to the marking-to-market of derivative instruments of $(1,584), $656 and $8,184 during the years ended December 31, 2023, 2022 and 2021, respectively. The $1,584 in other comprehensive loss at December 31, 2023 and $632 of the $656 in other comprehensive income at December 31, 2022 is the Company's pro rata share of hedged derivative instruments from certain unconsolidated joint ventures.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derivatives were outstanding at December 31, 2023 and December 31,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SOFR/LIBOR</w:t>
            </w: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20" w:type="dxa"/>
            <w:vAlign w:val="bottom"/>
            <w:gridSpan w:val="2"/>
            <w:vMerge w:val="continue"/>
          </w:tcPr>
          <w:p>
            <w:pPr>
              <w:spacing w:after="0"/>
              <w:rPr>
                <w:sz w:val="10"/>
                <w:szCs w:val="10"/>
                <w:color w:val="auto"/>
              </w:rPr>
            </w:pP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0"/>
                <w:szCs w:val="10"/>
                <w:color w:val="auto"/>
              </w:rPr>
            </w:pPr>
          </w:p>
        </w:tc>
        <w:tc>
          <w:tcPr>
            <w:tcW w:w="1120" w:type="dxa"/>
            <w:vAlign w:val="bottom"/>
          </w:tcPr>
          <w:p>
            <w:pPr>
              <w:jc w:val="center"/>
              <w:ind w:right="126"/>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0" w:type="dxa"/>
            <w:vAlign w:val="bottom"/>
          </w:tcPr>
          <w:p>
            <w:pPr>
              <w:spacing w:after="0"/>
              <w:rPr>
                <w:sz w:val="10"/>
                <w:szCs w:val="10"/>
                <w:color w:val="auto"/>
              </w:rPr>
            </w:pPr>
          </w:p>
        </w:tc>
        <w:tc>
          <w:tcPr>
            <w:tcW w:w="1080" w:type="dxa"/>
            <w:vAlign w:val="bottom"/>
          </w:tcPr>
          <w:p>
            <w:pPr>
              <w:jc w:val="center"/>
              <w:ind w:right="65"/>
              <w:spacing w:after="0" w:line="12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260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08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8"/>
        </w:trPr>
        <w:tc>
          <w:tcPr>
            <w:tcW w:w="2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Santa Monica Place</w:t>
            </w:r>
          </w:p>
        </w:tc>
        <w:tc>
          <w:tcPr>
            <w:tcW w:w="140" w:type="dxa"/>
            <w:vAlign w:val="bottom"/>
          </w:tcPr>
          <w:p>
            <w:pPr>
              <w:spacing w:after="0"/>
              <w:rPr>
                <w:sz w:val="18"/>
                <w:szCs w:val="18"/>
                <w:color w:val="auto"/>
              </w:rPr>
            </w:pPr>
          </w:p>
        </w:tc>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Non-Hedged</w:t>
            </w:r>
          </w:p>
        </w:tc>
        <w:tc>
          <w:tcPr>
            <w:tcW w:w="140" w:type="dxa"/>
            <w:vAlign w:val="bottom"/>
          </w:tcPr>
          <w:p>
            <w:pPr>
              <w:spacing w:after="0"/>
              <w:rPr>
                <w:sz w:val="18"/>
                <w:szCs w:val="18"/>
                <w:color w:val="auto"/>
              </w:rPr>
            </w:pPr>
          </w:p>
        </w:tc>
        <w:tc>
          <w:tcPr>
            <w:tcW w:w="34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18"/>
                <w:szCs w:val="18"/>
                <w:color w:val="auto"/>
              </w:rPr>
            </w:pPr>
          </w:p>
        </w:tc>
        <w:tc>
          <w:tcPr>
            <w:tcW w:w="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Cap</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12/9/2024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color w:val="auto"/>
              </w:rPr>
              <w:t>2,665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0" w:type="dxa"/>
            <w:vAlign w:val="bottom"/>
          </w:tcPr>
          <w:p>
            <w:pPr>
              <w:spacing w:after="0"/>
              <w:rPr>
                <w:sz w:val="1"/>
                <w:szCs w:val="1"/>
                <w:color w:val="auto"/>
              </w:rPr>
            </w:pPr>
          </w:p>
        </w:tc>
      </w:tr>
      <w:tr>
        <w:trPr>
          <w:trHeight w:val="213"/>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Macerich Partnership, L.P.</w:t>
            </w: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Non-Hedged</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Sold Cap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(2,658)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right="140" w:firstLine="435"/>
        <w:spacing w:after="0" w:line="250" w:lineRule="auto"/>
        <w:rPr>
          <w:sz w:val="20"/>
          <w:szCs w:val="20"/>
          <w:color w:val="auto"/>
        </w:rPr>
      </w:pPr>
      <w:r>
        <w:rPr>
          <w:rFonts w:ascii="Times New Roman" w:cs="Times New Roman" w:eastAsia="Times New Roman" w:hAnsi="Times New Roman"/>
          <w:sz w:val="18"/>
          <w:szCs w:val="18"/>
          <w:color w:val="auto"/>
        </w:rPr>
        <w:t>The above derivatives were valued with an aggregate fair value (Level 2 measurement) and were included in other assets (other accrued liabilities). The fair value of the Company's interest rate derivatives were determined using discounted cash flow analysis on the expected cash flows of the derivatives.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08" w:lineRule="exact"/>
        <w:rPr>
          <w:sz w:val="20"/>
          <w:szCs w:val="20"/>
          <w:color w:val="auto"/>
        </w:rPr>
      </w:pPr>
    </w:p>
    <w:p>
      <w:pPr>
        <w:ind w:right="120" w:firstLine="435"/>
        <w:spacing w:after="0" w:line="250"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falls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caps. As 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 Instruments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the Company determined that its interest rate cap valuations in its entirety is classified in Level 2 of the fair value hierarchy.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net at December 31, 2023 and 2022 consists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1,425,211</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6,378,736</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711,007</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furnishings(1)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186,767</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218,859</w:t>
            </w:r>
          </w:p>
        </w:tc>
      </w:tr>
      <w:tr>
        <w:trPr>
          <w:trHeight w:val="217"/>
        </w:trPr>
        <w:tc>
          <w:tcPr>
            <w:tcW w:w="6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8,835,607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8,920,580</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depreciation(1)</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(2,935,118)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(2,792,790)</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5,900,489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6,127,790</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560" w:right="820" w:hanging="555"/>
        <w:spacing w:after="0" w:line="270" w:lineRule="auto"/>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Equipment and furnishings and accumulated depreciation include the cost and accumulated amortization of ROU assets in connection with finance leases at December 31, 2023 and 2022 (See Note 8—Leases).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2022 and 2021 was $265,140, $271,494 and $282,158, respectively.</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(loss) gain on sale or write down of assets, net for the years ended December 31, 2023, 2022 and 2021 consist of the following:</w:t>
      </w:r>
    </w:p>
    <w:p>
      <w:pPr>
        <w:spacing w:after="0" w:line="182" w:lineRule="exact"/>
        <w:rPr>
          <w:sz w:val="20"/>
          <w:szCs w:val="20"/>
          <w:color w:val="auto"/>
        </w:rPr>
      </w:pPr>
    </w:p>
    <w:tbl>
      <w:tblPr>
        <w:tblLayout w:type="fixed"/>
        <w:tblInd w:w="124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sales(1)</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113,657</w:t>
            </w:r>
          </w:p>
        </w:tc>
      </w:tr>
      <w:tr>
        <w:trPr>
          <w:trHeight w:val="22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Write-down of assets(2)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(67,344)</w:t>
            </w:r>
          </w:p>
        </w:tc>
      </w:tr>
      <w:tr>
        <w:trPr>
          <w:trHeight w:val="22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sales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29,427</w:t>
            </w:r>
          </w:p>
        </w:tc>
      </w:tr>
      <w:tr>
        <w:trPr>
          <w:trHeight w:val="217"/>
        </w:trPr>
        <w:tc>
          <w:tcPr>
            <w:tcW w:w="46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(134,523)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75,740</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6" w:lineRule="exact"/>
        <w:rPr>
          <w:sz w:val="20"/>
          <w:szCs w:val="20"/>
          <w:color w:val="auto"/>
        </w:rPr>
      </w:pPr>
    </w:p>
    <w:p>
      <w:pPr>
        <w:ind w:left="560" w:right="340" w:hanging="555"/>
        <w:spacing w:after="0" w:line="270" w:lineRule="auto"/>
        <w:tabs>
          <w:tab w:leader="none" w:pos="5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2023, includes gains related to the sale of The Marketplace at Flagstaff and Superstition Springs Power Center and includes gains related to the sale of La Encantada and Paradise Valley Mall during the year ended December 31, 2021 (See Note 16-Dispositions).</w:t>
      </w:r>
    </w:p>
    <w:p>
      <w:pPr>
        <w:spacing w:after="0" w:line="205" w:lineRule="exact"/>
        <w:rPr>
          <w:rFonts w:ascii="Times New Roman" w:cs="Times New Roman" w:eastAsia="Times New Roman" w:hAnsi="Times New Roman"/>
          <w:sz w:val="16"/>
          <w:szCs w:val="16"/>
          <w:color w:val="auto"/>
        </w:rPr>
      </w:pPr>
    </w:p>
    <w:p>
      <w:pPr>
        <w:ind w:left="560" w:hanging="555"/>
        <w:spacing w:after="0" w:line="253" w:lineRule="auto"/>
        <w:tabs>
          <w:tab w:leader="none" w:pos="5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impairment losses of $144,656 on Fashion Outlets of Niagara Falls and $7,880 on Towne Mall during the year ended December 31, 2023. Includes impairment loss of $5,471 relating to the Company's investment in MS Portfolio LLC (See Note 4—Investments in Unconsolidated Joint Ventures) and impairment loss of $5,140 on Towne Mall during the year ended December 31, 2022. Includes a loss of $28,276 in 2021 in connection with the assignment of the Company's partnership interest in The Shops at North Bridge (See Note 4—Investments in Unconsolidated Joint Ventures) and impairment loss of $27,281 on Estrella Falls during the year ended December 31, 2021. The impairment losses were due to the reduction of the estimated holding periods of the properties. The remaining amounts for the years ended December 31, 2023, 2022 and 2021 mainly pertain to the write off of development costs.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net: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firstLine="435"/>
        <w:spacing w:after="0" w:line="269" w:lineRule="auto"/>
        <w:rPr>
          <w:sz w:val="20"/>
          <w:szCs w:val="20"/>
          <w:color w:val="auto"/>
        </w:rPr>
      </w:pPr>
      <w:r>
        <w:rPr>
          <w:rFonts w:ascii="Times New Roman" w:cs="Times New Roman" w:eastAsia="Times New Roman" w:hAnsi="Times New Roman"/>
          <w:sz w:val="18"/>
          <w:szCs w:val="18"/>
          <w:color w:val="auto"/>
        </w:rPr>
        <w:t>The following table summarizes certain of the Company's assets that were measured on a nonrecurring basis as a result of impairment charges recorded for the years ended December 31, 2023, 2022 and 2021 as described above: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Quoted Prices in Active</w:t>
            </w:r>
          </w:p>
        </w:tc>
        <w:tc>
          <w:tcPr>
            <w:tcW w:w="160" w:type="dxa"/>
            <w:vAlign w:val="bottom"/>
          </w:tcPr>
          <w:p>
            <w:pPr>
              <w:spacing w:after="0"/>
              <w:rPr>
                <w:sz w:val="16"/>
                <w:szCs w:val="16"/>
                <w:color w:val="auto"/>
              </w:rPr>
            </w:pPr>
          </w:p>
        </w:tc>
        <w:tc>
          <w:tcPr>
            <w:tcW w:w="17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20" w:type="dxa"/>
            <w:vAlign w:val="bottom"/>
          </w:tcPr>
          <w:p>
            <w:pPr>
              <w:spacing w:after="0"/>
              <w:rPr>
                <w:sz w:val="16"/>
                <w:szCs w:val="16"/>
                <w:color w:val="auto"/>
              </w:rPr>
            </w:pPr>
          </w:p>
        </w:tc>
        <w:tc>
          <w:tcPr>
            <w:tcW w:w="1600" w:type="dxa"/>
            <w:vAlign w:val="bottom"/>
            <w:vMerge w:val="restart"/>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Markets for Identical</w:t>
            </w:r>
          </w:p>
        </w:tc>
        <w:tc>
          <w:tcPr>
            <w:tcW w:w="16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w:t>
            </w:r>
          </w:p>
        </w:tc>
        <w:tc>
          <w:tcPr>
            <w:tcW w:w="200" w:type="dxa"/>
            <w:vAlign w:val="bottom"/>
          </w:tcPr>
          <w:p>
            <w:pPr>
              <w:spacing w:after="0"/>
              <w:rPr>
                <w:sz w:val="18"/>
                <w:szCs w:val="18"/>
                <w:color w:val="auto"/>
              </w:rPr>
            </w:pPr>
          </w:p>
        </w:tc>
        <w:tc>
          <w:tcPr>
            <w:tcW w:w="17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Total Fair Value</w:t>
            </w:r>
          </w:p>
        </w:tc>
        <w:tc>
          <w:tcPr>
            <w:tcW w:w="12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20" w:type="dxa"/>
            <w:vAlign w:val="bottom"/>
          </w:tcPr>
          <w:p>
            <w:pPr>
              <w:spacing w:after="0"/>
              <w:rPr>
                <w:sz w:val="18"/>
                <w:szCs w:val="18"/>
                <w:color w:val="auto"/>
              </w:rPr>
            </w:pPr>
          </w:p>
        </w:tc>
        <w:tc>
          <w:tcPr>
            <w:tcW w:w="16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Unobservable Inputs</w:t>
            </w:r>
          </w:p>
        </w:tc>
        <w:tc>
          <w:tcPr>
            <w:tcW w:w="0" w:type="dxa"/>
            <w:vAlign w:val="bottom"/>
          </w:tcPr>
          <w:p>
            <w:pPr>
              <w:spacing w:after="0"/>
              <w:rPr>
                <w:sz w:val="1"/>
                <w:szCs w:val="1"/>
                <w:color w:val="auto"/>
              </w:rPr>
            </w:pPr>
          </w:p>
        </w:tc>
      </w:tr>
      <w:tr>
        <w:trPr>
          <w:trHeight w:val="41"/>
        </w:trPr>
        <w:tc>
          <w:tcPr>
            <w:tcW w:w="17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60" w:type="dxa"/>
            <w:vAlign w:val="bottom"/>
          </w:tcPr>
          <w:p>
            <w:pPr>
              <w:spacing w:after="0"/>
              <w:rPr>
                <w:sz w:val="3"/>
                <w:szCs w:val="3"/>
                <w:color w:val="auto"/>
              </w:rPr>
            </w:pPr>
          </w:p>
        </w:tc>
        <w:tc>
          <w:tcPr>
            <w:tcW w:w="1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3"/>
                <w:szCs w:val="3"/>
                <w:color w:val="auto"/>
              </w:rPr>
            </w:pPr>
          </w:p>
        </w:tc>
        <w:tc>
          <w:tcPr>
            <w:tcW w:w="1600" w:type="dxa"/>
            <w:vAlign w:val="bottom"/>
            <w:vMerge w:val="restart"/>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0"/>
        </w:trPr>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2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63,200</w:t>
            </w:r>
          </w:p>
        </w:tc>
        <w:tc>
          <w:tcPr>
            <w:tcW w:w="0" w:type="dxa"/>
            <w:vAlign w:val="bottom"/>
          </w:tcPr>
          <w:p>
            <w:pPr>
              <w:spacing w:after="0"/>
              <w:rPr>
                <w:sz w:val="1"/>
                <w:szCs w:val="1"/>
                <w:color w:val="auto"/>
              </w:rPr>
            </w:pPr>
          </w:p>
        </w:tc>
      </w:tr>
      <w:tr>
        <w:trPr>
          <w:trHeight w:val="224"/>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The fair value relating to the 2021 impairments were based on sales contracts and are classified within Level 2 of the fair value hierarchy. The fair value (Level 3 measurement) related to the 2022 and 2023 impairments were based upon an income approach, using an estimated terminal capitalization rate of 9.5% and 13%, respectively, a discount rate of 10.5% and 14.5%, respectively, and market rents per square foot of $12 to $250. The fair value is sensitive to these significant unobservable inputs.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Tenant and Other Receivables, net:</w:t>
      </w:r>
    </w:p>
    <w:p>
      <w:pPr>
        <w:spacing w:after="0" w:line="151" w:lineRule="exact"/>
        <w:rPr>
          <w:sz w:val="20"/>
          <w:szCs w:val="20"/>
          <w:color w:val="auto"/>
        </w:rPr>
      </w:pPr>
    </w:p>
    <w:p>
      <w:pPr>
        <w:ind w:right="120" w:firstLine="435"/>
        <w:spacing w:after="0" w:line="256" w:lineRule="auto"/>
        <w:rPr>
          <w:sz w:val="20"/>
          <w:szCs w:val="20"/>
          <w:color w:val="auto"/>
        </w:rPr>
      </w:pPr>
      <w:r>
        <w:rPr>
          <w:rFonts w:ascii="Times New Roman" w:cs="Times New Roman" w:eastAsia="Times New Roman" w:hAnsi="Times New Roman"/>
          <w:sz w:val="18"/>
          <w:szCs w:val="18"/>
          <w:color w:val="auto"/>
        </w:rPr>
        <w:t>Included in tenant and other receivables, net is an allowance for doubtful accounts of $4,824 and $10,741 at December 31, 2023 and 2022, respectively. Also included in tenant and other receivables, net are accrued percentage rents of $15,076 and $18,010 at December 31, 2023 and 2022, respectively, and a deferred rent receivable due to straight-line rent adjustments of $105,260 and $110,155 at December 31, 2023 and 2022,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Lessor Leases:</w:t>
      </w:r>
    </w:p>
    <w:p>
      <w:pPr>
        <w:spacing w:after="0" w:line="151" w:lineRule="exact"/>
        <w:rPr>
          <w:sz w:val="20"/>
          <w:szCs w:val="20"/>
          <w:color w:val="auto"/>
        </w:rPr>
      </w:pPr>
    </w:p>
    <w:p>
      <w:pPr>
        <w:ind w:firstLine="435"/>
        <w:spacing w:after="0" w:line="247" w:lineRule="auto"/>
        <w:rPr>
          <w:sz w:val="20"/>
          <w:szCs w:val="20"/>
          <w:color w:val="auto"/>
        </w:rPr>
      </w:pPr>
      <w:r>
        <w:rPr>
          <w:rFonts w:ascii="Times New Roman" w:cs="Times New Roman" w:eastAsia="Times New Roman" w:hAnsi="Times New Roman"/>
          <w:sz w:val="18"/>
          <w:szCs w:val="18"/>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of substantially all of the rents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components of leasing revenue for the years ended December 31, 2023, 2022 and 2021:</w:t>
      </w:r>
    </w:p>
    <w:p>
      <w:pPr>
        <w:spacing w:after="0" w:line="200" w:lineRule="exact"/>
        <w:rPr>
          <w:sz w:val="20"/>
          <w:szCs w:val="20"/>
          <w:color w:val="auto"/>
        </w:rPr>
      </w:pPr>
    </w:p>
    <w:p>
      <w:pPr>
        <w:spacing w:after="0" w:line="351"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 - fixed payments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529,227</w:t>
            </w:r>
          </w:p>
        </w:tc>
      </w:tr>
      <w:tr>
        <w:trPr>
          <w:trHeight w:val="2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revenue - variable payments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251,930</w:t>
            </w:r>
          </w:p>
        </w:tc>
      </w:tr>
      <w:tr>
        <w:trPr>
          <w:trHeight w:val="22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Recovery of doubtful accounts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r>
      <w:tr>
        <w:trPr>
          <w:trHeight w:val="217"/>
        </w:trPr>
        <w:tc>
          <w:tcPr>
            <w:tcW w:w="47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809,023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787,547</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to the Company:</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7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483,136</w:t>
            </w:r>
          </w:p>
        </w:tc>
      </w:tr>
      <w:tr>
        <w:trPr>
          <w:trHeight w:val="224"/>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406,056</w:t>
            </w:r>
          </w:p>
        </w:tc>
      </w:tr>
      <w:tr>
        <w:trPr>
          <w:trHeight w:val="22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332,250</w:t>
            </w:r>
          </w:p>
        </w:tc>
      </w:tr>
      <w:tr>
        <w:trPr>
          <w:trHeight w:val="224"/>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254,321</w:t>
            </w:r>
          </w:p>
        </w:tc>
      </w:tr>
      <w:tr>
        <w:trPr>
          <w:trHeight w:val="22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197,629</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685,240</w:t>
            </w:r>
          </w:p>
        </w:tc>
      </w:tr>
      <w:tr>
        <w:trPr>
          <w:trHeight w:val="242"/>
        </w:trPr>
        <w:tc>
          <w:tcPr>
            <w:tcW w:w="7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2,358,632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51" w:lineRule="exact"/>
        <w:rPr>
          <w:sz w:val="20"/>
          <w:szCs w:val="20"/>
          <w:color w:val="auto"/>
        </w:rPr>
      </w:pPr>
    </w:p>
    <w:p>
      <w:pPr>
        <w:jc w:val="both"/>
        <w:ind w:firstLine="435"/>
        <w:spacing w:after="0" w:line="256" w:lineRule="auto"/>
        <w:rPr>
          <w:sz w:val="20"/>
          <w:szCs w:val="20"/>
          <w:color w:val="auto"/>
        </w:rPr>
      </w:pPr>
      <w:r>
        <w:rPr>
          <w:rFonts w:ascii="Times New Roman" w:cs="Times New Roman" w:eastAsia="Times New Roman" w:hAnsi="Times New Roman"/>
          <w:sz w:val="18"/>
          <w:szCs w:val="18"/>
          <w:color w:val="auto"/>
        </w:rPr>
        <w:t>The Company has certain properties that are subject to non-cancelable operating leases. The leases expire at various times through 2078, subject in some cases to options to extend the terms of the lease. Certain leases provide for contingent rent payments based on a percentage of base rental income, as defined in the lease. In addition, the Company has five finance leases that expire at various times through 2025.</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lease costs for the years ended December 31, 2023, 2022 and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w:t>
            </w: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24"/>
        </w:trPr>
        <w:tc>
          <w:tcPr>
            <w:tcW w:w="5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42"/>
        </w:trPr>
        <w:tc>
          <w:tcPr>
            <w:tcW w:w="5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future rental payments required under the leases as of December 31, 2023:</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4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16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191"/>
        </w:trPr>
        <w:tc>
          <w:tcPr>
            <w:tcW w:w="4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undiscounted rental payments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129,859</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(56,475)</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right="420" w:firstLine="435"/>
        <w:spacing w:after="0" w:line="256" w:lineRule="auto"/>
        <w:rPr>
          <w:sz w:val="20"/>
          <w:szCs w:val="20"/>
          <w:color w:val="auto"/>
        </w:rPr>
      </w:pPr>
      <w:r>
        <w:rPr>
          <w:rFonts w:ascii="Times New Roman" w:cs="Times New Roman" w:eastAsia="Times New Roman" w:hAnsi="Times New Roman"/>
          <w:sz w:val="18"/>
          <w:szCs w:val="18"/>
          <w:color w:val="auto"/>
        </w:rPr>
        <w:t>The Company's weighted average remaining lease term of its operating and finance leases at December 31, 2023 was 24.1 years and 0.7 years, respectively. The Company's weighted average incremental borrowing rate of its operating and finance leases at December 31, 2023 was 7.1% and 3.6%, respectively.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charges and other assets, net at December 31, 2023 and 2022 consist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113,400</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In-place lease values(1)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63,961</w:t>
            </w:r>
          </w:p>
        </w:tc>
      </w:tr>
      <w:tr>
        <w:trPr>
          <w:trHeight w:val="22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Leasing commissions and legal costs(1)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17,299</w:t>
            </w:r>
          </w:p>
        </w:tc>
      </w:tr>
      <w:tr>
        <w:trPr>
          <w:trHeight w:val="224"/>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Above-market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71,304</w:t>
            </w: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23,114</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54,353</w:t>
            </w:r>
          </w:p>
        </w:tc>
      </w:tr>
      <w:tr>
        <w:trPr>
          <w:trHeight w:val="224"/>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66,188</w:t>
            </w:r>
          </w:p>
        </w:tc>
      </w:tr>
      <w:tr>
        <w:trPr>
          <w:trHeight w:val="217"/>
        </w:trPr>
        <w:tc>
          <w:tcPr>
            <w:tcW w:w="6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409,619</w:t>
            </w:r>
          </w:p>
        </w:tc>
      </w:tr>
      <w:tr>
        <w:trPr>
          <w:trHeight w:val="224"/>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(162,195)</w:t>
            </w:r>
          </w:p>
        </w:tc>
      </w:tr>
      <w:tr>
        <w:trPr>
          <w:trHeight w:val="242"/>
        </w:trPr>
        <w:tc>
          <w:tcPr>
            <w:tcW w:w="6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247,424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52" w:lineRule="exact"/>
        <w:rPr>
          <w:sz w:val="20"/>
          <w:szCs w:val="20"/>
          <w:color w:val="auto"/>
        </w:rPr>
      </w:pPr>
    </w:p>
    <w:p>
      <w:pPr>
        <w:ind w:left="1180" w:hanging="542"/>
        <w:spacing w:after="0"/>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these intangible assets for the next five years and thereafter is as follows:</w:t>
      </w:r>
    </w:p>
    <w:p>
      <w:pPr>
        <w:spacing w:after="0" w:line="37" w:lineRule="exact"/>
        <w:rPr>
          <w:sz w:val="20"/>
          <w:szCs w:val="20"/>
          <w:color w:val="auto"/>
        </w:rPr>
      </w:pPr>
    </w:p>
    <w:tbl>
      <w:tblPr>
        <w:tblLayout w:type="fixed"/>
        <w:tblInd w:w="1200" w:type="dxa"/>
        <w:tblCellMar>
          <w:top w:w="0" w:type="dxa"/>
          <w:left w:w="0" w:type="dxa"/>
          <w:bottom w:w="0" w:type="dxa"/>
          <w:right w:w="0" w:type="dxa"/>
        </w:tblCellMar>
      </w:tblPr>
      <w:tr>
        <w:trPr>
          <w:trHeight w:val="185"/>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r>
      <w:tr>
        <w:trPr>
          <w:trHeight w:val="22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r>
      <w:tr>
        <w:trPr>
          <w:trHeight w:val="22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24"/>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24"/>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11,676</w:t>
            </w:r>
          </w:p>
        </w:tc>
      </w:tr>
      <w:tr>
        <w:trPr>
          <w:trHeight w:val="242"/>
        </w:trPr>
        <w:tc>
          <w:tcPr>
            <w:tcW w:w="6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1180" w:hanging="542"/>
        <w:spacing w:after="0"/>
        <w:tabs>
          <w:tab w:leader="none" w:pos="1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amortization includes $39,540 and $44,362 relating to in-place lease values, leasing commissions and legal costs at</w:t>
      </w:r>
    </w:p>
    <w:p>
      <w:pPr>
        <w:spacing w:after="0" w:line="21" w:lineRule="exact"/>
        <w:rPr>
          <w:rFonts w:ascii="Times New Roman" w:cs="Times New Roman" w:eastAsia="Times New Roman" w:hAnsi="Times New Roman"/>
          <w:sz w:val="18"/>
          <w:szCs w:val="18"/>
          <w:color w:val="auto"/>
        </w:rPr>
      </w:pPr>
    </w:p>
    <w:p>
      <w:pPr>
        <w:ind w:left="120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2023 and 2022, respectively. Amortization expense for in-place lease values, leasing commissions and legal costs was $7,417, $6,734 and $11,233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266"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Charges and Other Assets, net: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allocated values of above-market leases and below-market leases consist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Above-Market Leases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6"/>
              </w:rPr>
              <w:t>66,002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6"/>
              </w:rPr>
              <w:t>71,304</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(36,926)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7"/>
              </w:rPr>
              <w:t>(35,156)</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w w:val="96"/>
              </w:rPr>
              <w:t>29,076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w w:val="96"/>
              </w:rPr>
              <w:t>36,148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Below-Market Leases(1)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allocated value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w w:val="96"/>
              </w:rPr>
              <w:t>85,174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96"/>
              </w:rPr>
              <w:t>97,026</w:t>
            </w:r>
          </w:p>
        </w:tc>
      </w:tr>
      <w:tr>
        <w:trPr>
          <w:trHeight w:val="22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(37,490)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7"/>
              </w:rPr>
              <w:t>(40,797)</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395"/>
              <w:spacing w:after="0"/>
              <w:rPr>
                <w:sz w:val="20"/>
                <w:szCs w:val="20"/>
                <w:color w:val="auto"/>
              </w:rPr>
            </w:pPr>
            <w:r>
              <w:rPr>
                <w:rFonts w:ascii="Times New Roman" w:cs="Times New Roman" w:eastAsia="Times New Roman" w:hAnsi="Times New Roman"/>
                <w:sz w:val="18"/>
                <w:szCs w:val="18"/>
                <w:color w:val="auto"/>
                <w:w w:val="96"/>
              </w:rPr>
              <w:t>47,684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w w:val="96"/>
              </w:rPr>
              <w:t>56,229</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38" w:lineRule="exact"/>
        <w:rPr>
          <w:sz w:val="20"/>
          <w:szCs w:val="20"/>
          <w:color w:val="auto"/>
        </w:rPr>
      </w:pPr>
    </w:p>
    <w:p>
      <w:pPr>
        <w:ind w:left="1180" w:hanging="542"/>
        <w:spacing w:after="0"/>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Below-market leases are included in other accrued liabilities.</w:t>
      </w:r>
    </w:p>
    <w:p>
      <w:pPr>
        <w:spacing w:after="0" w:line="386" w:lineRule="exact"/>
        <w:rPr>
          <w:sz w:val="20"/>
          <w:szCs w:val="20"/>
          <w:color w:val="auto"/>
        </w:rPr>
      </w:pPr>
    </w:p>
    <w:p>
      <w:pPr>
        <w:ind w:firstLine="435"/>
        <w:spacing w:after="0" w:line="263" w:lineRule="auto"/>
        <w:rPr>
          <w:sz w:val="20"/>
          <w:szCs w:val="20"/>
          <w:color w:val="auto"/>
        </w:rPr>
      </w:pPr>
      <w:r>
        <w:rPr>
          <w:rFonts w:ascii="Times New Roman" w:cs="Times New Roman" w:eastAsia="Times New Roman" w:hAnsi="Times New Roman"/>
          <w:sz w:val="18"/>
          <w:szCs w:val="18"/>
          <w:color w:val="auto"/>
        </w:rPr>
        <w:t>The allocated values of above and below-market leases will be amortized into minimum rents on a straight-line basis over the individual remaining lease terms. The amortization of these values for the next five years and thereafter is as follows:</w:t>
      </w:r>
    </w:p>
    <w:tbl>
      <w:tblPr>
        <w:tblLayout w:type="fixed"/>
        <w:tblInd w:w="0" w:type="dxa"/>
        <w:tblCellMar>
          <w:top w:w="0" w:type="dxa"/>
          <w:left w:w="0" w:type="dxa"/>
          <w:bottom w:w="0" w:type="dxa"/>
          <w:right w:w="0" w:type="dxa"/>
        </w:tblCellMar>
      </w:tblPr>
      <w:tr>
        <w:trPr>
          <w:trHeight w:val="146"/>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00" w:type="dxa"/>
            <w:vAlign w:val="bottom"/>
          </w:tcPr>
          <w:p>
            <w:pPr>
              <w:spacing w:after="0"/>
              <w:rPr>
                <w:sz w:val="12"/>
                <w:szCs w:val="12"/>
                <w:color w:val="auto"/>
              </w:rPr>
            </w:pPr>
          </w:p>
        </w:tc>
        <w:tc>
          <w:tcPr>
            <w:tcW w:w="126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Above</w:t>
            </w:r>
          </w:p>
        </w:tc>
        <w:tc>
          <w:tcPr>
            <w:tcW w:w="300" w:type="dxa"/>
            <w:vAlign w:val="bottom"/>
          </w:tcPr>
          <w:p>
            <w:pPr>
              <w:spacing w:after="0"/>
              <w:rPr>
                <w:sz w:val="12"/>
                <w:szCs w:val="12"/>
                <w:color w:val="auto"/>
              </w:rPr>
            </w:pPr>
          </w:p>
        </w:tc>
        <w:tc>
          <w:tcPr>
            <w:tcW w:w="1140" w:type="dxa"/>
            <w:vAlign w:val="bottom"/>
          </w:tcPr>
          <w:p>
            <w:pPr>
              <w:jc w:val="right"/>
              <w:ind w:right="456"/>
              <w:spacing w:after="0" w:line="146" w:lineRule="exact"/>
              <w:rPr>
                <w:sz w:val="20"/>
                <w:szCs w:val="20"/>
                <w:color w:val="auto"/>
              </w:rPr>
            </w:pPr>
            <w:r>
              <w:rPr>
                <w:rFonts w:ascii="Times New Roman" w:cs="Times New Roman" w:eastAsia="Times New Roman" w:hAnsi="Times New Roman"/>
                <w:sz w:val="14"/>
                <w:szCs w:val="14"/>
                <w:b w:val="1"/>
                <w:bCs w:val="1"/>
                <w:color w:val="auto"/>
              </w:rPr>
              <w:t>Below</w:t>
            </w:r>
          </w:p>
        </w:tc>
        <w:tc>
          <w:tcPr>
            <w:tcW w:w="0" w:type="dxa"/>
            <w:vAlign w:val="bottom"/>
          </w:tcPr>
          <w:p>
            <w:pPr>
              <w:spacing w:after="0"/>
              <w:rPr>
                <w:sz w:val="1"/>
                <w:szCs w:val="1"/>
                <w:color w:val="auto"/>
              </w:rPr>
            </w:pPr>
          </w:p>
        </w:tc>
      </w:tr>
      <w:tr>
        <w:trPr>
          <w:trHeight w:val="190"/>
        </w:trPr>
        <w:tc>
          <w:tcPr>
            <w:tcW w:w="6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222"/>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0" w:type="dxa"/>
            <w:vAlign w:val="bottom"/>
          </w:tcPr>
          <w:p>
            <w:pPr>
              <w:spacing w:after="0"/>
              <w:rPr>
                <w:sz w:val="1"/>
                <w:szCs w:val="1"/>
                <w:color w:val="auto"/>
              </w:rPr>
            </w:pPr>
          </w:p>
        </w:tc>
      </w:tr>
      <w:tr>
        <w:trPr>
          <w:trHeight w:val="22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24"/>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224"/>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0" w:type="dxa"/>
            <w:vAlign w:val="bottom"/>
          </w:tcPr>
          <w:p>
            <w:pPr>
              <w:spacing w:after="0"/>
              <w:rPr>
                <w:sz w:val="1"/>
                <w:szCs w:val="1"/>
                <w:color w:val="auto"/>
              </w:rPr>
            </w:pPr>
          </w:p>
        </w:tc>
      </w:tr>
      <w:tr>
        <w:trPr>
          <w:trHeight w:val="242"/>
        </w:trPr>
        <w:tc>
          <w:tcPr>
            <w:tcW w:w="6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266" w:right="4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Mortgage Notes Payable:</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Mortgage notes payable at December 31, 2023 and 2022 consist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Carrying Amounts of Mortgage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Notes(1)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Monthly</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Pledged as Collateral</w:t>
            </w:r>
          </w:p>
        </w:tc>
        <w:tc>
          <w:tcPr>
            <w:tcW w:w="180" w:type="dxa"/>
            <w:vAlign w:val="bottom"/>
          </w:tcPr>
          <w:p>
            <w:pPr>
              <w:spacing w:after="0"/>
              <w:rPr>
                <w:sz w:val="12"/>
                <w:szCs w:val="12"/>
                <w:color w:val="auto"/>
              </w:rPr>
            </w:pPr>
          </w:p>
        </w:tc>
        <w:tc>
          <w:tcPr>
            <w:tcW w:w="104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2"/>
                <w:szCs w:val="12"/>
                <w:color w:val="auto"/>
              </w:rPr>
            </w:pPr>
          </w:p>
        </w:tc>
        <w:tc>
          <w:tcPr>
            <w:tcW w:w="1380" w:type="dxa"/>
            <w:vAlign w:val="bottom"/>
            <w:gridSpan w:val="3"/>
          </w:tcPr>
          <w:p>
            <w:pPr>
              <w:jc w:val="center"/>
              <w:ind w:right="172"/>
              <w:spacing w:after="0" w:line="138" w:lineRule="exact"/>
              <w:rPr>
                <w:sz w:val="20"/>
                <w:szCs w:val="20"/>
                <w:color w:val="auto"/>
              </w:rPr>
            </w:pPr>
            <w:r>
              <w:rPr>
                <w:rFonts w:ascii="Times New Roman" w:cs="Times New Roman" w:eastAsia="Times New Roman" w:hAnsi="Times New Roman"/>
                <w:sz w:val="16"/>
                <w:szCs w:val="16"/>
                <w:b w:val="1"/>
                <w:bCs w:val="1"/>
                <w:color w:val="auto"/>
                <w:w w:val="97"/>
              </w:rPr>
              <w:t>Interest</w:t>
            </w:r>
          </w:p>
        </w:tc>
        <w:tc>
          <w:tcPr>
            <w:tcW w:w="1020" w:type="dxa"/>
            <w:vAlign w:val="bottom"/>
            <w:gridSpan w:val="2"/>
          </w:tcPr>
          <w:p>
            <w:pPr>
              <w:jc w:val="center"/>
              <w:ind w:right="260"/>
              <w:spacing w:after="0" w:line="138" w:lineRule="exact"/>
              <w:rPr>
                <w:sz w:val="20"/>
                <w:szCs w:val="20"/>
                <w:color w:val="auto"/>
              </w:rPr>
            </w:pPr>
            <w:r>
              <w:rPr>
                <w:rFonts w:ascii="Times New Roman" w:cs="Times New Roman" w:eastAsia="Times New Roman" w:hAnsi="Times New Roman"/>
                <w:sz w:val="16"/>
                <w:szCs w:val="16"/>
                <w:b w:val="1"/>
                <w:bCs w:val="1"/>
                <w:color w:val="auto"/>
                <w:w w:val="97"/>
              </w:rPr>
              <w:t>Debt</w:t>
            </w:r>
          </w:p>
        </w:tc>
        <w:tc>
          <w:tcPr>
            <w:tcW w:w="1080" w:type="dxa"/>
            <w:vAlign w:val="bottom"/>
          </w:tcPr>
          <w:p>
            <w:pPr>
              <w:jc w:val="right"/>
              <w:ind w:right="153"/>
              <w:spacing w:after="0" w:line="138"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0" w:type="dxa"/>
            <w:vAlign w:val="bottom"/>
          </w:tcPr>
          <w:p>
            <w:pPr>
              <w:spacing w:after="0"/>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Rate(2)</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Service(3)</w:t>
            </w: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Date(4)</w:t>
            </w:r>
          </w:p>
        </w:tc>
        <w:tc>
          <w:tcPr>
            <w:tcW w:w="0" w:type="dxa"/>
            <w:vAlign w:val="bottom"/>
          </w:tcPr>
          <w:p>
            <w:pPr>
              <w:spacing w:after="0"/>
              <w:rPr>
                <w:sz w:val="1"/>
                <w:szCs w:val="1"/>
                <w:color w:val="auto"/>
              </w:rPr>
            </w:pPr>
          </w:p>
        </w:tc>
      </w:tr>
      <w:tr>
        <w:trPr>
          <w:trHeight w:val="218"/>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Chandler Fashion Center(5)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255,924</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Danbury Fair Mall(6)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District Philadelphia(7)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Fashion Outlets of Chicago</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299,375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Fashion Outlets of Niagara Falls USA(8)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Freehold Raceway Mall(5)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399,044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Fresno Fashion Fair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324,453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324,255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 Acres Commons(9)</w:t>
            </w: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125,256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 Acres Mall(10)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Kings Plaza Shopping Center</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536,956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Oaks, The(11)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151,496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Pacific View</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 Center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Santa Monica Place(12)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297,474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SanTan Village Regional Center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219,414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Towne Mall(13)</w:t>
            </w: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Victor Valley, Mall of</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4"/>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Vintage Faire Mall</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226,910</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233,637</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42"/>
        </w:trPr>
        <w:tc>
          <w:tcPr>
            <w:tcW w:w="3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4,136,136</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4,240,596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ind w:left="800" w:hanging="399"/>
        <w:spacing w:after="0" w:line="288" w:lineRule="auto"/>
        <w:tabs>
          <w:tab w:leader="none" w:pos="7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were $21,148 and $13,830 at December 31, 2023 and 2022, respectively.</w:t>
      </w:r>
    </w:p>
    <w:p>
      <w:pPr>
        <w:spacing w:after="0" w:line="87" w:lineRule="exact"/>
        <w:rPr>
          <w:rFonts w:ascii="Times New Roman" w:cs="Times New Roman" w:eastAsia="Times New Roman" w:hAnsi="Times New Roman"/>
          <w:sz w:val="14"/>
          <w:szCs w:val="14"/>
          <w:color w:val="auto"/>
        </w:rPr>
      </w:pPr>
    </w:p>
    <w:p>
      <w:pPr>
        <w:ind w:left="780" w:hanging="379"/>
        <w:spacing w:after="0"/>
        <w:tabs>
          <w:tab w:leader="none" w:pos="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disclosed represents the effective interest rate, including the impact of debt premium and deferred finance costs.</w:t>
      </w:r>
    </w:p>
    <w:p>
      <w:pPr>
        <w:spacing w:after="0" w:line="155" w:lineRule="exact"/>
        <w:rPr>
          <w:rFonts w:ascii="Times New Roman" w:cs="Times New Roman" w:eastAsia="Times New Roman" w:hAnsi="Times New Roman"/>
          <w:sz w:val="14"/>
          <w:szCs w:val="14"/>
          <w:color w:val="auto"/>
        </w:rPr>
      </w:pPr>
    </w:p>
    <w:p>
      <w:pPr>
        <w:ind w:left="780" w:hanging="379"/>
        <w:spacing w:after="0"/>
        <w:tabs>
          <w:tab w:leader="none" w:pos="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monthly debt service represents the payment of principal and interest.</w:t>
      </w:r>
    </w:p>
    <w:p>
      <w:pPr>
        <w:spacing w:after="0" w:line="142" w:lineRule="exact"/>
        <w:rPr>
          <w:rFonts w:ascii="Times New Roman" w:cs="Times New Roman" w:eastAsia="Times New Roman" w:hAnsi="Times New Roman"/>
          <w:sz w:val="14"/>
          <w:szCs w:val="14"/>
          <w:color w:val="auto"/>
        </w:rPr>
      </w:pPr>
    </w:p>
    <w:p>
      <w:pPr>
        <w:ind w:left="800" w:right="160" w:hanging="399"/>
        <w:spacing w:after="0" w:line="288" w:lineRule="auto"/>
        <w:tabs>
          <w:tab w:leader="none" w:pos="7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87" w:lineRule="exact"/>
        <w:rPr>
          <w:rFonts w:ascii="Times New Roman" w:cs="Times New Roman" w:eastAsia="Times New Roman" w:hAnsi="Times New Roman"/>
          <w:sz w:val="14"/>
          <w:szCs w:val="14"/>
          <w:color w:val="auto"/>
        </w:rPr>
      </w:pPr>
    </w:p>
    <w:p>
      <w:pPr>
        <w:ind w:left="800" w:right="60" w:hanging="399"/>
        <w:spacing w:after="0" w:line="271" w:lineRule="auto"/>
        <w:tabs>
          <w:tab w:leader="none" w:pos="7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49.9% interest in the loan has been assumed by a third party in connection with the Company's joint venture in Chandler Freehold (See Note 12—Financing Arrangement). On November 16, 2023, the Company acquired the partner's 49.9% interest in Freehold Raceway Mall for $5.6 million and the assumption of the partner's share of debt. The Company now owns 100% of Freehold Raceway Mall (See Note 15—Acquisitions).</w:t>
      </w:r>
    </w:p>
    <w:p>
      <w:pPr>
        <w:spacing w:after="0" w:line="100" w:lineRule="exact"/>
        <w:rPr>
          <w:rFonts w:ascii="Times New Roman" w:cs="Times New Roman" w:eastAsia="Times New Roman" w:hAnsi="Times New Roman"/>
          <w:sz w:val="14"/>
          <w:szCs w:val="14"/>
          <w:color w:val="auto"/>
        </w:rPr>
      </w:pPr>
    </w:p>
    <w:p>
      <w:pPr>
        <w:ind w:left="800" w:right="100" w:hanging="399"/>
        <w:spacing w:after="0" w:line="263" w:lineRule="auto"/>
        <w:tabs>
          <w:tab w:leader="none" w:pos="7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 2022, the Company extended the loan maturity to July 1, 2023. The interest rate remained unchanged at 5.5%, and the Company repaid $10,000 of the outstanding loan balance at closing. On June 27, 2023, the Company further extended the loan maturity to July 1, 2024. The Company repaid $10,000 of the outstanding loan balance at closing and the amended interest rate was 7.5% as of July 1, 2023 and incrementally increased to 8.0% as of October 1, 2023, 8.5% as of January 1, 2024 and 9.0% as of April 1, 2024. On January 25, 2024, the Company replaced the existing loan with a $155,000 loan that bears interest at a fixed rate of 6.39%, is interest only during the majority of the loan term and matures on February 6, 2034.</w:t>
      </w:r>
    </w:p>
    <w:p>
      <w:pPr>
        <w:spacing w:after="0" w:line="105" w:lineRule="exact"/>
        <w:rPr>
          <w:rFonts w:ascii="Times New Roman" w:cs="Times New Roman" w:eastAsia="Times New Roman" w:hAnsi="Times New Roman"/>
          <w:sz w:val="14"/>
          <w:szCs w:val="14"/>
          <w:color w:val="auto"/>
        </w:rPr>
      </w:pPr>
    </w:p>
    <w:p>
      <w:pPr>
        <w:ind w:left="800" w:right="80" w:hanging="399"/>
        <w:spacing w:after="0" w:line="271" w:lineRule="auto"/>
        <w:tabs>
          <w:tab w:leader="none" w:pos="79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26, 2022 and November 28, 2022, the Company repaid $83,058 and $7,117, respectively, of the outstanding loan balance to satisfy certain loan conditions. On January 20, 2023, the Company repaid $26,107 of the outstanding loan balance and exercised its one-year extension option of the loan to January 22, 2024. The interest rate was SOFR plus 3.60%. On January 22, 2024, the Company repaid the majority of the loan balance. The remaining $8,171 matures on April 21, 2024.</w:t>
      </w:r>
    </w:p>
    <w:p>
      <w:pPr>
        <w:spacing w:after="0" w:line="100" w:lineRule="exact"/>
        <w:rPr>
          <w:rFonts w:ascii="Times New Roman" w:cs="Times New Roman" w:eastAsia="Times New Roman" w:hAnsi="Times New Roman"/>
          <w:sz w:val="14"/>
          <w:szCs w:val="14"/>
          <w:color w:val="auto"/>
        </w:rPr>
      </w:pPr>
    </w:p>
    <w:p>
      <w:pPr>
        <w:ind w:left="780" w:hanging="379"/>
        <w:spacing w:after="0"/>
        <w:tabs>
          <w:tab w:leader="none" w:pos="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October 6, 2023, the loan is in default. The Company is in negotiations with the lender on the terms of this non-recourse loan.</w:t>
      </w:r>
    </w:p>
    <w:p>
      <w:pPr>
        <w:sectPr>
          <w:pgSz w:w="11900" w:h="16838" w:orient="portrait"/>
          <w:cols w:equalWidth="0" w:num="1">
            <w:col w:w="11220"/>
          </w:cols>
          <w:pgMar w:left="320" w:top="2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ind w:left="260" w:hanging="255"/>
        <w:spacing w:after="0"/>
        <w:tabs>
          <w:tab w:leader="none" w:pos="2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Mortgage Notes Payable: (Continued)</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60" w:lineRule="exact"/>
        <w:rPr>
          <w:rFonts w:ascii="Times New Roman" w:cs="Times New Roman" w:eastAsia="Times New Roman" w:hAnsi="Times New Roman"/>
          <w:sz w:val="18"/>
          <w:szCs w:val="18"/>
          <w:b w:val="1"/>
          <w:bCs w:val="1"/>
          <w:color w:val="auto"/>
        </w:rPr>
      </w:pPr>
    </w:p>
    <w:p>
      <w:pPr>
        <w:ind w:left="800" w:right="200" w:hanging="399"/>
        <w:spacing w:after="0" w:line="271" w:lineRule="auto"/>
        <w:tabs>
          <w:tab w:leader="none" w:pos="79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2021, the Company closed on a two-year extension of the loan to March 29, 2023. The interest rate was LIBOR plus 2.75% and the Company repaid $4,680 of the outstanding loan balance at closing. On January 3, 2023, the Company closed on a five-year $370,000 combined refinance of Green Acres Mall and Green Acres Commons. The new interest only loan bears interest at a fixed rate of 5.90% and matures on January 6, 2028.</w:t>
      </w:r>
    </w:p>
    <w:p>
      <w:pPr>
        <w:spacing w:after="0" w:line="100" w:lineRule="exact"/>
        <w:rPr>
          <w:rFonts w:ascii="Times New Roman" w:cs="Times New Roman" w:eastAsia="Times New Roman" w:hAnsi="Times New Roman"/>
          <w:sz w:val="14"/>
          <w:szCs w:val="14"/>
          <w:color w:val="auto"/>
        </w:rPr>
      </w:pPr>
    </w:p>
    <w:p>
      <w:pPr>
        <w:ind w:left="800" w:right="20" w:hanging="399"/>
        <w:spacing w:after="0" w:line="271" w:lineRule="auto"/>
        <w:tabs>
          <w:tab w:leader="none" w:pos="797"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22, 2021, the Company closed on a one-year extension of the loan to February 3, 2022, which also included a one-year extension option to February 3, 2023, which has been exercised. The interest rate remained unchanged, and the Company repaid $9,000 of the outstanding loan balance at closing. On January 3, 2023, the Company closed on a five-year $370,000 combined refinance of Green Acres Mall and Green Acres Commons. The new interest only loan bears interest at a fixed rate of 5.90% and matures on January 6, 2028.</w:t>
      </w:r>
    </w:p>
    <w:p>
      <w:pPr>
        <w:spacing w:after="0" w:line="100" w:lineRule="exact"/>
        <w:rPr>
          <w:rFonts w:ascii="Times New Roman" w:cs="Times New Roman" w:eastAsia="Times New Roman" w:hAnsi="Times New Roman"/>
          <w:sz w:val="14"/>
          <w:szCs w:val="14"/>
          <w:color w:val="auto"/>
        </w:rPr>
      </w:pPr>
    </w:p>
    <w:p>
      <w:pPr>
        <w:ind w:left="800" w:right="320" w:hanging="399"/>
        <w:spacing w:after="0" w:line="288" w:lineRule="auto"/>
        <w:tabs>
          <w:tab w:leader="none" w:pos="791"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2022, the Company closed on a two-year extension of the loan to June 5, 2024 at a new fixed interest rate of 5.25%. The Company repaid $5,000 of the outstanding loan balance at closing. On June 5, 2023, the Company repaid $10,000 of the outstanding loan balance.</w:t>
      </w:r>
    </w:p>
    <w:p>
      <w:pPr>
        <w:spacing w:after="0" w:line="101" w:lineRule="exact"/>
        <w:rPr>
          <w:rFonts w:ascii="Times New Roman" w:cs="Times New Roman" w:eastAsia="Times New Roman" w:hAnsi="Times New Roman"/>
          <w:sz w:val="14"/>
          <w:szCs w:val="14"/>
          <w:color w:val="auto"/>
        </w:rPr>
      </w:pPr>
    </w:p>
    <w:p>
      <w:pPr>
        <w:ind w:left="800" w:hanging="399"/>
        <w:spacing w:after="0" w:line="259" w:lineRule="auto"/>
        <w:tabs>
          <w:tab w:leader="none" w:pos="797"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9, 2022, the Company closed on a three-year extension of the loan to December 9, 2025, including extension options. The interest rate remained unchanged at LIBOR plus 1.48%, and has converted to 1-month Term SOFR plus 1.52% effective July 9, 2023. The loan is covered by an interest rate cap agreement that effectively prevented LIBOR from exceeding 4.0% during the period ending December 9, 2023. The interest rate cap agreement was converted to 1-month Term SOFR effective July 9, 2023. The interest rate cap agreement has since been extended with a 4% strike rate to December 9, 2024.</w:t>
      </w:r>
    </w:p>
    <w:p>
      <w:pPr>
        <w:spacing w:after="0" w:line="121" w:lineRule="exact"/>
        <w:rPr>
          <w:rFonts w:ascii="Times New Roman" w:cs="Times New Roman" w:eastAsia="Times New Roman" w:hAnsi="Times New Roman"/>
          <w:sz w:val="14"/>
          <w:szCs w:val="14"/>
          <w:color w:val="auto"/>
        </w:rPr>
      </w:pPr>
    </w:p>
    <w:p>
      <w:pPr>
        <w:ind w:left="800" w:right="40" w:hanging="399"/>
        <w:spacing w:after="0" w:line="268" w:lineRule="auto"/>
        <w:tabs>
          <w:tab w:leader="none" w:pos="797"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did not repay the loan on its maturity date and completed transition of the property to a receiver. The property was sold by the receiver on December 4, 2023 (See Note 16 —Dispositions).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Most of the mortgage loan agreements contain a prepayment penalty provision for the early extinguishment of the debt.</w:t>
      </w:r>
    </w:p>
    <w:p>
      <w:pPr>
        <w:spacing w:after="0" w:line="136" w:lineRule="exact"/>
        <w:rPr>
          <w:sz w:val="20"/>
          <w:szCs w:val="20"/>
          <w:color w:val="auto"/>
        </w:rPr>
      </w:pPr>
    </w:p>
    <w:p>
      <w:pPr>
        <w:ind w:right="160" w:firstLine="435"/>
        <w:spacing w:after="0" w:line="269" w:lineRule="auto"/>
        <w:rPr>
          <w:sz w:val="20"/>
          <w:szCs w:val="20"/>
          <w:color w:val="auto"/>
        </w:rPr>
      </w:pPr>
      <w:r>
        <w:rPr>
          <w:rFonts w:ascii="Times New Roman" w:cs="Times New Roman" w:eastAsia="Times New Roman" w:hAnsi="Times New Roman"/>
          <w:sz w:val="18"/>
          <w:szCs w:val="18"/>
          <w:color w:val="auto"/>
        </w:rPr>
        <w:t>As of December 31, 2023, all of the Company's mortgage notes payable are secured by the properties on which they are placed and are non-recourse to the Company.</w:t>
      </w:r>
    </w:p>
    <w:p>
      <w:pPr>
        <w:spacing w:after="0" w:line="102" w:lineRule="exact"/>
        <w:rPr>
          <w:sz w:val="20"/>
          <w:szCs w:val="20"/>
          <w:color w:val="auto"/>
        </w:rPr>
      </w:pPr>
    </w:p>
    <w:p>
      <w:pPr>
        <w:ind w:right="200" w:firstLine="435"/>
        <w:spacing w:after="0" w:line="269" w:lineRule="auto"/>
        <w:rPr>
          <w:sz w:val="20"/>
          <w:szCs w:val="20"/>
          <w:color w:val="auto"/>
        </w:rPr>
      </w:pPr>
      <w:r>
        <w:rPr>
          <w:rFonts w:ascii="Times New Roman" w:cs="Times New Roman" w:eastAsia="Times New Roman" w:hAnsi="Times New Roman"/>
          <w:sz w:val="18"/>
          <w:szCs w:val="18"/>
          <w:color w:val="auto"/>
        </w:rPr>
        <w:t>The Company expects all loan maturities during the next twelve months will be refinanced, restructured, extended and/or paid off from the Company's line of credit or with cash on hand.</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interest expense capitalized during the years ended December 31, 2023, 2022 and 2021 was $20,531, $10,471 and $9,504, respectively.</w:t>
      </w:r>
    </w:p>
    <w:p>
      <w:pPr>
        <w:spacing w:after="0" w:line="136" w:lineRule="exact"/>
        <w:rPr>
          <w:sz w:val="20"/>
          <w:szCs w:val="20"/>
          <w:color w:val="auto"/>
        </w:rPr>
      </w:pPr>
    </w:p>
    <w:p>
      <w:pPr>
        <w:ind w:right="260" w:firstLine="435"/>
        <w:spacing w:after="0" w:line="256" w:lineRule="auto"/>
        <w:rPr>
          <w:sz w:val="20"/>
          <w:szCs w:val="20"/>
          <w:color w:val="auto"/>
        </w:rPr>
      </w:pPr>
      <w:r>
        <w:rPr>
          <w:rFonts w:ascii="Times New Roman" w:cs="Times New Roman" w:eastAsia="Times New Roman" w:hAnsi="Times New Roman"/>
          <w:sz w:val="18"/>
          <w:szCs w:val="18"/>
          <w:color w:val="auto"/>
        </w:rPr>
        <w:t>The estimated fair value (Level 2 measurement) of mortgage notes payable at December 31, 2023 and 2022 was $3,863,997 and $3,894,588,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future maturities of mortgage notes payable are as follows: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1"/>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810,679</w:t>
            </w: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908,383</w:t>
            </w:r>
          </w:p>
        </w:tc>
      </w:tr>
      <w:tr>
        <w:trPr>
          <w:trHeight w:val="21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538,780</w:t>
            </w: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r>
      <w:tr>
        <w:trPr>
          <w:trHeight w:val="21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378,336</w:t>
            </w:r>
          </w:p>
        </w:tc>
      </w:tr>
      <w:tr>
        <w:trPr>
          <w:trHeight w:val="20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1,519,424</w:t>
            </w:r>
          </w:p>
        </w:tc>
      </w:tr>
      <w:tr>
        <w:trPr>
          <w:trHeight w:val="206"/>
        </w:trPr>
        <w:tc>
          <w:tcPr>
            <w:tcW w:w="7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4,157,284</w:t>
            </w:r>
          </w:p>
        </w:tc>
      </w:tr>
      <w:tr>
        <w:trPr>
          <w:trHeight w:val="20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finance cost, net</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(21,148)</w:t>
            </w:r>
          </w:p>
        </w:tc>
      </w:tr>
      <w:tr>
        <w:trPr>
          <w:trHeight w:val="229"/>
        </w:trPr>
        <w:tc>
          <w:tcPr>
            <w:tcW w:w="77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4,136,136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future maturities reflected above reflect the extension options that the Company believes will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Bank and Other Notes Payable: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Bank and other notes payable at December 31, 2023 and 2022 consist of the following:</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5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Previously, the Company had a $525,000 revolving loan facility, which was scheduled to mature on April 14, 2024. On September 11, 2023,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and the Operating Partnership entered into an amended and restated credit agreement, which amends and restates their prior credit agreement,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provides for an aggregate $650,000 revolving loan facility that matures on February 1, 2027, with a one-year extension option. The revolving loan facility can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 expanded up to $950,000, subject to receipt of lender commitments and other conditions. Concurrently with the entry into the amended and restated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the Company drew $152,000 of the amount available under the revolving loan facility and used the proceeds to repay in full amounts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its prior credit facility. All obligations under the credit facility are guaranteed unconditionally by the Company and are secured in the form of mortgages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certain wholly-owned assets and pledges of equity interests held by certain of the Company’s subsidiaries. The new credit facility bears interest, at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Partnership’s option, at either the base rate (as defined in the credit agreement) or adjusted term SOFR (as defined in the credit agreement) plus,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both cases, an applicable margin. The applicable margin depends on the Company’s overall leverage ratio and ranges from 1.00% to 2.50% over the selected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index rate. Adjusted term SOFR is Term SOFR (as defined in the credit agreement) plus 0.10% per annum. As of December 31, 2023 and 2022, the borrowing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rate was SOFR plus a spread of 2.35% and LIBOR plus a spread of 2.25%, respectively. As of December 31, 2023 and 2022, borrowings under the revolving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 facility were $105,000 and $171,000, respectively, less unamortized deferred finance costs of $15,452 and $7,883, respectively, at a total interest rate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and 8.08%, respectively. As of December 31, 2023, the Company's availability under the revolving loan facility for additional borrowings was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$544,787. The estimated fair value (Level 2 measurement) of borrowings under the credit facility at December 31, 2023 was $110,985 for the revolving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based on a present value model using a credit interest rate spread offered to the Company for comparable debt.</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2023 and 2022, the Company was in compliance with all applicable financial loan covenants.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w:t>
      </w:r>
    </w:p>
    <w:p>
      <w:pPr>
        <w:spacing w:after="0" w:line="151" w:lineRule="exact"/>
        <w:rPr>
          <w:sz w:val="20"/>
          <w:szCs w:val="20"/>
          <w:color w:val="auto"/>
        </w:rPr>
      </w:pPr>
    </w:p>
    <w:p>
      <w:pPr>
        <w:ind w:firstLine="435"/>
        <w:spacing w:after="0" w:line="250" w:lineRule="auto"/>
        <w:rPr>
          <w:sz w:val="20"/>
          <w:szCs w:val="20"/>
          <w:color w:val="auto"/>
        </w:rPr>
      </w:pPr>
      <w:r>
        <w:rPr>
          <w:rFonts w:ascii="Times New Roman" w:cs="Times New Roman" w:eastAsia="Times New Roman" w:hAnsi="Times New Roman"/>
          <w:sz w:val="18"/>
          <w:szCs w:val="18"/>
          <w:color w:val="auto"/>
        </w:rPr>
        <w:t>On September 30, 2009, the Company formed a joint venture, whereby a third party acquired a 49.9% interest in Chandler Fashion Center, a 1,402,000 square foot regional town center in Chandler, Arizona, and Freehold Raceway Mall, a 1,546,000 square foot regional town center in Freehold, New Jersey, referred to herein as Chandler Freehold. As a result of the Company having certain rights under the agreement to repurchase the assets of Chandler Freehold, the transaction did not qualify for sale treatment. The Company, however, is not obligated to repurchase the assets. The Company accounts for its investment in Chandler Freehold as a financing arrangement.</w:t>
      </w:r>
    </w:p>
    <w:p>
      <w:pPr>
        <w:spacing w:after="0" w:line="108" w:lineRule="exact"/>
        <w:rPr>
          <w:sz w:val="20"/>
          <w:szCs w:val="20"/>
          <w:color w:val="auto"/>
        </w:rPr>
      </w:pPr>
    </w:p>
    <w:p>
      <w:pPr>
        <w:ind w:right="80" w:firstLine="435"/>
        <w:spacing w:after="0" w:line="252" w:lineRule="auto"/>
        <w:rPr>
          <w:sz w:val="20"/>
          <w:szCs w:val="20"/>
          <w:color w:val="auto"/>
        </w:rPr>
      </w:pPr>
      <w:r>
        <w:rPr>
          <w:rFonts w:ascii="Times New Roman" w:cs="Times New Roman" w:eastAsia="Times New Roman" w:hAnsi="Times New Roman"/>
          <w:sz w:val="18"/>
          <w:szCs w:val="18"/>
          <w:color w:val="auto"/>
        </w:rPr>
        <w:t>On November 16, 2023, the Company acquired the 49.9% ownership interest in Freehold Raceway Mall (See Note 15—Acquisitions). As a result, Freehold Raceway Mall is no longer part of the financing arrangement and is 100% owned by the Company. References to Chandler Freehold after November 16, 2023 shall be deemed to only refer to Chandler Fashion Center. In connection with the acquisition of the 49.9% ownership interest, the Company recorded the $5,587 purchase amount as a reduction to the financing arrangement obligation.</w:t>
      </w:r>
    </w:p>
    <w:p>
      <w:pPr>
        <w:spacing w:after="0" w:line="119" w:lineRule="exact"/>
        <w:rPr>
          <w:sz w:val="20"/>
          <w:szCs w:val="20"/>
          <w:color w:val="auto"/>
        </w:rPr>
      </w:pPr>
    </w:p>
    <w:p>
      <w:pPr>
        <w:ind w:right="100" w:firstLine="43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expense on (i) the changes in fair value of the financing arrangement obligation, (ii) any payments to the joint venture partner equal to their pro rata share of net income (loss) and (iii) any payments to the joint venture partner less than or in excess of their pro rata share of net income.</w:t>
      </w:r>
    </w:p>
    <w:p>
      <w:pPr>
        <w:spacing w:after="0" w:line="115" w:lineRule="exact"/>
        <w:rPr>
          <w:sz w:val="20"/>
          <w:szCs w:val="20"/>
          <w:color w:val="auto"/>
        </w:rPr>
      </w:pPr>
    </w:p>
    <w:p>
      <w:pPr>
        <w:ind w:right="400" w:firstLine="435"/>
        <w:spacing w:after="0" w:line="269"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recognized related party interest (income) expense in connection with the financing arrangement as follows: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of the partner's share of net income (loss)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2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in excess of the partner's share of 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w:t>
            </w:r>
          </w:p>
        </w:tc>
      </w:tr>
      <w:tr>
        <w:trPr>
          <w:trHeight w:val="224"/>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fair value of financing arrangement obligation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w:t>
            </w:r>
          </w:p>
        </w:tc>
      </w:tr>
      <w:tr>
        <w:trPr>
          <w:trHeight w:val="217"/>
        </w:trPr>
        <w:tc>
          <w:tcPr>
            <w:tcW w:w="548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Financing Arrangement: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435"/>
        <w:spacing w:after="0" w:line="289" w:lineRule="auto"/>
        <w:rPr>
          <w:sz w:val="20"/>
          <w:szCs w:val="20"/>
          <w:color w:val="auto"/>
        </w:rPr>
      </w:pPr>
      <w:r>
        <w:rPr>
          <w:rFonts w:ascii="Times New Roman" w:cs="Times New Roman" w:eastAsia="Times New Roman" w:hAnsi="Times New Roman"/>
          <w:sz w:val="16"/>
          <w:szCs w:val="16"/>
          <w:color w:val="auto"/>
        </w:rPr>
        <w:t>The fair value (Level 3 measurement) of the financing arrangement obligation at December 31, 2023 and 2022 was based upon a terminal capitalization rate of approximately 6.5% and 6.3%, respectively, a discount rate of approximately 8.0% and 7.8%, respectively, and market rents per square foot ranging from $35 to $240.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expense (income) in the Company's consolidated statements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Interests:</w:t>
      </w:r>
    </w:p>
    <w:p>
      <w:pPr>
        <w:spacing w:after="0" w:line="151" w:lineRule="exact"/>
        <w:rPr>
          <w:sz w:val="20"/>
          <w:szCs w:val="20"/>
          <w:color w:val="auto"/>
        </w:rPr>
      </w:pPr>
    </w:p>
    <w:p>
      <w:pPr>
        <w:ind w:right="100" w:firstLine="435"/>
        <w:spacing w:after="0" w:line="282" w:lineRule="auto"/>
        <w:rPr>
          <w:sz w:val="20"/>
          <w:szCs w:val="20"/>
          <w:color w:val="auto"/>
        </w:rPr>
      </w:pPr>
      <w:r>
        <w:rPr>
          <w:rFonts w:ascii="Times New Roman" w:cs="Times New Roman" w:eastAsia="Times New Roman" w:hAnsi="Times New Roman"/>
          <w:sz w:val="16"/>
          <w:szCs w:val="16"/>
          <w:color w:val="auto"/>
        </w:rPr>
        <w:t>The Company allocates net income of the Operating Partnership based on the weighted-average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periodically to reflect its ownership interest in the Company. The Company had a 96% ownership interest in the Operating Partnership as of December 31, 2023 and 2022. The remaining 4% limited partnership interest as of December 31, 2023 and 2022 was owned by certain of the Company's executive officers and directors, certain of their affiliates, and other third party investors in the form of OP Units. The OP Units may be redeemed for shares of registered or unregistered stock or cash, at the Company's option. The redemption value for each OP Unit as of any balance sheet date is the amount equal to the average of the closing price per share of the Company's common stock, par value $0.01 per share, as reported on the New York Stock Exchange for the ten trading days ending on the respective balance sheet date. Accordingly, as of December 31, 2023 and 2022, the aggregate redemption value of the then-outstanding OP Units not owned by the Company was $158,157 and $103,023, respectively.</w:t>
      </w:r>
    </w:p>
    <w:p>
      <w:pPr>
        <w:spacing w:after="0" w:line="83" w:lineRule="exact"/>
        <w:rPr>
          <w:sz w:val="20"/>
          <w:szCs w:val="20"/>
          <w:color w:val="auto"/>
        </w:rPr>
      </w:pPr>
    </w:p>
    <w:p>
      <w:pPr>
        <w:ind w:right="140" w:firstLine="435"/>
        <w:spacing w:after="0" w:line="256" w:lineRule="auto"/>
        <w:rPr>
          <w:sz w:val="20"/>
          <w:szCs w:val="20"/>
          <w:color w:val="auto"/>
        </w:rPr>
      </w:pPr>
      <w:r>
        <w:rPr>
          <w:rFonts w:ascii="Times New Roman" w:cs="Times New Roman" w:eastAsia="Times New Roman" w:hAnsi="Times New Roman"/>
          <w:sz w:val="18"/>
          <w:szCs w:val="18"/>
          <w:color w:val="auto"/>
        </w:rPr>
        <w:t>The Company issued common and cumulative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15" w:lineRule="exact"/>
        <w:rPr>
          <w:sz w:val="20"/>
          <w:szCs w:val="20"/>
          <w:color w:val="auto"/>
        </w:rPr>
      </w:pPr>
    </w:p>
    <w:p>
      <w:pPr>
        <w:ind w:right="60" w:firstLine="435"/>
        <w:spacing w:after="0" w:line="269" w:lineRule="auto"/>
        <w:rPr>
          <w:sz w:val="20"/>
          <w:szCs w:val="20"/>
          <w:color w:val="auto"/>
        </w:rPr>
      </w:pPr>
      <w:r>
        <w:rPr>
          <w:rFonts w:ascii="Times New Roman" w:cs="Times New Roman" w:eastAsia="Times New Roman" w:hAnsi="Times New Roman"/>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100" w:lineRule="exact"/>
        <w:rPr>
          <w:sz w:val="20"/>
          <w:szCs w:val="20"/>
          <w:color w:val="auto"/>
        </w:rPr>
      </w:pPr>
    </w:p>
    <w:p>
      <w:pPr>
        <w:ind w:left="440" w:right="9340" w:hanging="435"/>
        <w:spacing w:after="0" w:line="456" w:lineRule="auto"/>
        <w:tabs>
          <w:tab w:leader="none" w:pos="269"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Stockholders' Equity: </w:t>
      </w:r>
      <w:r>
        <w:rPr>
          <w:rFonts w:ascii="Times New Roman" w:cs="Times New Roman" w:eastAsia="Times New Roman" w:hAnsi="Times New Roman"/>
          <w:sz w:val="16"/>
          <w:szCs w:val="16"/>
          <w:i w:val="1"/>
          <w:iCs w:val="1"/>
          <w:color w:val="auto"/>
        </w:rPr>
        <w:t>Stock Offerings:</w:t>
      </w:r>
    </w:p>
    <w:p>
      <w:pPr>
        <w:spacing w:after="0" w:line="1" w:lineRule="exact"/>
        <w:rPr>
          <w:sz w:val="20"/>
          <w:szCs w:val="20"/>
          <w:color w:val="auto"/>
        </w:rPr>
      </w:pPr>
    </w:p>
    <w:p>
      <w:pPr>
        <w:ind w:right="200" w:firstLine="435"/>
        <w:spacing w:after="0" w:line="250" w:lineRule="auto"/>
        <w:rPr>
          <w:sz w:val="20"/>
          <w:szCs w:val="20"/>
          <w:color w:val="auto"/>
        </w:rPr>
      </w:pPr>
      <w:r>
        <w:rPr>
          <w:rFonts w:ascii="Times New Roman" w:cs="Times New Roman" w:eastAsia="Times New Roman" w:hAnsi="Times New Roman"/>
          <w:sz w:val="18"/>
          <w:szCs w:val="18"/>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$500,000 under each of the February 2021 ATM Program and the March 2021 ATM Program, or a total of $1,000,000 under the ATM Programs.</w:t>
      </w:r>
    </w:p>
    <w:p>
      <w:pPr>
        <w:spacing w:after="0" w:line="121" w:lineRule="exact"/>
        <w:rPr>
          <w:sz w:val="20"/>
          <w:szCs w:val="20"/>
          <w:color w:val="auto"/>
        </w:rPr>
      </w:pPr>
    </w:p>
    <w:p>
      <w:pPr>
        <w:ind w:right="20" w:firstLine="435"/>
        <w:spacing w:after="0" w:line="249" w:lineRule="auto"/>
        <w:rPr>
          <w:sz w:val="20"/>
          <w:szCs w:val="20"/>
          <w:color w:val="auto"/>
        </w:rPr>
      </w:pPr>
      <w:r>
        <w:rPr>
          <w:rFonts w:ascii="Times New Roman" w:cs="Times New Roman" w:eastAsia="Times New Roman" w:hAnsi="Times New Roman"/>
          <w:sz w:val="18"/>
          <w:szCs w:val="18"/>
          <w:color w:val="auto"/>
        </w:rPr>
        <w:t>During the twelve months ended December 31, 2021, the Company issued 62,049,131 shares of common stock under the ATM Programs for aggregate gross proceeds of $848,301 and net proceeds of $830,241 after commissions and other transaction costs. The proceeds from the sales under the ATM Programs were used to pay down the Company’s line of credit (See Note 11 – Bank and Other Notes Payable). As of December 31, 2023, $151,699 remained available to be sold under the March 2021 ATM Program. The February 2021 ATM Program was fully utilized as of June 30, 2021 and is no longer active. Actual future sales will depend upon a variety of factors including, but not limited to, market conditions, the trading price of the Company’s common stock and the Company’s capital needs. The Company has no obligation to sell the remaining shares available for sale under the ATM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(Continued)</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151" w:lineRule="exact"/>
        <w:rPr>
          <w:sz w:val="20"/>
          <w:szCs w:val="20"/>
          <w:color w:val="auto"/>
        </w:rPr>
      </w:pPr>
    </w:p>
    <w:p>
      <w:pPr>
        <w:ind w:right="140" w:firstLine="435"/>
        <w:spacing w:after="0" w:line="252" w:lineRule="auto"/>
        <w:rPr>
          <w:sz w:val="20"/>
          <w:szCs w:val="20"/>
          <w:color w:val="auto"/>
        </w:rPr>
      </w:pPr>
      <w:r>
        <w:rPr>
          <w:rFonts w:ascii="Times New Roman" w:cs="Times New Roman" w:eastAsia="Times New Roman" w:hAnsi="Times New Roman"/>
          <w:sz w:val="18"/>
          <w:szCs w:val="18"/>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under the Stock Buyback Program during the years ended December 31, 2023, 2022 and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Sears Deptford Mall and Vintage Faire Mall:</w:t>
      </w:r>
    </w:p>
    <w:p>
      <w:pPr>
        <w:spacing w:after="0" w:line="138" w:lineRule="exact"/>
        <w:rPr>
          <w:sz w:val="20"/>
          <w:szCs w:val="20"/>
          <w:color w:val="auto"/>
        </w:rPr>
      </w:pPr>
    </w:p>
    <w:p>
      <w:pPr>
        <w:jc w:val="both"/>
        <w:ind w:firstLine="435"/>
        <w:spacing w:after="0" w:line="256" w:lineRule="auto"/>
        <w:rPr>
          <w:sz w:val="20"/>
          <w:szCs w:val="20"/>
          <w:color w:val="auto"/>
        </w:rPr>
      </w:pPr>
      <w:r>
        <w:rPr>
          <w:rFonts w:ascii="Times New Roman" w:cs="Times New Roman" w:eastAsia="Times New Roman" w:hAnsi="Times New Roman"/>
          <w:sz w:val="18"/>
          <w:szCs w:val="18"/>
          <w:color w:val="auto"/>
        </w:rPr>
        <w:t>On August 2, 2022, the Company acquired the remaining 50% ownership interest in two former Sears parcels (Deptford Mall and Vintage Faire Mall) in the MS Portfolio LLC joint venture that it did not previously own for a total purchase price of $24,544. Effective as of August 2, 2022, the Company now owns and has consolidated its 100% interest in these two former Sears parcels in its consolidated financial statements.</w:t>
      </w:r>
    </w:p>
    <w:p>
      <w:pPr>
        <w:spacing w:after="0" w:line="115" w:lineRule="exact"/>
        <w:rPr>
          <w:sz w:val="20"/>
          <w:szCs w:val="20"/>
          <w:color w:val="auto"/>
        </w:rPr>
      </w:pPr>
    </w:p>
    <w:p>
      <w:pPr>
        <w:ind w:right="860" w:firstLine="435"/>
        <w:spacing w:after="0" w:line="269" w:lineRule="auto"/>
        <w:rPr>
          <w:sz w:val="20"/>
          <w:szCs w:val="20"/>
          <w:color w:val="auto"/>
        </w:rPr>
      </w:pPr>
      <w:r>
        <w:rPr>
          <w:rFonts w:ascii="Times New Roman" w:cs="Times New Roman" w:eastAsia="Times New Roman" w:hAnsi="Times New Roman"/>
          <w:sz w:val="18"/>
          <w:szCs w:val="18"/>
          <w:color w:val="auto"/>
        </w:rPr>
        <w:t>The following is a summary of the allocation of the fair value of the former Sears parcels at Deptford Mall and Vintage Faire Mall upon their consolidation on August 2,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32,934</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(above-market leases)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 (below-market lease)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r>
      <w:tr>
        <w:trPr>
          <w:trHeight w:val="21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48,098</w:t>
            </w:r>
          </w:p>
        </w:tc>
      </w:tr>
      <w:tr>
        <w:trPr>
          <w:trHeight w:val="20"/>
        </w:trPr>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MS Portfolio LLC:</w:t>
      </w:r>
    </w:p>
    <w:p>
      <w:pPr>
        <w:spacing w:after="0" w:line="151" w:lineRule="exact"/>
        <w:rPr>
          <w:sz w:val="20"/>
          <w:szCs w:val="20"/>
          <w:color w:val="auto"/>
        </w:rPr>
      </w:pPr>
    </w:p>
    <w:p>
      <w:pPr>
        <w:jc w:val="both"/>
        <w:ind w:right="300" w:firstLine="435"/>
        <w:spacing w:after="0" w:line="252" w:lineRule="auto"/>
        <w:rPr>
          <w:sz w:val="20"/>
          <w:szCs w:val="20"/>
          <w:color w:val="auto"/>
        </w:rPr>
      </w:pPr>
      <w:r>
        <w:rPr>
          <w:rFonts w:ascii="Times New Roman" w:cs="Times New Roman" w:eastAsia="Times New Roman" w:hAnsi="Times New Roman"/>
          <w:sz w:val="18"/>
          <w:szCs w:val="18"/>
          <w:color w:val="auto"/>
        </w:rPr>
        <w:t>On May 18, 2023, the Company acquired Seritage’s remaining 50% ownership interest in the MS Portfolio LLC joint venture that owns five former Sears parcels, for a total purchase price of $46,687. These parcels are located at Chandler Fashion Center, Danbury Fair Mall, Freehold Raceway Mall, Los Cerritos Center and Washington Square. Effective as of May 18, 2023, the Company now owns and has consolidated its 100% interest in these five former Sears parcels in its consolidated financial statements.</w:t>
      </w:r>
    </w:p>
    <w:p>
      <w:pPr>
        <w:spacing w:after="0" w:line="106" w:lineRule="exact"/>
        <w:rPr>
          <w:sz w:val="20"/>
          <w:szCs w:val="20"/>
          <w:color w:val="auto"/>
        </w:rPr>
      </w:pPr>
    </w:p>
    <w:p>
      <w:pPr>
        <w:ind w:right="440" w:firstLine="435"/>
        <w:spacing w:after="0" w:line="269" w:lineRule="auto"/>
        <w:rPr>
          <w:sz w:val="20"/>
          <w:szCs w:val="20"/>
          <w:color w:val="auto"/>
        </w:rPr>
      </w:pPr>
      <w:r>
        <w:rPr>
          <w:rFonts w:ascii="Times New Roman" w:cs="Times New Roman" w:eastAsia="Times New Roman" w:hAnsi="Times New Roman"/>
          <w:sz w:val="18"/>
          <w:szCs w:val="18"/>
          <w:color w:val="auto"/>
        </w:rPr>
        <w:t>The following is a summary of the allocation of the fair value of the former Sears parcels at Chandler Fashion Center, Danbury Fair Mall, Freehold Raceway Mall, Los Cerritos Center and Washington Square:</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39,359</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2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 (below-market lease)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1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acquired net assets (at 100% ownership)</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93,400</w:t>
            </w:r>
          </w:p>
        </w:tc>
      </w:tr>
      <w:tr>
        <w:trPr>
          <w:trHeight w:val="20"/>
        </w:trPr>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left="440" w:right="8980" w:hanging="435"/>
        <w:spacing w:after="0" w:line="465" w:lineRule="auto"/>
        <w:tabs>
          <w:tab w:leader="none" w:pos="269"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(Continued) </w:t>
      </w:r>
      <w:r>
        <w:rPr>
          <w:rFonts w:ascii="Times New Roman" w:cs="Times New Roman" w:eastAsia="Times New Roman" w:hAnsi="Times New Roman"/>
          <w:sz w:val="16"/>
          <w:szCs w:val="16"/>
          <w:i w:val="1"/>
          <w:iCs w:val="1"/>
          <w:color w:val="auto"/>
        </w:rPr>
        <w:t>Freehold Raceway Mall:</w:t>
      </w:r>
    </w:p>
    <w:p>
      <w:pPr>
        <w:ind w:right="360" w:firstLine="435"/>
        <w:spacing w:after="0" w:line="256" w:lineRule="auto"/>
        <w:rPr>
          <w:sz w:val="20"/>
          <w:szCs w:val="20"/>
          <w:color w:val="auto"/>
        </w:rPr>
      </w:pPr>
      <w:r>
        <w:rPr>
          <w:rFonts w:ascii="Times New Roman" w:cs="Times New Roman" w:eastAsia="Times New Roman" w:hAnsi="Times New Roman"/>
          <w:sz w:val="18"/>
          <w:szCs w:val="18"/>
          <w:color w:val="auto"/>
        </w:rPr>
        <w:t>On November 16, 2023, the Company acquired its joint venture partner’s 49.9% ownership interest in Freehold Raceway Mall for $5,587 and the assumption of its joint venture partner’s share of debt. The Company now owns 100% interest of this property. Prior to November 16, 2023, the Company accounted for its investment in Freehold Raceway Mall as part of a financing arrangement (See Note 12 – Financing Arrangement).</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Fashion District Philadelphia:</w:t>
      </w:r>
    </w:p>
    <w:p>
      <w:pPr>
        <w:spacing w:after="0" w:line="151" w:lineRule="exact"/>
        <w:rPr>
          <w:sz w:val="20"/>
          <w:szCs w:val="20"/>
          <w:color w:val="auto"/>
        </w:rPr>
      </w:pPr>
    </w:p>
    <w:p>
      <w:pPr>
        <w:ind w:right="120" w:firstLine="435"/>
        <w:spacing w:after="0" w:line="303" w:lineRule="auto"/>
        <w:rPr>
          <w:sz w:val="20"/>
          <w:szCs w:val="20"/>
          <w:color w:val="auto"/>
        </w:rPr>
      </w:pPr>
      <w:r>
        <w:rPr>
          <w:rFonts w:ascii="Times New Roman" w:cs="Times New Roman" w:eastAsia="Times New Roman" w:hAnsi="Times New Roman"/>
          <w:sz w:val="16"/>
          <w:szCs w:val="16"/>
          <w:color w:val="auto"/>
        </w:rPr>
        <w:t>On December 9, 2023, the Company acquired its joint venture partner’s 50% interest in Fashion District Philadelphia for no consideration, and the Company now owns 100% of this property. Prior to December 9, 2023, due to the Company’s joint venture partner having no substantive participation rights, the Company accounted for this joint venture as a VIE in its consolidated financial statements (See Note 2 – Summary of Significant Accounting Policies).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Dispositions:</w:t>
      </w:r>
    </w:p>
    <w:p>
      <w:pPr>
        <w:spacing w:after="0" w:line="138" w:lineRule="exact"/>
        <w:rPr>
          <w:sz w:val="20"/>
          <w:szCs w:val="20"/>
          <w:color w:val="auto"/>
        </w:rPr>
      </w:pPr>
    </w:p>
    <w:p>
      <w:pPr>
        <w:ind w:firstLine="632"/>
        <w:spacing w:after="0" w:line="252" w:lineRule="auto"/>
        <w:rPr>
          <w:sz w:val="20"/>
          <w:szCs w:val="20"/>
          <w:color w:val="auto"/>
        </w:rPr>
      </w:pPr>
      <w:r>
        <w:rPr>
          <w:rFonts w:ascii="Times New Roman" w:cs="Times New Roman" w:eastAsia="Times New Roman" w:hAnsi="Times New Roman"/>
          <w:sz w:val="18"/>
          <w:szCs w:val="18"/>
          <w:color w:val="auto"/>
        </w:rPr>
        <w:t>On March 29, 2021, the Company sold Paradise Valley Mall in Phoenix, Arizona to a newly formed joint venture for $100,000 resulting in a gain on sale of assets and land of $5,563. Concurrent with the sale, the Company elected to reinvest into the new joint venture at a 5% ownership interest (see Note 4 – Investments in Unconsolidated Joint Ventures). The Company used the proceeds from the sale to pay down its line of credit and for other general corporate purposes.</w:t>
      </w:r>
    </w:p>
    <w:p>
      <w:pPr>
        <w:spacing w:after="0" w:line="119" w:lineRule="exact"/>
        <w:rPr>
          <w:sz w:val="20"/>
          <w:szCs w:val="20"/>
          <w:color w:val="auto"/>
        </w:rPr>
      </w:pPr>
    </w:p>
    <w:p>
      <w:pPr>
        <w:ind w:right="20" w:firstLine="435"/>
        <w:spacing w:after="0" w:line="269" w:lineRule="auto"/>
        <w:rPr>
          <w:sz w:val="20"/>
          <w:szCs w:val="20"/>
          <w:color w:val="auto"/>
        </w:rPr>
      </w:pPr>
      <w:r>
        <w:rPr>
          <w:rFonts w:ascii="Times New Roman" w:cs="Times New Roman" w:eastAsia="Times New Roman" w:hAnsi="Times New Roman"/>
          <w:sz w:val="18"/>
          <w:szCs w:val="18"/>
          <w:color w:val="auto"/>
        </w:rPr>
        <w:t>On September 17, 2021, the Company sold Tucson La Encantada in Tucson, Arizona for $165,250, resulting in a gain on sale of assets of approximately $117,242. The Company used the net cash proceeds of $100,142 to pay down debt.</w:t>
      </w:r>
    </w:p>
    <w:p>
      <w:pPr>
        <w:spacing w:after="0" w:line="102" w:lineRule="exact"/>
        <w:rPr>
          <w:sz w:val="20"/>
          <w:szCs w:val="20"/>
          <w:color w:val="auto"/>
        </w:rPr>
      </w:pPr>
    </w:p>
    <w:p>
      <w:pPr>
        <w:ind w:right="60" w:firstLine="435"/>
        <w:spacing w:after="0" w:line="269" w:lineRule="auto"/>
        <w:rPr>
          <w:sz w:val="20"/>
          <w:szCs w:val="20"/>
          <w:color w:val="auto"/>
        </w:rPr>
      </w:pPr>
      <w:r>
        <w:rPr>
          <w:rFonts w:ascii="Times New Roman" w:cs="Times New Roman" w:eastAsia="Times New Roman" w:hAnsi="Times New Roman"/>
          <w:sz w:val="18"/>
          <w:szCs w:val="18"/>
          <w:color w:val="auto"/>
        </w:rPr>
        <w:t>On May 2, 2023, the Company sold The Marketplace at Flagstaff, a 268,000 square foot power center in Flagstaff, Arizona, for $23,500, which resulted in a gain on sale of assets of $10,349. The Company used the net proceeds to pay down debt.</w:t>
      </w:r>
    </w:p>
    <w:p>
      <w:pPr>
        <w:spacing w:after="0" w:line="76" w:lineRule="exact"/>
        <w:rPr>
          <w:sz w:val="20"/>
          <w:szCs w:val="20"/>
          <w:color w:val="auto"/>
        </w:rPr>
      </w:pPr>
    </w:p>
    <w:p>
      <w:pPr>
        <w:ind w:right="540" w:firstLine="435"/>
        <w:spacing w:after="0" w:line="254" w:lineRule="auto"/>
        <w:rPr>
          <w:sz w:val="20"/>
          <w:szCs w:val="20"/>
          <w:color w:val="auto"/>
        </w:rPr>
      </w:pPr>
      <w:r>
        <w:rPr>
          <w:rFonts w:ascii="Times New Roman" w:cs="Times New Roman" w:eastAsia="Times New Roman" w:hAnsi="Times New Roman"/>
          <w:sz w:val="18"/>
          <w:szCs w:val="18"/>
          <w:color w:val="auto"/>
        </w:rPr>
        <w:t>On July 17, 2023, the Company sold Superstition Springs Power Center, a 204,000 square foot power center in Mesa, Arizona, for $5,634, which resulted in a gain on sale of assets of $1,903. The Company used the net proceeds to pay down debt.</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December 4, 2023, Towne Mall was sold by the receiver for $9,500, resulting in a gain on extinguishment of debt of $8,208.</w:t>
      </w:r>
    </w:p>
    <w:p>
      <w:pPr>
        <w:spacing w:after="0" w:line="136" w:lineRule="exact"/>
        <w:rPr>
          <w:sz w:val="20"/>
          <w:szCs w:val="20"/>
          <w:color w:val="auto"/>
        </w:rPr>
      </w:pPr>
    </w:p>
    <w:p>
      <w:pPr>
        <w:ind w:right="20" w:firstLine="435"/>
        <w:spacing w:after="0" w:line="256" w:lineRule="auto"/>
        <w:rPr>
          <w:sz w:val="20"/>
          <w:szCs w:val="20"/>
          <w:color w:val="auto"/>
        </w:rPr>
      </w:pPr>
      <w:r>
        <w:rPr>
          <w:rFonts w:ascii="Times New Roman" w:cs="Times New Roman" w:eastAsia="Times New Roman" w:hAnsi="Times New Roman"/>
          <w:sz w:val="18"/>
          <w:szCs w:val="18"/>
          <w:color w:val="auto"/>
        </w:rPr>
        <w:t>For the twelve months ended December 31, 2023, 2022 and 2021, the Company sold various land parcels in separate transactions, resulting in gains on sale of land of $5,592, $22,357 and $29,427, respectively. The Company used its share of the proceeds from these sales to pay down debt and for other general corporate purposes.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51" w:lineRule="exact"/>
        <w:rPr>
          <w:sz w:val="20"/>
          <w:szCs w:val="20"/>
          <w:color w:val="auto"/>
        </w:rPr>
      </w:pPr>
    </w:p>
    <w:p>
      <w:pPr>
        <w:ind w:right="280" w:firstLine="435"/>
        <w:spacing w:after="0" w:line="269" w:lineRule="auto"/>
        <w:rPr>
          <w:sz w:val="20"/>
          <w:szCs w:val="20"/>
          <w:color w:val="auto"/>
        </w:rPr>
      </w:pPr>
      <w:r>
        <w:rPr>
          <w:rFonts w:ascii="Times New Roman" w:cs="Times New Roman" w:eastAsia="Times New Roman" w:hAnsi="Times New Roman"/>
          <w:sz w:val="18"/>
          <w:szCs w:val="18"/>
          <w:color w:val="auto"/>
        </w:rPr>
        <w:t>As of December 31, 2023, the Company was contingently liable for $41,033 in letters of credit guaranteeing performance by the Company of certain obligations relating to the Centers. The Company does not believe that these letters of credit will result in a liability to the Company.</w:t>
      </w:r>
    </w:p>
    <w:p>
      <w:pPr>
        <w:spacing w:after="0" w:line="89" w:lineRule="exact"/>
        <w:rPr>
          <w:sz w:val="20"/>
          <w:szCs w:val="20"/>
          <w:color w:val="auto"/>
        </w:rPr>
      </w:pPr>
    </w:p>
    <w:p>
      <w:pPr>
        <w:ind w:right="60" w:firstLine="435"/>
        <w:spacing w:after="0" w:line="256" w:lineRule="auto"/>
        <w:rPr>
          <w:sz w:val="20"/>
          <w:szCs w:val="20"/>
          <w:color w:val="auto"/>
        </w:rPr>
      </w:pPr>
      <w:r>
        <w:rPr>
          <w:rFonts w:ascii="Times New Roman" w:cs="Times New Roman" w:eastAsia="Times New Roman" w:hAnsi="Times New Roman"/>
          <w:sz w:val="18"/>
          <w:szCs w:val="18"/>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December 31, 2023, the Company had $8,351 in outstanding obligations, which it believes will be settled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51" w:lineRule="exact"/>
        <w:rPr>
          <w:sz w:val="20"/>
          <w:szCs w:val="20"/>
          <w:color w:val="auto"/>
        </w:rPr>
      </w:pPr>
    </w:p>
    <w:p>
      <w:pPr>
        <w:ind w:right="40" w:firstLine="435"/>
        <w:spacing w:after="0" w:line="289" w:lineRule="auto"/>
        <w:rPr>
          <w:sz w:val="20"/>
          <w:szCs w:val="20"/>
          <w:color w:val="auto"/>
        </w:rPr>
      </w:pPr>
      <w:r>
        <w:rPr>
          <w:rFonts w:ascii="Times New Roman" w:cs="Times New Roman" w:eastAsia="Times New Roman" w:hAnsi="Times New Roman"/>
          <w:sz w:val="16"/>
          <w:szCs w:val="16"/>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The following are fees charged to unconsolidated joint ventures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18,144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18,208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w:t>
            </w:r>
          </w:p>
        </w:tc>
      </w:tr>
      <w:tr>
        <w:trPr>
          <w:trHeight w:val="22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and leasing fees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w:t>
            </w:r>
          </w:p>
        </w:tc>
      </w:tr>
      <w:tr>
        <w:trPr>
          <w:trHeight w:val="242"/>
        </w:trPr>
        <w:tc>
          <w:tcPr>
            <w:tcW w:w="4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27,345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26,236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40" w:firstLine="435"/>
        <w:spacing w:after="0" w:line="269" w:lineRule="auto"/>
        <w:rPr>
          <w:sz w:val="20"/>
          <w:szCs w:val="20"/>
          <w:color w:val="auto"/>
        </w:rPr>
      </w:pPr>
      <w:r>
        <w:rPr>
          <w:rFonts w:ascii="Times New Roman" w:cs="Times New Roman" w:eastAsia="Times New Roman" w:hAnsi="Times New Roman"/>
          <w:sz w:val="18"/>
          <w:szCs w:val="18"/>
          <w:color w:val="auto"/>
        </w:rPr>
        <w:t>Interest (income) expense from related party transactions also includes $(24,206), $34,735 and $(3,718) for the years ended December 31, 2023, 2022 and 2021, respectively, in connection with the Financing Arrangement (See Note 12—Financing Arrangement).</w:t>
      </w:r>
    </w:p>
    <w:p>
      <w:pPr>
        <w:spacing w:after="0" w:line="102" w:lineRule="exact"/>
        <w:rPr>
          <w:sz w:val="20"/>
          <w:szCs w:val="20"/>
          <w:color w:val="auto"/>
        </w:rPr>
      </w:pPr>
    </w:p>
    <w:p>
      <w:pPr>
        <w:ind w:right="360" w:firstLine="435"/>
        <w:spacing w:after="0" w:line="269" w:lineRule="auto"/>
        <w:rPr>
          <w:sz w:val="20"/>
          <w:szCs w:val="20"/>
          <w:color w:val="auto"/>
        </w:rPr>
      </w:pPr>
      <w:r>
        <w:rPr>
          <w:rFonts w:ascii="Times New Roman" w:cs="Times New Roman" w:eastAsia="Times New Roman" w:hAnsi="Times New Roman"/>
          <w:sz w:val="18"/>
          <w:szCs w:val="18"/>
          <w:color w:val="auto"/>
        </w:rPr>
        <w:t>Due from affiliates includes $4,755 and $3,299 of unreimbursed costs and fees from unconsolidated joint ventures under management agreements at December 31, 2023 and 2022,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w:t>
      </w:r>
    </w:p>
    <w:p>
      <w:pPr>
        <w:spacing w:after="0" w:line="138" w:lineRule="exact"/>
        <w:rPr>
          <w:sz w:val="20"/>
          <w:szCs w:val="20"/>
          <w:color w:val="auto"/>
        </w:rPr>
      </w:pPr>
    </w:p>
    <w:p>
      <w:pPr>
        <w:ind w:right="200" w:firstLine="435"/>
        <w:spacing w:after="0" w:line="269" w:lineRule="auto"/>
        <w:rPr>
          <w:sz w:val="20"/>
          <w:szCs w:val="20"/>
          <w:color w:val="auto"/>
        </w:rPr>
      </w:pPr>
      <w:r>
        <w:rPr>
          <w:rFonts w:ascii="Times New Roman" w:cs="Times New Roman" w:eastAsia="Times New Roman" w:hAnsi="Times New Roman"/>
          <w:sz w:val="18"/>
          <w:szCs w:val="18"/>
          <w:color w:val="auto"/>
        </w:rPr>
        <w:t>The Company has established share and unit-based compensation plans for the purpose of attracting and retaining executive officers, directors and key employees.</w:t>
      </w:r>
    </w:p>
    <w:p>
      <w:pPr>
        <w:spacing w:after="0" w:line="1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2003 Equity Incentive Plan:</w:t>
      </w:r>
    </w:p>
    <w:p>
      <w:pPr>
        <w:spacing w:after="0" w:line="151" w:lineRule="exact"/>
        <w:rPr>
          <w:sz w:val="20"/>
          <w:szCs w:val="20"/>
          <w:color w:val="auto"/>
        </w:rPr>
      </w:pPr>
    </w:p>
    <w:p>
      <w:pPr>
        <w:ind w:right="20" w:firstLine="435"/>
        <w:spacing w:after="0" w:line="284" w:lineRule="auto"/>
        <w:rPr>
          <w:sz w:val="20"/>
          <w:szCs w:val="20"/>
          <w:color w:val="auto"/>
        </w:rPr>
      </w:pPr>
      <w:r>
        <w:rPr>
          <w:rFonts w:ascii="Times New Roman" w:cs="Times New Roman" w:eastAsia="Times New Roman" w:hAnsi="Times New Roman"/>
          <w:sz w:val="16"/>
          <w:szCs w:val="16"/>
          <w:color w:val="auto"/>
        </w:rPr>
        <w:t>The 2003 Equity Incentive Plan ("2003 Plan") authorizes the grant of stock awards, stock options, stock appreciation rights, stock units, stock bonuses, performance-based awards, dividend equivalent rights and OP Units or other convertible or exchangeable units. As of December 31, 2023, stock awards, stock units, LTIP Units (as defined below), stock appreciation rights ("SARs") and stock options have been granted under the 2003 Plan. All stock options or other rights to acquire common stock granted under the 2003 Plan have a term of 10 years or less. These awards were generally granted based on the performance of the Company and the employees. None of the awards have performance requirements other than a service condition of continued employment unless otherwise provided. All awards are subject to restrictions determined by the Company's compensation committee. The aggregate number of shares of common stock that may be issued under the 2003 Plan is 26,112,331 shares. As of December 31, 2023, there were 7,678,580 shares available for issuance under the 2003 Plan.</w:t>
      </w:r>
    </w:p>
    <w:p>
      <w:pPr>
        <w:spacing w:after="0" w:line="3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Units:</w:t>
      </w:r>
    </w:p>
    <w:p>
      <w:pPr>
        <w:spacing w:after="0" w:line="151" w:lineRule="exact"/>
        <w:rPr>
          <w:sz w:val="20"/>
          <w:szCs w:val="20"/>
          <w:color w:val="auto"/>
        </w:rPr>
      </w:pPr>
    </w:p>
    <w:p>
      <w:pPr>
        <w:jc w:val="both"/>
        <w:ind w:right="20" w:firstLine="435"/>
        <w:spacing w:after="0" w:line="256" w:lineRule="auto"/>
        <w:rPr>
          <w:sz w:val="20"/>
          <w:szCs w:val="20"/>
          <w:color w:val="auto"/>
        </w:rPr>
      </w:pPr>
      <w:r>
        <w:rPr>
          <w:rFonts w:ascii="Times New Roman" w:cs="Times New Roman" w:eastAsia="Times New Roman" w:hAnsi="Times New Roman"/>
          <w:sz w:val="18"/>
          <w:szCs w:val="18"/>
          <w:color w:val="auto"/>
        </w:rPr>
        <w:t>The stock units represent the right to receive upon vesting one share of the Company's common stock for one stock unit. The value of the stock units was determined by the market price of the Company's common stock on the date of the grant. The following table summarizes the activity of non-vested stock units during the years ended December 31, 2023, 2022 and 2021:</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1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5"/>
        </w:trPr>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130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28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0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266,505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2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24"/>
        </w:trPr>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42"/>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284,047</w:t>
            </w:r>
          </w:p>
        </w:tc>
        <w:tc>
          <w:tcPr>
            <w:tcW w:w="3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295,054</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266,505</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66" w:right="35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Long-Term Incentive Plan Units:</w:t>
      </w:r>
    </w:p>
    <w:p>
      <w:pPr>
        <w:spacing w:after="0" w:line="151" w:lineRule="exact"/>
        <w:rPr>
          <w:sz w:val="20"/>
          <w:szCs w:val="20"/>
          <w:color w:val="auto"/>
        </w:rPr>
      </w:pPr>
    </w:p>
    <w:p>
      <w:pPr>
        <w:ind w:right="40" w:firstLine="435"/>
        <w:spacing w:after="0" w:line="250" w:lineRule="auto"/>
        <w:rPr>
          <w:sz w:val="20"/>
          <w:szCs w:val="20"/>
          <w:color w:val="auto"/>
        </w:rPr>
      </w:pPr>
      <w:r>
        <w:rPr>
          <w:rFonts w:ascii="Times New Roman" w:cs="Times New Roman" w:eastAsia="Times New Roman" w:hAnsi="Times New Roman"/>
          <w:sz w:val="18"/>
          <w:szCs w:val="18"/>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108" w:lineRule="exact"/>
        <w:rPr>
          <w:sz w:val="20"/>
          <w:szCs w:val="20"/>
          <w:color w:val="auto"/>
        </w:rPr>
      </w:pPr>
    </w:p>
    <w:p>
      <w:pPr>
        <w:ind w:right="120" w:firstLine="435"/>
        <w:spacing w:after="0" w:line="256" w:lineRule="auto"/>
        <w:rPr>
          <w:sz w:val="20"/>
          <w:szCs w:val="20"/>
          <w:color w:val="auto"/>
        </w:rPr>
      </w:pPr>
      <w:r>
        <w:rPr>
          <w:rFonts w:ascii="Times New Roman" w:cs="Times New Roman" w:eastAsia="Times New Roman" w:hAnsi="Times New Roman"/>
          <w:sz w:val="18"/>
          <w:szCs w:val="18"/>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spacing w:after="0" w:line="115" w:lineRule="exact"/>
        <w:rPr>
          <w:sz w:val="20"/>
          <w:szCs w:val="20"/>
          <w:color w:val="auto"/>
        </w:rPr>
      </w:pPr>
    </w:p>
    <w:p>
      <w:pPr>
        <w:ind w:firstLine="435"/>
        <w:spacing w:after="0" w:line="248" w:lineRule="auto"/>
        <w:rPr>
          <w:sz w:val="20"/>
          <w:szCs w:val="20"/>
          <w:color w:val="auto"/>
        </w:rPr>
      </w:pPr>
      <w:r>
        <w:rPr>
          <w:rFonts w:ascii="Times New Roman" w:cs="Times New Roman" w:eastAsia="Times New Roman" w:hAnsi="Times New Roman"/>
          <w:sz w:val="18"/>
          <w:szCs w:val="18"/>
          <w:color w:val="auto"/>
        </w:rPr>
        <w:t>The fair value of the service-based LTI Units was determined by the market price of the Company's common stock on the date of the grant. The fair value of the market-indexed LTI Units and performance-based LTI Units are estimated on the date of grant using a Monte Carlo Simulation model. The stock price of the Company, along with the stock prices of the group of peer REITs (for market-indexed awards), is assumed to follow the Multivariate Geometric Brownian Motion Process. Multivariate Geometric Brownian Motion is a common assumption when modeling in financial markets, as it allows the modeled quantity (in this case, the stock price) to vary randomly from its current value and take any value greater than zero. The volatilities of the returns on the share price of the Company and the peer group REITs were estimated based on a look-back period. The expected growth rate of the stock prices over the "derived service period" is determined with consideration of the risk free rate as of the grant date.</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granted the following LTI units during the years ended December 31, 2023, 2022 and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60" w:type="dxa"/>
            <w:vAlign w:val="bottom"/>
          </w:tcPr>
          <w:p>
            <w:pPr>
              <w:spacing w:after="0"/>
              <w:rPr>
                <w:sz w:val="16"/>
                <w:szCs w:val="16"/>
                <w:color w:val="auto"/>
              </w:rPr>
            </w:pPr>
          </w:p>
        </w:tc>
        <w:tc>
          <w:tcPr>
            <w:tcW w:w="20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per LTI</w:t>
            </w:r>
          </w:p>
        </w:tc>
        <w:tc>
          <w:tcPr>
            <w:tcW w:w="130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Vest Date</w:t>
            </w:r>
          </w:p>
        </w:tc>
        <w:tc>
          <w:tcPr>
            <w:tcW w:w="0" w:type="dxa"/>
            <w:vAlign w:val="bottom"/>
          </w:tcPr>
          <w:p>
            <w:pPr>
              <w:spacing w:after="0"/>
              <w:rPr>
                <w:sz w:val="1"/>
                <w:szCs w:val="1"/>
                <w:color w:val="auto"/>
              </w:rPr>
            </w:pPr>
          </w:p>
        </w:tc>
      </w:tr>
      <w:tr>
        <w:trPr>
          <w:trHeight w:val="210"/>
        </w:trPr>
        <w:tc>
          <w:tcPr>
            <w:tcW w:w="142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Unit</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1/1/2021</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576,378</w:t>
            </w: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12/31/2023</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1/1/2021</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1,005,073</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12/31/2023</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1,581,451</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376,153</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716,545</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1,092,698</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577,255</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1,030,077</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1,607,332</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151" w:lineRule="exact"/>
        <w:rPr>
          <w:sz w:val="20"/>
          <w:szCs w:val="20"/>
          <w:color w:val="auto"/>
        </w:rPr>
      </w:pPr>
    </w:p>
    <w:p>
      <w:pPr>
        <w:ind w:right="380" w:firstLine="435"/>
        <w:spacing w:after="0" w:line="269" w:lineRule="auto"/>
        <w:rPr>
          <w:sz w:val="20"/>
          <w:szCs w:val="20"/>
          <w:color w:val="auto"/>
        </w:rPr>
      </w:pPr>
      <w:r>
        <w:rPr>
          <w:rFonts w:ascii="Times New Roman" w:cs="Times New Roman" w:eastAsia="Times New Roman" w:hAnsi="Times New Roman"/>
          <w:sz w:val="18"/>
          <w:szCs w:val="18"/>
          <w:color w:val="auto"/>
        </w:rPr>
        <w:t>The fair value of the market-indexed LTI Units and performance-based LTI Units (Level 3) were estimated on the date of grant using a Monte Carlo Simulation model that based on the following assumptions:</w:t>
      </w:r>
    </w:p>
    <w:p>
      <w:pPr>
        <w:spacing w:after="0" w:line="111"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Risk Free Interest</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Expected</w:t>
            </w:r>
          </w:p>
        </w:tc>
      </w:tr>
      <w:tr>
        <w:trPr>
          <w:trHeight w:val="237"/>
        </w:trPr>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Volatility</w:t>
            </w:r>
          </w:p>
        </w:tc>
      </w:tr>
      <w:tr>
        <w:trPr>
          <w:trHeight w:val="217"/>
        </w:trPr>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1/1/2021</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62.82 %</w:t>
            </w:r>
          </w:p>
        </w:tc>
      </w:tr>
      <w:tr>
        <w:trPr>
          <w:trHeight w:val="22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1/1/2022</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70.83 %</w:t>
            </w:r>
          </w:p>
        </w:tc>
      </w:tr>
      <w:tr>
        <w:trPr>
          <w:trHeight w:val="224"/>
        </w:trPr>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74.23 %</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LTI Units during the years ended December 31, 2023, 2022 and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1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130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28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0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4"/>
        </w:trPr>
        <w:tc>
          <w:tcPr>
            <w:tcW w:w="29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2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24"/>
        </w:trPr>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(328,394)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42"/>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2,256,847</w:t>
            </w:r>
          </w:p>
        </w:tc>
        <w:tc>
          <w:tcPr>
            <w:tcW w:w="30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2,215,167</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1,837,691</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of vested stock options for the years ended December 31, 2023, 2022 and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16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81"/>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41"/>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61"/>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61"/>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130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3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8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61"/>
              <w:spacing w:after="0" w:line="13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4"/>
        </w:trPr>
        <w:tc>
          <w:tcPr>
            <w:tcW w:w="29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2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end of year</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26,371</w:t>
            </w:r>
          </w:p>
        </w:tc>
        <w:tc>
          <w:tcPr>
            <w:tcW w:w="3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37,515</w:t>
            </w:r>
          </w:p>
        </w:tc>
        <w:tc>
          <w:tcPr>
            <w:tcW w:w="3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right="7880" w:hanging="435"/>
        <w:spacing w:after="0" w:line="465" w:lineRule="auto"/>
        <w:tabs>
          <w:tab w:leader="none" w:pos="269"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and Unit-based Plans: (Continued) Directors' Phantom Stock Plan:</w:t>
      </w:r>
    </w:p>
    <w:p>
      <w:pPr>
        <w:ind w:firstLine="435"/>
        <w:spacing w:after="0" w:line="247" w:lineRule="auto"/>
        <w:rPr>
          <w:sz w:val="20"/>
          <w:szCs w:val="20"/>
          <w:color w:val="auto"/>
        </w:rPr>
      </w:pPr>
      <w:r>
        <w:rPr>
          <w:rFonts w:ascii="Times New Roman" w:cs="Times New Roman" w:eastAsia="Times New Roman" w:hAnsi="Times New Roman"/>
          <w:sz w:val="18"/>
          <w:szCs w:val="18"/>
          <w:color w:val="auto"/>
        </w:rPr>
        <w:t>The Directors' Phantom Stock Plan offers non-employee members of the board of directors ("Directors") the opportunity to defer their cash compensation and to receive that compensation in common stock rather than in cash after termination of service or a predetermined period. Compensation generally includes the annual retainers payable by the Company to the Directors. Deferred amounts are generally credited as units of phantom stock at the beginning of each three-year deferral period by dividing the present value of the deferred compensation by the average fair market value of the Company's common stock at the date of award. Compensation expense related to the phantom stock awards was determined by the amortization of the value of the stock units on a straight-line basis over the applicable service period. The stock units (including dividend equivalents) vest as the Directors' services (to which the fees relate) are rendered. Vested phantom stock units are ultimately paid out in common stock on a one-unit for one-share basis. To the extent elected by a Director, stock units receive dividend equivalents in the form of additional stock units based on the dividend amount paid on the common stock. The aggregate number of phantom stock units that may be granted under the Directors' Phantom Stock Plan is 650,000. As of December 31, 2023, there were 174,576 stock units available for grant under the Directors' Phantom Stock Plan.</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of the non-vested phantom stock units for the years ended December 31, 2023, 2022 and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1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4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41"/>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21"/>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1"/>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5"/>
        </w:trPr>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1"/>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130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30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1"/>
              <w:spacing w:after="0" w:line="143"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24"/>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17"/>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3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Employee Stock Purchase Plan ("ESPP"):</w:t>
      </w:r>
    </w:p>
    <w:p>
      <w:pPr>
        <w:spacing w:after="0" w:line="151" w:lineRule="exact"/>
        <w:rPr>
          <w:sz w:val="20"/>
          <w:szCs w:val="20"/>
          <w:color w:val="auto"/>
        </w:rPr>
      </w:pPr>
    </w:p>
    <w:p>
      <w:pPr>
        <w:ind w:right="140" w:firstLine="435"/>
        <w:spacing w:after="0" w:line="252" w:lineRule="auto"/>
        <w:rPr>
          <w:sz w:val="20"/>
          <w:szCs w:val="20"/>
          <w:color w:val="auto"/>
        </w:rPr>
      </w:pPr>
      <w:r>
        <w:rPr>
          <w:rFonts w:ascii="Times New Roman" w:cs="Times New Roman" w:eastAsia="Times New Roman" w:hAnsi="Times New Roman"/>
          <w:sz w:val="18"/>
          <w:szCs w:val="18"/>
          <w:color w:val="auto"/>
        </w:rPr>
        <w:t>The ESPP authorizes eligible employees to purchase the Company's common stock through voluntary payroll deductions made during periodic offering periods. Under the ESPP, common stock is purchased at a 15% discount from the lesser of the fair value of common stock at the beginning and end of the offering period. A maximum of 1,291,117 shares of common stock is available for purchase under the ESPP. The number of shares available for future purchase under the plan at December 31, 2023 was 82,873.</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summarizes the compensation cost under the share and unit-based plans for the years ended December 31, 2023, 2022 and 2021:</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2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LTI units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12,599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18,611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w:t>
            </w:r>
          </w:p>
        </w:tc>
      </w:tr>
      <w:tr>
        <w:trPr>
          <w:trHeight w:val="22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Phantom stock units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7"/>
        </w:trPr>
        <w:tc>
          <w:tcPr>
            <w:tcW w:w="4700" w:type="dxa"/>
            <w:vAlign w:val="bottom"/>
          </w:tcPr>
          <w:p>
            <w:pPr>
              <w:spacing w:after="0"/>
              <w:rPr>
                <w:sz w:val="18"/>
                <w:szCs w:val="18"/>
                <w:color w:val="auto"/>
              </w:rPr>
            </w:pP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16,065</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22,119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17,998</w:t>
            </w:r>
          </w:p>
        </w:tc>
      </w:tr>
      <w:tr>
        <w:trPr>
          <w:trHeight w:val="20"/>
        </w:trPr>
        <w:tc>
          <w:tcPr>
            <w:tcW w:w="4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 and Unit-based Plans: (Continued)</w:t>
      </w:r>
    </w:p>
    <w:p>
      <w:pPr>
        <w:spacing w:after="0" w:line="151"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The Company capitalized share and unit-based compensation costs of $2,899, $4,481 and $3,725 for the years ended December 31, 2023, 2022 and 2021, respectively.</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the stock units that vested during the years ended December 31, 2023, 2022 and 2021 was $2,736, $2,349 and $3,408, respectively.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compensation costs of share and unit-based plans at December 31, 2023 consisted of $3,087 from LTI Units and $1,858 from stock units.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51" w:lineRule="exact"/>
        <w:rPr>
          <w:sz w:val="20"/>
          <w:szCs w:val="20"/>
          <w:color w:val="auto"/>
        </w:rPr>
      </w:pPr>
    </w:p>
    <w:p>
      <w:pPr>
        <w:ind w:right="100" w:firstLine="435"/>
        <w:spacing w:after="0" w:line="248" w:lineRule="auto"/>
        <w:rPr>
          <w:sz w:val="20"/>
          <w:szCs w:val="20"/>
          <w:color w:val="auto"/>
        </w:rPr>
      </w:pPr>
      <w:r>
        <w:rPr>
          <w:rFonts w:ascii="Times New Roman" w:cs="Times New Roman" w:eastAsia="Times New Roman" w:hAnsi="Times New Roman"/>
          <w:sz w:val="18"/>
          <w:szCs w:val="18"/>
          <w:color w:val="auto"/>
        </w:rPr>
        <w:t>The Company has a defined contribution retirement plan that covers its eligible employees (the "Plan"). The Plan is a defined contribution retirement plan covering eligible employees of the Macerich Property Management Company, LLC and participating affiliates. This Plan includes The Macerich Company Common Stock Fund as a new investment alternative under the Plan with 650,000 shares of common stock reserved for issuance under the Plan. In accordance with the Plan, the Company makes matching contributions equal to 100 percent of the first three percent of compensation deferred by a participant and 50 percent of the next two percent of compensation deferred by a participant. During the years ended December 31, 2023, 2022 and 2021, these matching contributions made by the Company were $3,593, $3,206 and $3,144, respectively. Contributions and matching contributions to the Plan by the plan sponsor and/or participating affiliates are recognized as an expense of the Company in the period that they are made.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Deferred Compensation Plans:</w:t>
      </w:r>
    </w:p>
    <w:p>
      <w:pPr>
        <w:spacing w:after="0" w:line="151" w:lineRule="exact"/>
        <w:rPr>
          <w:sz w:val="20"/>
          <w:szCs w:val="20"/>
          <w:color w:val="auto"/>
        </w:rPr>
      </w:pPr>
    </w:p>
    <w:p>
      <w:pPr>
        <w:ind w:right="120" w:firstLine="435"/>
        <w:spacing w:after="0" w:line="250" w:lineRule="auto"/>
        <w:rPr>
          <w:sz w:val="20"/>
          <w:szCs w:val="20"/>
          <w:color w:val="auto"/>
        </w:rPr>
      </w:pPr>
      <w:r>
        <w:rPr>
          <w:rFonts w:ascii="Times New Roman" w:cs="Times New Roman" w:eastAsia="Times New Roman" w:hAnsi="Times New Roman"/>
          <w:sz w:val="18"/>
          <w:szCs w:val="18"/>
          <w:color w:val="auto"/>
        </w:rPr>
        <w:t>The Company has established deferred compensation plans under which executives and key employees of the Company may elect to defer receiving a portion of their cash compensation otherwise payable in one calendar year until a later year. The Company may, as determined by the Board of Directors in its sole discretion prior to the beginning of the plan year, credit a participant's account with a matching amount equal to a percentage of the participant's deferral. The Company contributed $463, $429 and $325 to the plans during the years ended December 31, 2023, 2022 and 2021, respectively. Contributions are recognized as compensation in the periods they are made.</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Income Taxes:</w:t>
      </w:r>
    </w:p>
    <w:p>
      <w:pPr>
        <w:spacing w:after="0" w:line="151" w:lineRule="exact"/>
        <w:rPr>
          <w:sz w:val="20"/>
          <w:szCs w:val="20"/>
          <w:color w:val="auto"/>
        </w:rPr>
      </w:pPr>
    </w:p>
    <w:p>
      <w:pPr>
        <w:ind w:right="20" w:firstLine="435"/>
        <w:spacing w:after="0" w:line="256" w:lineRule="auto"/>
        <w:rPr>
          <w:sz w:val="20"/>
          <w:szCs w:val="20"/>
          <w:color w:val="auto"/>
        </w:rPr>
      </w:pPr>
      <w:r>
        <w:rPr>
          <w:rFonts w:ascii="Times New Roman" w:cs="Times New Roman" w:eastAsia="Times New Roman" w:hAnsi="Times New Roman"/>
          <w:sz w:val="18"/>
          <w:szCs w:val="18"/>
          <w:color w:val="auto"/>
        </w:rPr>
        <w:t>For income tax purposes, distributions paid to common stockholders consist of ordinary income, capital gains, unrecaptured Section 1250 gain and return of capital or a combination thereof. The following table details the components of the distributions, on a per share basis, for the years ended December 31, 2023, 2022 and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2022(2)</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2021(3)</w:t>
            </w:r>
          </w:p>
        </w:tc>
        <w:tc>
          <w:tcPr>
            <w:tcW w:w="760" w:type="dxa"/>
            <w:vAlign w:val="bottom"/>
          </w:tcPr>
          <w:p>
            <w:pPr>
              <w:spacing w:after="0"/>
              <w:rPr>
                <w:sz w:val="16"/>
                <w:szCs w:val="16"/>
                <w:color w:val="auto"/>
              </w:rPr>
            </w:pPr>
          </w:p>
        </w:tc>
      </w:tr>
      <w:tr>
        <w:trPr>
          <w:trHeight w:val="24"/>
        </w:trPr>
        <w:tc>
          <w:tcPr>
            <w:tcW w:w="3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 income</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gains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r>
      <w:tr>
        <w:trPr>
          <w:trHeight w:val="22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of capital</w:t>
            </w:r>
          </w:p>
        </w:tc>
        <w:tc>
          <w:tcPr>
            <w:tcW w:w="3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69.1 %</w:t>
            </w:r>
          </w:p>
        </w:tc>
      </w:tr>
      <w:tr>
        <w:trPr>
          <w:trHeight w:val="21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Income Taxes: (Continued)</w:t>
      </w:r>
    </w:p>
    <w:p>
      <w:pPr>
        <w:spacing w:after="0" w:line="200" w:lineRule="exact"/>
        <w:rPr>
          <w:sz w:val="20"/>
          <w:szCs w:val="20"/>
          <w:color w:val="auto"/>
        </w:rPr>
      </w:pPr>
    </w:p>
    <w:p>
      <w:pPr>
        <w:spacing w:after="0" w:line="337" w:lineRule="exact"/>
        <w:rPr>
          <w:sz w:val="20"/>
          <w:szCs w:val="20"/>
          <w:color w:val="auto"/>
        </w:rPr>
      </w:pPr>
    </w:p>
    <w:p>
      <w:pPr>
        <w:ind w:left="560" w:right="240" w:hanging="555"/>
        <w:spacing w:after="0" w:line="252" w:lineRule="auto"/>
        <w:tabs>
          <w:tab w:leader="none" w:pos="5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2023 ordinary income is treated as "qualified REIT dividends" for purposes of Section 199A of the Code and the 2023 capital gains are treated as "unrecaptured Section 1250 gains."</w:t>
      </w:r>
    </w:p>
    <w:p>
      <w:pPr>
        <w:ind w:left="560" w:hanging="555"/>
        <w:spacing w:after="0" w:line="249" w:lineRule="auto"/>
        <w:tabs>
          <w:tab w:leader="none" w:pos="5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54.5% of the 2022 ordinary income is treated as "qualified REIT dividends" for purposes of Section 199A of the Code and 45.5% of the 2022 ordinary income is treated as "qualified dividend income" for purposes of Section 1(h)(11) of the Code.</w:t>
      </w:r>
    </w:p>
    <w:p>
      <w:pPr>
        <w:ind w:left="560" w:hanging="555"/>
        <w:spacing w:after="0"/>
        <w:tabs>
          <w:tab w:leader="none" w:pos="5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2021 ordinary income is treated as "qualified REIT dividends" for purposes of Section 199A of the Code.</w:t>
      </w:r>
    </w:p>
    <w:p>
      <w:pPr>
        <w:spacing w:after="0" w:line="360" w:lineRule="exact"/>
        <w:rPr>
          <w:sz w:val="20"/>
          <w:szCs w:val="20"/>
          <w:color w:val="auto"/>
        </w:rPr>
      </w:pPr>
    </w:p>
    <w:p>
      <w:pPr>
        <w:ind w:right="60" w:firstLine="435"/>
        <w:spacing w:after="0" w:line="269" w:lineRule="auto"/>
        <w:rPr>
          <w:sz w:val="20"/>
          <w:szCs w:val="20"/>
          <w:color w:val="auto"/>
        </w:rPr>
      </w:pPr>
      <w:r>
        <w:rPr>
          <w:rFonts w:ascii="Times New Roman" w:cs="Times New Roman" w:eastAsia="Times New Roman" w:hAnsi="Times New Roman"/>
          <w:sz w:val="18"/>
          <w:szCs w:val="18"/>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w:t>
      </w:r>
    </w:p>
    <w:p>
      <w:pPr>
        <w:spacing w:after="0" w:line="1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income tax provision of the TRSs for the years ended December 31, 2023, 2022 and 2021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4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income tax provision of the TRSs for the years ended December 31, 2023, 2022 and 2021 are reconciled to the amount computed by applying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Corporate tax rate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loss (income) for TRSs</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Times New Roman" w:cs="Times New Roman" w:eastAsia="Times New Roman" w:hAnsi="Times New Roman"/>
                <w:sz w:val="18"/>
                <w:szCs w:val="18"/>
                <w:color w:val="auto"/>
              </w:rPr>
              <w:t>Tax at statutory rate on earnings from continuing operations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7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before income taxes</w:t>
            </w:r>
          </w:p>
        </w:tc>
        <w:tc>
          <w:tcPr>
            <w:tcW w:w="88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19"/>
                <w:szCs w:val="19"/>
                <w:color w:val="auto"/>
              </w:rPr>
            </w:pPr>
          </w:p>
        </w:tc>
        <w:tc>
          <w:tcPr>
            <w:tcW w:w="880" w:type="dxa"/>
            <w:vAlign w:val="bottom"/>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(1,337)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tax effects of temporary differences and carryforwards of the TRSs included in the net deferred tax assets at December 31, 2023 and 2022 are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12,740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14"/>
                <w:szCs w:val="14"/>
                <w:color w:val="auto"/>
              </w:rPr>
            </w:pPr>
          </w:p>
        </w:tc>
        <w:tc>
          <w:tcPr>
            <w:tcW w:w="62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Property, primarily differences in depreciation and amortization, the tax basis of land</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6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assets and treatment of certain other costs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10,396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0" w:type="dxa"/>
            <w:vAlign w:val="bottom"/>
          </w:tcPr>
          <w:p>
            <w:pPr>
              <w:spacing w:after="0"/>
              <w:rPr>
                <w:sz w:val="1"/>
                <w:szCs w:val="1"/>
                <w:color w:val="auto"/>
              </w:rPr>
            </w:pPr>
          </w:p>
        </w:tc>
      </w:tr>
      <w:tr>
        <w:trPr>
          <w:trHeight w:val="224"/>
        </w:trPr>
        <w:tc>
          <w:tcPr>
            <w:tcW w:w="16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7"/>
        </w:trPr>
        <w:tc>
          <w:tcPr>
            <w:tcW w:w="7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summarized as follows:</w:t>
            </w:r>
            <w:r>
              <w:rPr>
                <w:rFonts w:ascii="Times New Roman" w:cs="Times New Roman" w:eastAsia="Times New Roman" w:hAnsi="Times New Roman"/>
                <w:sz w:val="35"/>
                <w:szCs w:val="35"/>
                <w:color w:val="auto"/>
                <w:vertAlign w:val="superscript"/>
              </w:rPr>
              <w:t>Net deferred tax assets</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24,024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23,114</w:t>
            </w:r>
          </w:p>
        </w:tc>
        <w:tc>
          <w:tcPr>
            <w:tcW w:w="0" w:type="dxa"/>
            <w:vAlign w:val="bottom"/>
          </w:tcPr>
          <w:p>
            <w:pPr>
              <w:spacing w:after="0"/>
              <w:rPr>
                <w:sz w:val="1"/>
                <w:szCs w:val="1"/>
                <w:color w:val="auto"/>
              </w:rPr>
            </w:pPr>
          </w:p>
        </w:tc>
      </w:tr>
      <w:tr>
        <w:trPr>
          <w:trHeight w:val="20"/>
        </w:trPr>
        <w:tc>
          <w:tcPr>
            <w:tcW w:w="7900" w:type="dxa"/>
            <w:vAlign w:val="bottom"/>
            <w:gridSpan w:val="2"/>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90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right="20" w:firstLine="435"/>
        <w:spacing w:after="0" w:line="252" w:lineRule="auto"/>
        <w:rPr>
          <w:sz w:val="20"/>
          <w:szCs w:val="20"/>
          <w:color w:val="auto"/>
        </w:rPr>
      </w:pPr>
      <w:r>
        <w:rPr>
          <w:rFonts w:ascii="Times New Roman" w:cs="Times New Roman" w:eastAsia="Times New Roman" w:hAnsi="Times New Roman"/>
          <w:sz w:val="18"/>
          <w:szCs w:val="18"/>
          <w:color w:val="auto"/>
        </w:rPr>
        <w:t>The net operating loss ("NOL") carryforwards for NOLs generated through the 2017 tax year are scheduled to expire through 2037, beginning in 2031.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years ended December 31, 2023, 2022 and 2021 there were no unrecognized tax benefits.</w:t>
      </w:r>
    </w:p>
    <w:p>
      <w:pPr>
        <w:spacing w:after="0" w:line="149" w:lineRule="exact"/>
        <w:rPr>
          <w:sz w:val="20"/>
          <w:szCs w:val="20"/>
          <w:color w:val="auto"/>
        </w:rPr>
      </w:pPr>
    </w:p>
    <w:p>
      <w:pPr>
        <w:ind w:right="40" w:firstLine="435"/>
        <w:spacing w:after="0" w:line="252" w:lineRule="auto"/>
        <w:rPr>
          <w:sz w:val="20"/>
          <w:szCs w:val="20"/>
          <w:color w:val="auto"/>
        </w:rPr>
      </w:pPr>
      <w:r>
        <w:rPr>
          <w:rFonts w:ascii="Times New Roman" w:cs="Times New Roman" w:eastAsia="Times New Roman" w:hAnsi="Times New Roman"/>
          <w:sz w:val="18"/>
          <w:szCs w:val="18"/>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December 31, 2023, the Company had no valuation allowance recorded.</w:t>
      </w:r>
    </w:p>
    <w:p>
      <w:pPr>
        <w:sectPr>
          <w:pgSz w:w="11900" w:h="16838" w:orient="portrait"/>
          <w:cols w:equalWidth="0" w:num="1">
            <w:col w:w="11220"/>
          </w:cols>
          <w:pgMar w:left="320" w:top="2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Income Taxes: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The tax years 2020 through 2022 remain open to examination by the taxing jurisdictions to which the Company is subject. The Company does not expect that the total amount of unrecognized tax benefit will materially change within the next 12 months.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151" w:lineRule="exact"/>
        <w:rPr>
          <w:sz w:val="20"/>
          <w:szCs w:val="20"/>
          <w:color w:val="auto"/>
        </w:rPr>
      </w:pPr>
    </w:p>
    <w:p>
      <w:pPr>
        <w:ind w:right="320" w:firstLine="435"/>
        <w:spacing w:after="0" w:line="269" w:lineRule="auto"/>
        <w:rPr>
          <w:sz w:val="20"/>
          <w:szCs w:val="20"/>
          <w:color w:val="auto"/>
        </w:rPr>
      </w:pPr>
      <w:r>
        <w:rPr>
          <w:rFonts w:ascii="Times New Roman" w:cs="Times New Roman" w:eastAsia="Times New Roman" w:hAnsi="Times New Roman"/>
          <w:sz w:val="18"/>
          <w:szCs w:val="18"/>
          <w:color w:val="auto"/>
        </w:rPr>
        <w:t>On February 2, 2024, the Company announced a dividend/distribution of $0.17 per share for common stockholders and OP Unit holders of record on February 16, 2024. All dividends/distributions will be paid 100% in cash on March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519"/>
              <w:spacing w:after="0"/>
              <w:rPr>
                <w:sz w:val="20"/>
                <w:szCs w:val="20"/>
                <w:color w:val="auto"/>
              </w:rPr>
            </w:pPr>
            <w:r>
              <w:rPr>
                <w:rFonts w:ascii="Times New Roman" w:cs="Times New Roman" w:eastAsia="Times New Roman" w:hAnsi="Times New Roman"/>
                <w:sz w:val="12"/>
                <w:szCs w:val="12"/>
                <w:b w:val="1"/>
                <w:bCs w:val="1"/>
                <w:color w:val="auto"/>
              </w:rPr>
              <w:t>Initial Cost to Company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2"/>
                <w:szCs w:val="12"/>
                <w:b w:val="1"/>
                <w:bCs w:val="1"/>
                <w:color w:val="auto"/>
              </w:rPr>
              <w:t>Gross Amount at Which Carried at Close of Period</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Cost Capitalized</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2"/>
                <w:szCs w:val="12"/>
                <w:b w:val="1"/>
                <w:bCs w:val="1"/>
                <w:color w:val="auto"/>
              </w:rPr>
              <w:t>Total Cost</w:t>
            </w: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Construction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0"/>
                <w:szCs w:val="10"/>
                <w:color w:val="auto"/>
              </w:rPr>
            </w:pPr>
          </w:p>
        </w:tc>
        <w:tc>
          <w:tcPr>
            <w:tcW w:w="84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2"/>
                <w:szCs w:val="12"/>
                <w:b w:val="1"/>
                <w:bCs w:val="1"/>
                <w:color w:val="auto"/>
              </w:rPr>
              <w:t>Net of</w:t>
            </w: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rPr>
              <w:t>and</w:t>
            </w:r>
          </w:p>
        </w:tc>
        <w:tc>
          <w:tcPr>
            <w:tcW w:w="100" w:type="dxa"/>
            <w:vAlign w:val="bottom"/>
          </w:tcPr>
          <w:p>
            <w:pPr>
              <w:spacing w:after="0"/>
              <w:rPr>
                <w:sz w:val="10"/>
                <w:szCs w:val="10"/>
                <w:color w:val="auto"/>
              </w:rPr>
            </w:pPr>
          </w:p>
        </w:tc>
        <w:tc>
          <w:tcPr>
            <w:tcW w:w="9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rPr>
              <w:t>and</w:t>
            </w:r>
          </w:p>
        </w:tc>
        <w:tc>
          <w:tcPr>
            <w:tcW w:w="86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0" w:type="dxa"/>
            <w:vAlign w:val="bottom"/>
          </w:tcPr>
          <w:p>
            <w:pPr>
              <w:spacing w:after="0"/>
              <w:rPr>
                <w:sz w:val="1"/>
                <w:szCs w:val="1"/>
                <w:color w:val="auto"/>
              </w:rPr>
            </w:pPr>
          </w:p>
        </w:tc>
      </w:tr>
      <w:tr>
        <w:trPr>
          <w:trHeight w:val="178"/>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Shopping Centers/Entities</w:t>
            </w:r>
          </w:p>
        </w:tc>
        <w:tc>
          <w:tcPr>
            <w:tcW w:w="14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Land</w:t>
            </w: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14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Land</w:t>
            </w:r>
          </w:p>
        </w:tc>
        <w:tc>
          <w:tcPr>
            <w:tcW w:w="8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 Progress</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8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0" w:type="dxa"/>
            <w:vAlign w:val="bottom"/>
          </w:tcPr>
          <w:p>
            <w:pPr>
              <w:spacing w:after="0"/>
              <w:rPr>
                <w:sz w:val="1"/>
                <w:szCs w:val="1"/>
                <w:color w:val="auto"/>
              </w:rPr>
            </w:pPr>
          </w:p>
        </w:tc>
      </w:tr>
      <w:tr>
        <w:trPr>
          <w:trHeight w:val="171"/>
        </w:trPr>
        <w:tc>
          <w:tcPr>
            <w:tcW w:w="1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Chandler Fashion Center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24,188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223,143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34,766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24,188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250,937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5,878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1,094</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282,097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146,946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135,151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Danbury Fair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130,367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316,951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128,748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141,479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399,159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25,779</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576,066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198,641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377,425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Desert Sky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41,975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Eastland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15,873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189,528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128,891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Fashion District Philadelphia</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293,112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300,480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343,798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315,190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Fashion Outlets of Chicago</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277,497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233,061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94,891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182,606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Fashion Outlets of Niagara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Falls USA</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18,581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210,139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180,563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189,519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126,039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Freehold Raceway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164,986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362,841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126,472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167,371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469,327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8,605</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654,299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259,718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394,581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Fresno Fashion Fair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129,144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150,390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80,646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Green Acres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156,640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321,034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229,555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175,551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480,437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38,843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707,229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524,049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Inland Center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38,240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119,261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130,111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Kings Plaza Shopping Center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209,041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485,548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294,507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209,041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731,664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2,730</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1,009,096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243,250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765,846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 Cumbre Plaza</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21,492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45,152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29,550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Macerich Management Co.</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MACWH, LP</w:t>
            </w: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25,771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NorthPark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80,089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87,807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Oaks, The</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117,156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276,134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364,777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425,590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222,165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203,425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Pacific View</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8,697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138,639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146,562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156,032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Prasada</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18,714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22,969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25,329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Queens Center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251,474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1,039,922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239,460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1,019,341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100,071</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1,364,965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244,828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1,120,137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Santa Monica Place</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333,744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43,763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342,375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73,334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465,744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145,652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320,092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SanTan Adjacent Land</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8,338</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6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SanTan Village Regional</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Center</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229,920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225,403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4,334</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237,747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129,383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SouthPark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32,158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Southridge Center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Stonewood Center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302,527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317,895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323,896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236,116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Superstition Springs Center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10,928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112,718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124,688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137,996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40,488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Macerich Partnership, L.P.</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Valley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16,045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26,098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41,477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20,264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Valley River Center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24,854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183,362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210,431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118,304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Victor Valley, Mall of</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127,854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149,834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73,378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Vintage Faire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140,560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Wilton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19,743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67,855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85,018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51,172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1"/>
        </w:trPr>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2460" w:type="dxa"/>
            <w:vAlign w:val="bottom"/>
            <w:tcBorders>
              <w:bottom w:val="single" w:sz="8" w:color="auto"/>
            </w:tcBorders>
            <w:gridSpan w:val="7"/>
          </w:tcPr>
          <w:p>
            <w:pPr>
              <w:jc w:val="right"/>
              <w:ind w:right="519"/>
              <w:spacing w:after="0"/>
              <w:rPr>
                <w:sz w:val="20"/>
                <w:szCs w:val="20"/>
                <w:color w:val="auto"/>
              </w:rPr>
            </w:pPr>
            <w:r>
              <w:rPr>
                <w:rFonts w:ascii="Times New Roman" w:cs="Times New Roman" w:eastAsia="Times New Roman" w:hAnsi="Times New Roman"/>
                <w:sz w:val="12"/>
                <w:szCs w:val="12"/>
                <w:b w:val="1"/>
                <w:bCs w:val="1"/>
                <w:color w:val="auto"/>
              </w:rPr>
              <w:t>Initial Cost to Company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2"/>
                <w:szCs w:val="12"/>
                <w:b w:val="1"/>
                <w:bCs w:val="1"/>
                <w:color w:val="auto"/>
              </w:rPr>
              <w:t>Gross Amount at Which Carried at Close of Period</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Cost Capitalized</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19"/>
              <w:spacing w:after="0" w:line="106" w:lineRule="exact"/>
              <w:rPr>
                <w:sz w:val="20"/>
                <w:szCs w:val="20"/>
                <w:color w:val="auto"/>
              </w:rPr>
            </w:pPr>
            <w:r>
              <w:rPr>
                <w:rFonts w:ascii="Times New Roman" w:cs="Times New Roman" w:eastAsia="Times New Roman" w:hAnsi="Times New Roman"/>
                <w:sz w:val="12"/>
                <w:szCs w:val="12"/>
                <w:b w:val="1"/>
                <w:bCs w:val="1"/>
                <w:color w:val="auto"/>
              </w:rPr>
              <w:t>Total Cost</w:t>
            </w: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Construction</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0"/>
                <w:szCs w:val="10"/>
                <w:color w:val="auto"/>
              </w:rPr>
            </w:pPr>
          </w:p>
        </w:tc>
        <w:tc>
          <w:tcPr>
            <w:tcW w:w="780" w:type="dxa"/>
            <w:vAlign w:val="bottom"/>
          </w:tcPr>
          <w:p>
            <w:pPr>
              <w:jc w:val="center"/>
              <w:ind w:right="39"/>
              <w:spacing w:after="0" w:line="119" w:lineRule="exact"/>
              <w:rPr>
                <w:sz w:val="20"/>
                <w:szCs w:val="20"/>
                <w:color w:val="auto"/>
              </w:rPr>
            </w:pPr>
            <w:r>
              <w:rPr>
                <w:rFonts w:ascii="Times New Roman" w:cs="Times New Roman" w:eastAsia="Times New Roman" w:hAnsi="Times New Roman"/>
                <w:sz w:val="12"/>
                <w:szCs w:val="12"/>
                <w:b w:val="1"/>
                <w:bCs w:val="1"/>
                <w:color w:val="auto"/>
              </w:rPr>
              <w:t>Net of</w:t>
            </w: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rPr>
              <w:t>and</w:t>
            </w:r>
          </w:p>
        </w:tc>
        <w:tc>
          <w:tcPr>
            <w:tcW w:w="100" w:type="dxa"/>
            <w:vAlign w:val="bottom"/>
          </w:tcPr>
          <w:p>
            <w:pPr>
              <w:spacing w:after="0"/>
              <w:rPr>
                <w:sz w:val="10"/>
                <w:szCs w:val="10"/>
                <w:color w:val="auto"/>
              </w:rPr>
            </w:pPr>
          </w:p>
        </w:tc>
        <w:tc>
          <w:tcPr>
            <w:tcW w:w="9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rPr>
              <w:t>Subsequent to</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2"/>
                <w:szCs w:val="12"/>
                <w:b w:val="1"/>
                <w:bCs w:val="1"/>
                <w:color w:val="auto"/>
              </w:rPr>
              <w:t>and</w:t>
            </w:r>
          </w:p>
        </w:tc>
        <w:tc>
          <w:tcPr>
            <w:tcW w:w="8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9"/>
              <w:spacing w:after="0" w:line="11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0" w:type="dxa"/>
            <w:vAlign w:val="bottom"/>
          </w:tcPr>
          <w:p>
            <w:pPr>
              <w:spacing w:after="0"/>
              <w:rPr>
                <w:sz w:val="1"/>
                <w:szCs w:val="1"/>
                <w:color w:val="auto"/>
              </w:rPr>
            </w:pPr>
          </w:p>
        </w:tc>
      </w:tr>
      <w:tr>
        <w:trPr>
          <w:trHeight w:val="178"/>
        </w:trPr>
        <w:tc>
          <w:tcPr>
            <w:tcW w:w="1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Shopping Centers/Entities</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Land</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Furnishings</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in Progress</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80" w:type="dxa"/>
            <w:vAlign w:val="bottom"/>
          </w:tcPr>
          <w:p>
            <w:pPr>
              <w:spacing w:after="0"/>
              <w:rPr>
                <w:sz w:val="15"/>
                <w:szCs w:val="15"/>
                <w:color w:val="auto"/>
              </w:rPr>
            </w:pPr>
          </w:p>
        </w:tc>
        <w:tc>
          <w:tcPr>
            <w:tcW w:w="78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9"/>
              </w:rPr>
              <w:t>Depreciation</w:t>
            </w:r>
          </w:p>
        </w:tc>
        <w:tc>
          <w:tcPr>
            <w:tcW w:w="0" w:type="dxa"/>
            <w:vAlign w:val="bottom"/>
          </w:tcPr>
          <w:p>
            <w:pPr>
              <w:spacing w:after="0"/>
              <w:rPr>
                <w:sz w:val="1"/>
                <w:szCs w:val="1"/>
                <w:color w:val="auto"/>
              </w:rPr>
            </w:pPr>
          </w:p>
        </w:tc>
      </w:tr>
      <w:tr>
        <w:trPr>
          <w:trHeight w:val="165"/>
        </w:trPr>
        <w:tc>
          <w:tcPr>
            <w:tcW w:w="1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Other freestanding stores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47,083</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111,936</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(3,388)</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13,717</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77,822</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63,798</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155,631</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12,127</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143,504</w:t>
            </w:r>
          </w:p>
        </w:tc>
        <w:tc>
          <w:tcPr>
            <w:tcW w:w="0" w:type="dxa"/>
            <w:vAlign w:val="bottom"/>
          </w:tcPr>
          <w:p>
            <w:pPr>
              <w:spacing w:after="0"/>
              <w:rPr>
                <w:sz w:val="1"/>
                <w:szCs w:val="1"/>
                <w:color w:val="auto"/>
              </w:rPr>
            </w:pPr>
          </w:p>
        </w:tc>
      </w:tr>
      <w:tr>
        <w:trPr>
          <w:trHeight w:val="124"/>
        </w:trPr>
        <w:tc>
          <w:tcPr>
            <w:tcW w:w="15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Other land and development</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(25,842)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10,281</w:t>
            </w: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$ 1,395,586</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4,906,495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46,574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2,486,952</w:t>
            </w: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$ 1,388,345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6,918,273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188,493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340,496</w:t>
            </w: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$ 8,835,607</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2,935,118</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5,900,489</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662305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1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Schedule III—Real Estate and Accumulated Depreciation (Continued)</w:t>
      </w:r>
    </w:p>
    <w:p>
      <w:pPr>
        <w:spacing w:after="0" w:line="1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435"/>
        <w:spacing w:after="0" w:line="269" w:lineRule="auto"/>
        <w:rPr>
          <w:sz w:val="20"/>
          <w:szCs w:val="20"/>
          <w:color w:val="auto"/>
        </w:rPr>
      </w:pPr>
      <w:r>
        <w:rPr>
          <w:rFonts w:ascii="Times New Roman" w:cs="Times New Roman" w:eastAsia="Times New Roman" w:hAnsi="Times New Roman"/>
          <w:sz w:val="18"/>
          <w:szCs w:val="18"/>
          <w:color w:val="auto"/>
        </w:rPr>
        <w:t>Depreciation of the Company's investment in buildings and improvements reflected in the consolidated statements of operations are calculated over the estimated useful lives of the asset as follows:</w:t>
      </w:r>
    </w:p>
    <w:p>
      <w:pPr>
        <w:spacing w:after="0" w:line="147" w:lineRule="exact"/>
        <w:rPr>
          <w:sz w:val="20"/>
          <w:szCs w:val="20"/>
          <w:color w:val="auto"/>
        </w:rPr>
      </w:pPr>
    </w:p>
    <w:tbl>
      <w:tblPr>
        <w:tblLayout w:type="fixed"/>
        <w:tblInd w:w="1060" w:type="dxa"/>
        <w:tblCellMar>
          <w:top w:w="0" w:type="dxa"/>
          <w:left w:w="0" w:type="dxa"/>
          <w:bottom w:w="0" w:type="dxa"/>
          <w:right w:w="0" w:type="dxa"/>
        </w:tblCellMar>
      </w:tblPr>
      <w:tr>
        <w:trPr>
          <w:trHeight w:val="224"/>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 years</w:t>
            </w:r>
          </w:p>
        </w:tc>
      </w:tr>
      <w:tr>
        <w:trPr>
          <w:trHeight w:val="22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24"/>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furnishings</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bl>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total real estate assets for the three years ended December 31, 2023 are as follows:</w:t>
      </w:r>
    </w:p>
    <w:p>
      <w:pPr>
        <w:spacing w:after="0" w:line="182" w:lineRule="exact"/>
        <w:rPr>
          <w:sz w:val="20"/>
          <w:szCs w:val="20"/>
          <w:color w:val="auto"/>
        </w:rPr>
      </w:pPr>
    </w:p>
    <w:tbl>
      <w:tblPr>
        <w:tblLayout w:type="fixed"/>
        <w:tblInd w:w="106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4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beginning of year</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8,920,580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9,256,712</w:t>
            </w:r>
          </w:p>
        </w:tc>
      </w:tr>
      <w:tr>
        <w:trPr>
          <w:trHeight w:val="22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100,616</w:t>
            </w:r>
          </w:p>
        </w:tc>
      </w:tr>
      <w:tr>
        <w:trPr>
          <w:trHeight w:val="22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 and retirements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(509,778)</w:t>
            </w:r>
          </w:p>
        </w:tc>
      </w:t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end of year</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8,835,607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8,920,580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8,847,550</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aggregate cost of the property included in the table above for federal income tax purposes was $9,080,781 (unaudited) at December 31, 2023.</w:t>
      </w:r>
    </w:p>
    <w:p>
      <w:pPr>
        <w:spacing w:after="0" w:line="200" w:lineRule="exact"/>
        <w:rPr>
          <w:sz w:val="20"/>
          <w:szCs w:val="20"/>
          <w:color w:val="auto"/>
        </w:rPr>
      </w:pPr>
    </w:p>
    <w:p>
      <w:pPr>
        <w:spacing w:after="0" w:line="3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changes in accumulated depreciation for the three years ended December 31, 2023 are as follows:</w:t>
      </w:r>
    </w:p>
    <w:p>
      <w:pPr>
        <w:spacing w:after="0" w:line="169" w:lineRule="exact"/>
        <w:rPr>
          <w:sz w:val="20"/>
          <w:szCs w:val="20"/>
          <w:color w:val="auto"/>
        </w:rPr>
      </w:pPr>
    </w:p>
    <w:tbl>
      <w:tblPr>
        <w:tblLayout w:type="fixed"/>
        <w:tblInd w:w="106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4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beginning of year</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2,792,790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2,563,344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2,562,133</w:t>
            </w:r>
          </w:p>
        </w:tc>
      </w:tr>
      <w:tr>
        <w:trPr>
          <w:trHeight w:val="22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282,158</w:t>
            </w:r>
          </w:p>
        </w:tc>
      </w:tr>
      <w:tr>
        <w:trPr>
          <w:trHeight w:val="22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 and retirements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(280,947)</w:t>
            </w:r>
          </w:p>
        </w:tc>
      </w:t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end of year</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2,935,118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2,792,790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2,563,344</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60"/>
          </w:cols>
          <w:pgMar w:left="320" w:top="266" w:right="5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80" w:type="dxa"/>
            <w:vAlign w:val="bottom"/>
            <w:gridSpan w:val="2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59"/>
        </w:trPr>
        <w:tc>
          <w:tcPr>
            <w:tcW w:w="1380" w:type="dxa"/>
            <w:vAlign w:val="bottom"/>
            <w:gridSpan w:val="7"/>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60" w:type="dxa"/>
            <w:vAlign w:val="bottom"/>
            <w:gridSpan w:val="21"/>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8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6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tcBorders>
              <w:top w:val="single" w:sz="8" w:color="auto"/>
            </w:tcBorders>
            <w:gridSpan w:val="6"/>
          </w:tcPr>
          <w:p>
            <w:pPr>
              <w:jc w:val="right"/>
              <w:ind w:right="20"/>
              <w:spacing w:after="0" w:line="184"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20" w:type="dxa"/>
            <w:vAlign w:val="bottom"/>
            <w:tcBorders>
              <w:top w:val="single" w:sz="8" w:color="auto"/>
            </w:tcBorders>
            <w:gridSpan w:val="28"/>
          </w:tcPr>
          <w:p>
            <w:pPr>
              <w:spacing w:after="0" w:line="184" w:lineRule="exact"/>
              <w:rPr>
                <w:rFonts w:ascii="Times New Roman" w:cs="Times New Roman" w:eastAsia="Times New Roman" w:hAnsi="Times New Roman"/>
                <w:sz w:val="18"/>
                <w:szCs w:val="18"/>
                <w:color w:val="0000FF"/>
                <w:w w:val="98"/>
              </w:rPr>
            </w:pPr>
            <w:hyperlink r:id="rId119">
              <w:r>
                <w:rPr>
                  <w:rFonts w:ascii="Times New Roman" w:cs="Times New Roman" w:eastAsia="Times New Roman" w:hAnsi="Times New Roman"/>
                  <w:sz w:val="18"/>
                  <w:szCs w:val="18"/>
                  <w:color w:val="0000FF"/>
                  <w:w w:val="98"/>
                </w:rPr>
                <w:t>Master Agreement, dated November 14, 2014, by and among Pacific Premier Retail LLC, MACPT LLC, Macerich PPR GP LLC, Queens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JV LP, Macerich Queens JV LP, Queens JV GP LLC, 1700480 Ontario Inc. and the Company (incorporated by reference as an exhibit 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the Company’s Current Report on Form 8-K, event date November 14, 2014).</w:t>
              </w:r>
            </w:hyperlink>
          </w:p>
        </w:tc>
        <w:tc>
          <w:tcPr>
            <w:tcW w:w="412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5"/>
        </w:trPr>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Articles of Amendment and Restatement of the Company (incorporated by reference as an exhibit to the Company's Registration</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w w:val="98"/>
              </w:rPr>
              <w:t>Statement 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430"/>
        </w:trPr>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Articles Supplementary of the Company (incorporated by reference as an exhibit to the Company's Current Report on Form 8-K, event</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date May 30, 1995) (Filed in paper - hyperlink is not required pursuant to Rule 105 of Regulation S-T).</w:t>
            </w:r>
          </w:p>
        </w:tc>
        <w:tc>
          <w:tcPr>
            <w:tcW w:w="0" w:type="dxa"/>
            <w:vAlign w:val="bottom"/>
          </w:tcPr>
          <w:p>
            <w:pPr>
              <w:spacing w:after="0"/>
              <w:rPr>
                <w:sz w:val="1"/>
                <w:szCs w:val="1"/>
                <w:color w:val="auto"/>
              </w:rPr>
            </w:pPr>
          </w:p>
        </w:tc>
      </w:tr>
      <w:tr>
        <w:trPr>
          <w:trHeight w:val="443"/>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Articles Supplementary of the Company (with respect to the first paragraph) (incorporated by reference as an exhibit to the Company's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1998 Form 10-K).</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Articles Supplementary of the Company (Series D Preferred Stock) (incorporated by reference as an exhibit to the Company's Current</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Report on Form 8-K, event date July 26, 2002).</w:t>
              </w:r>
            </w:hyperlink>
          </w:p>
        </w:tc>
        <w:tc>
          <w:tcPr>
            <w:tcW w:w="60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w w:val="97"/>
              </w:rPr>
            </w:pPr>
            <w:hyperlink r:id="rId122">
              <w:r>
                <w:rPr>
                  <w:rFonts w:ascii="Times New Roman" w:cs="Times New Roman" w:eastAsia="Times New Roman" w:hAnsi="Times New Roman"/>
                  <w:sz w:val="18"/>
                  <w:szCs w:val="18"/>
                  <w:color w:val="0000FF"/>
                  <w:w w:val="97"/>
                </w:rPr>
                <w:t>Articles Supplementary of the Company (incorporated by reference as an exhibit to the Company's Registration Statement on Form S-3, as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amended (No. 333-88718)).</w:t>
              </w:r>
            </w:hyperlink>
          </w:p>
        </w:tc>
        <w:tc>
          <w:tcPr>
            <w:tcW w:w="78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1.5</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Articles of Amendment of the Company (declassification of Board) (incorporated by reference as an exhibit to the Company's 2008</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Form 10-K).</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1.6</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Articles Supplementary of the Company (incorporated by reference as an exhibit to the Company's Current Report on Form 8-K, event</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date February 5, 2009).</w:t>
              </w:r>
            </w:hyperlink>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1.7</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Articles of Amendment of the Company (increased authorized shares) (incorporated by reference as an exhibit to the Company's Quarterly</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Report on Form 10-Q for the quarter ended June 30, 2009).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1.8</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Articles of Amendment of the Company (to eliminate the supermajority vote requirement to amend the charter and to clarify a reference in</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Article NINTH) (incorporated by reference as an exhibit to the Company’s Current Report on Form 8-K, event date May 30, 2014).</w:t>
              </w:r>
            </w:hyperlink>
          </w:p>
        </w:tc>
        <w:tc>
          <w:tcPr>
            <w:tcW w:w="50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1.9</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Articles Supplementary (election to be subject to Section 3-803 of the Maryland General Corporation Law) (incorporated by reference as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an exhibit to the Company's Current Report on Form 8-K, event date March 17, 2015).</w:t>
              </w:r>
            </w:hyperlink>
          </w:p>
        </w:tc>
        <w:tc>
          <w:tcPr>
            <w:tcW w:w="3540" w:type="dxa"/>
            <w:vAlign w:val="bottom"/>
            <w:tcBorders>
              <w:top w:val="single" w:sz="8" w:color="0000FF"/>
            </w:tcBorders>
            <w:gridSpan w:val="12"/>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Articles Supplementary (designation of Series E Preferred Stock) (incorporated by reference as an exhibit to the Company's Current Report</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on Form 8-K, event date March 18,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Articles Supplementary (reclassification of Series E Preferred Stock to preferred stock) (incorporated by reference as an exhibit to the</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Company's Current Report on Form 8-K, event date May 7, 2015).</w:t>
              </w:r>
            </w:hyperlink>
          </w:p>
        </w:tc>
        <w:tc>
          <w:tcPr>
            <w:tcW w:w="40" w:type="dxa"/>
            <w:vAlign w:val="bottom"/>
            <w:gridSpan w:val="2"/>
          </w:tcPr>
          <w:p>
            <w:pPr>
              <w:spacing w:after="0"/>
              <w:rPr>
                <w:sz w:val="13"/>
                <w:szCs w:val="13"/>
                <w:color w:val="auto"/>
              </w:rPr>
            </w:pPr>
          </w:p>
        </w:tc>
        <w:tc>
          <w:tcPr>
            <w:tcW w:w="3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8"/>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Articles Supplementary (repeal of election to be subject to Section 3-803 of the Maryland General Corporation Law (incorporated by</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reference as an exhibit to the Company's Current Report on Form 8-K, event date May 28, 2015).</w:t>
              </w:r>
            </w:hyperlink>
          </w:p>
        </w:tc>
        <w:tc>
          <w:tcPr>
            <w:tcW w:w="80" w:type="dxa"/>
            <w:vAlign w:val="bottom"/>
            <w:gridSpan w:val="3"/>
          </w:tcPr>
          <w:p>
            <w:pPr>
              <w:spacing w:after="0"/>
              <w:rPr>
                <w:sz w:val="13"/>
                <w:szCs w:val="13"/>
                <w:color w:val="auto"/>
              </w:rPr>
            </w:pPr>
          </w:p>
        </w:tc>
        <w:tc>
          <w:tcPr>
            <w:tcW w:w="3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40" w:type="dxa"/>
            <w:vAlign w:val="bottom"/>
            <w:gridSpan w:val="11"/>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Articles Supplementary (opting out of provisions of Subtitle 8 of Title 3 of the Maryland General Corporate Law (MUTA Provisions))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(incorporated by reference as an exhibit to the Company’s Current Report on Form 8-K, event date April 24, 2019).</w:t>
              </w:r>
            </w:hyperlink>
          </w:p>
        </w:tc>
        <w:tc>
          <w:tcPr>
            <w:tcW w:w="1320" w:type="dxa"/>
            <w:vAlign w:val="bottom"/>
            <w:tcBorders>
              <w:top w:val="single" w:sz="8" w:color="0000FF"/>
            </w:tcBorders>
            <w:gridSpan w:val="6"/>
          </w:tcPr>
          <w:p>
            <w:pPr>
              <w:spacing w:after="0"/>
              <w:rPr>
                <w:sz w:val="13"/>
                <w:szCs w:val="13"/>
                <w:color w:val="auto"/>
              </w:rPr>
            </w:pPr>
          </w:p>
        </w:tc>
        <w:tc>
          <w:tcPr>
            <w:tcW w:w="3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68580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15" w:right="3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1"/>
        </w:trPr>
        <w:tc>
          <w:tcPr>
            <w:tcW w:w="13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20" w:type="dxa"/>
            <w:vAlign w:val="bottom"/>
            <w:gridSpan w:val="20"/>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8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2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Borders>
              <w:top w:val="single" w:sz="8" w:color="auto"/>
            </w:tcBorders>
            <w:gridSpan w:val="5"/>
          </w:tcPr>
          <w:p>
            <w:pPr>
              <w:jc w:val="right"/>
              <w:spacing w:after="0" w:line="184"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1.14</w:t>
              </w:r>
            </w:hyperlink>
          </w:p>
        </w:tc>
        <w:tc>
          <w:tcPr>
            <w:tcW w:w="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0" w:type="dxa"/>
            <w:vAlign w:val="bottom"/>
            <w:tcBorders>
              <w:top w:val="single" w:sz="8" w:color="auto"/>
            </w:tcBorders>
            <w:gridSpan w:val="26"/>
          </w:tcPr>
          <w:p>
            <w:pPr>
              <w:spacing w:after="0" w:line="184"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Articles of Amendment of the Company (increased authorized shares) (incorporated by reference as an exhibit to the Company’s Current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Report on Form 8-K, event date May 28, 2021).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event date January 26, 2023).</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60" w:type="dxa"/>
            <w:vAlign w:val="bottom"/>
            <w:gridSpan w:val="4"/>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Description of the Company's Securities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760" w:type="dxa"/>
            <w:vAlign w:val="bottom"/>
            <w:gridSpan w:val="4"/>
          </w:tcPr>
          <w:p>
            <w:pPr>
              <w:spacing w:after="0"/>
              <w:rPr>
                <w:sz w:val="24"/>
                <w:szCs w:val="24"/>
                <w:color w:val="auto"/>
              </w:rPr>
            </w:pPr>
          </w:p>
        </w:tc>
        <w:tc>
          <w:tcPr>
            <w:tcW w:w="220" w:type="dxa"/>
            <w:vAlign w:val="bottom"/>
          </w:tcPr>
          <w:p>
            <w:pPr>
              <w:jc w:val="right"/>
              <w:spacing w:after="0"/>
              <w:rPr>
                <w:rFonts w:ascii="Times New Roman" w:cs="Times New Roman" w:eastAsia="Times New Roman" w:hAnsi="Times New Roman"/>
                <w:sz w:val="18"/>
                <w:szCs w:val="18"/>
                <w:color w:val="0000FF"/>
                <w:w w:val="88"/>
              </w:rPr>
            </w:pPr>
            <w:hyperlink r:id="rId135">
              <w:r>
                <w:rPr>
                  <w:rFonts w:ascii="Times New Roman" w:cs="Times New Roman" w:eastAsia="Times New Roman" w:hAnsi="Times New Roman"/>
                  <w:sz w:val="18"/>
                  <w:szCs w:val="18"/>
                  <w:color w:val="0000FF"/>
                  <w:w w:val="88"/>
                </w:rPr>
                <w:t>4.</w:t>
              </w:r>
            </w:hyperlink>
            <w:r>
              <w:rPr>
                <w:rFonts w:ascii="Times New Roman" w:cs="Times New Roman" w:eastAsia="Times New Roman" w:hAnsi="Times New Roman"/>
                <w:sz w:val="18"/>
                <w:szCs w:val="18"/>
                <w:u w:val="single" w:color="auto"/>
                <w:color w:val="0000FF"/>
                <w:w w:val="88"/>
              </w:rPr>
              <w:t>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Form of Common Stock Certificate (incorporated by reference as an exhibit to the Company's Current Report on Form 8-K, as amended,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event date November 10, 1998).</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4.</w:t>
              </w:r>
            </w:hyperlink>
            <w:r>
              <w:rPr>
                <w:rFonts w:ascii="Times New Roman" w:cs="Times New Roman" w:eastAsia="Times New Roman" w:hAnsi="Times New Roman"/>
                <w:sz w:val="18"/>
                <w:szCs w:val="18"/>
                <w:u w:val="single" w:color="auto"/>
                <w:color w:val="0000FF"/>
              </w:rPr>
              <w:t>3</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Preferred Stock Certificate (Series D Preferred Stock) (incorporated by reference as an exhibit to the Company's Registration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Statement on Form S-3 (No. 333-107063)).</w:t>
              </w:r>
            </w:hyperlink>
          </w:p>
        </w:tc>
        <w:tc>
          <w:tcPr>
            <w:tcW w:w="1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Amended and Restated Limited Partnership Agreement for the Operating Partnership dated as of March 16, 1994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reference as an exhibit to the Company's 1996 Form 10-K).</w:t>
              </w:r>
            </w:hyperlink>
          </w:p>
        </w:tc>
        <w:tc>
          <w:tcPr>
            <w:tcW w:w="498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7"/>
              </w:rPr>
            </w:pPr>
            <w:hyperlink r:id="rId138">
              <w:r>
                <w:rPr>
                  <w:rFonts w:ascii="Times New Roman" w:cs="Times New Roman" w:eastAsia="Times New Roman" w:hAnsi="Times New Roman"/>
                  <w:sz w:val="18"/>
                  <w:szCs w:val="18"/>
                  <w:color w:val="0000FF"/>
                  <w:w w:val="97"/>
                </w:rPr>
                <w:t>Amendment to Amended and Restated Limited Partnership Agreement for the Operating Partnership dated June 27, 1997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reference as an exhibit to the Company's Current Report on Form 8-K, event date June 20, 1997).</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Amendment to Amended and Restated Limited Partnership Agreement for the Operating Partnership dated November 16,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(incorporated by reference as an exhibit to the Company's 1997 Form 10-K).</w:t>
              </w:r>
            </w:hyperlink>
          </w:p>
        </w:tc>
        <w:tc>
          <w:tcPr>
            <w:tcW w:w="3560" w:type="dxa"/>
            <w:vAlign w:val="bottom"/>
            <w:tcBorders>
              <w:top w:val="single" w:sz="8" w:color="0000FF"/>
            </w:tcBorders>
            <w:gridSpan w:val="5"/>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Fourth Amendment to Amended and Restated Limited Partnership Agreement for the Operating Partnership dated February 25,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(incorporated by reference as an exhibit to the Company's 1997 Form 10-K).</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7"/>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Fifth Amendment to Amended and Restated Limited Partnership Agreement for the Operating Partnership dated February 26,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(incorporated by reference as an exhibit to the Company's 1997 Form 10-K).</w:t>
              </w:r>
            </w:hyperlink>
          </w:p>
        </w:tc>
        <w:tc>
          <w:tcPr>
            <w:tcW w:w="3840" w:type="dxa"/>
            <w:vAlign w:val="bottom"/>
            <w:tcBorders>
              <w:top w:val="single" w:sz="8" w:color="0000FF"/>
            </w:tcBorders>
            <w:gridSpan w:val="8"/>
          </w:tcPr>
          <w:p>
            <w:pPr>
              <w:spacing w:after="0"/>
              <w:rPr>
                <w:sz w:val="13"/>
                <w:szCs w:val="13"/>
                <w:color w:val="auto"/>
              </w:rPr>
            </w:pPr>
          </w:p>
        </w:tc>
        <w:tc>
          <w:tcPr>
            <w:tcW w:w="1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Sixth Amendment to Amended and Restated Limited Partnership Agreement for the Operating Partnership dated June 17,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(incorporated by reference as an exhibit to the Company's 1998 Form 10-K).</w:t>
              </w:r>
            </w:hyperlink>
          </w:p>
        </w:tc>
        <w:tc>
          <w:tcPr>
            <w:tcW w:w="3540" w:type="dxa"/>
            <w:vAlign w:val="bottom"/>
            <w:tcBorders>
              <w:top w:val="single" w:sz="8" w:color="0000FF"/>
            </w:tcBorders>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Seventh Amendment to Amended and Restated Limited Partnership Agreement for the Operating Partnership dated December 23,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(incorporated by reference as an exhibit to the Company's 1998 Form 10-K).</w:t>
              </w:r>
            </w:hyperlink>
          </w:p>
        </w:tc>
        <w:tc>
          <w:tcPr>
            <w:tcW w:w="4140" w:type="dxa"/>
            <w:vAlign w:val="bottom"/>
            <w:tcBorders>
              <w:top w:val="single" w:sz="8" w:color="0000FF"/>
            </w:tcBorders>
            <w:gridSpan w:val="12"/>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Eighth Amendment to Amended and Restated Limited Partnership Agreement for the Operating Partnership dated November 9, 2000</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(incorporated by reference as an exhibit to the Company's 2000 Form 10-K).</w:t>
              </w:r>
            </w:hyperlink>
          </w:p>
        </w:tc>
        <w:tc>
          <w:tcPr>
            <w:tcW w:w="3980" w:type="dxa"/>
            <w:vAlign w:val="bottom"/>
            <w:tcBorders>
              <w:top w:val="single" w:sz="8" w:color="0000FF"/>
            </w:tcBorders>
            <w:gridSpan w:val="10"/>
          </w:tcPr>
          <w:p>
            <w:pPr>
              <w:spacing w:after="0"/>
              <w:rPr>
                <w:sz w:val="13"/>
                <w:szCs w:val="13"/>
                <w:color w:val="auto"/>
              </w:rPr>
            </w:pPr>
          </w:p>
        </w:tc>
        <w:tc>
          <w:tcPr>
            <w:tcW w:w="34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Ninth Amendment to Amended and Restated Limited Partnership Agreement for the Operating Partnership dated July 26, 2002</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(incorporated by reference as an exhibit to the Company's Current Report on Form 8-K, event date July 26, 2002).</w:t>
              </w:r>
            </w:hyperlink>
          </w:p>
        </w:tc>
        <w:tc>
          <w:tcPr>
            <w:tcW w:w="280" w:type="dxa"/>
            <w:vAlign w:val="bottom"/>
            <w:gridSpan w:val="3"/>
          </w:tcPr>
          <w:p>
            <w:pPr>
              <w:spacing w:after="0"/>
              <w:rPr>
                <w:sz w:val="13"/>
                <w:szCs w:val="13"/>
                <w:color w:val="auto"/>
              </w:rPr>
            </w:pPr>
          </w:p>
        </w:tc>
        <w:tc>
          <w:tcPr>
            <w:tcW w:w="500" w:type="dxa"/>
            <w:vAlign w:val="bottom"/>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20" w:type="dxa"/>
            <w:vAlign w:val="bottom"/>
            <w:gridSpan w:val="10"/>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Tenth Amendment to Amended and Restated Limited Partnership Agreement for the Operating Partnership dated October 26, 2006</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(incorporated by reference as an exhibit to the Company's 2006 Form 10-K).</w:t>
              </w:r>
            </w:hyperlink>
          </w:p>
        </w:tc>
        <w:tc>
          <w:tcPr>
            <w:tcW w:w="3820" w:type="dxa"/>
            <w:vAlign w:val="bottom"/>
            <w:tcBorders>
              <w:top w:val="single" w:sz="8" w:color="0000FF"/>
            </w:tcBorders>
            <w:gridSpan w:val="7"/>
          </w:tcPr>
          <w:p>
            <w:pPr>
              <w:spacing w:after="0"/>
              <w:rPr>
                <w:sz w:val="13"/>
                <w:szCs w:val="13"/>
                <w:color w:val="auto"/>
              </w:rPr>
            </w:pPr>
          </w:p>
        </w:tc>
        <w:tc>
          <w:tcPr>
            <w:tcW w:w="500" w:type="dxa"/>
            <w:vAlign w:val="bottom"/>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1.10</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Eleventh Amendment to Amended and Restated Limited Partnership Agreement for the Operating Partnership dated as of March 16, 2007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(incorporated by reference as an exhibit to the Company's Current Report on Form 8-K, event date March 16, 2007).</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68580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2" w:right="3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10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40" w:type="dxa"/>
            <w:vAlign w:val="bottom"/>
            <w:gridSpan w:val="2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4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gridSpan w:val="5"/>
          </w:tcPr>
          <w:p>
            <w:pPr>
              <w:jc w:val="right"/>
              <w:ind w:right="20"/>
              <w:spacing w:after="0" w:line="184"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1.11</w:t>
              </w:r>
            </w:hyperlink>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27"/>
          </w:tcPr>
          <w:p>
            <w:pPr>
              <w:spacing w:after="0" w:line="184"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Twelfth Amendment to the Amended and Restated Limited Partnership Agreement of the Operating Partnership dated as of April 30, 2009</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(incorporated by reference as an exhibit to the Company's Quarterly Report on Form 10-Q for the quarter ended June 30,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980" w:type="dxa"/>
            <w:vAlign w:val="bottom"/>
            <w:gridSpan w:val="4"/>
          </w:tcPr>
          <w:p>
            <w:pPr>
              <w:jc w:val="right"/>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Thirteenth Amendment to the Amended and Restated Limited Partnership Agreement of the Operating Partnership dated as of October 29,</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2009 (incorporated by reference as an exhibit to the Company's 2009 Form 10-K).</w:t>
              </w:r>
            </w:hyperlink>
          </w:p>
        </w:tc>
        <w:tc>
          <w:tcPr>
            <w:tcW w:w="396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4"/>
          </w:tcPr>
          <w:p>
            <w:pPr>
              <w:jc w:val="right"/>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Fourteenth Amendment to Amended and Restated Limited Partnership Agreement of the Operating Partnership dated as of April 14, 2021</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(incorporated by reference as an exhibit to the Company's 2021 Form 10-K).</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4"/>
          </w:tcPr>
          <w:p>
            <w:pPr>
              <w:jc w:val="right"/>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Form of Fifteenth Amendment to Amended and Restated Limited Partnership Agreement for the Operating Partnership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reference as an exhibit to the Company's Current Report on Form 8-K, event date April 25, 2005).</w:t>
              </w:r>
            </w:hyperlink>
          </w:p>
        </w:tc>
        <w:tc>
          <w:tcPr>
            <w:tcW w:w="268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Amended and Restated Deferred Compensation Plan for Executives (2003) (incorporated by reference as an exhibit to the Company's 2003</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Form 10-K).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Amendment Number 1 to Amended and Restated Deferred Compensation Plan for Executives (October 30, 2008)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reference as an exhibit to the Company's 2008 Form 10-K).</w:t>
              </w:r>
            </w:hyperlink>
          </w:p>
        </w:tc>
        <w:tc>
          <w:tcPr>
            <w:tcW w:w="5020" w:type="dxa"/>
            <w:vAlign w:val="bottom"/>
            <w:tcBorders>
              <w:top w:val="single" w:sz="8" w:color="0000FF"/>
            </w:tcBorders>
            <w:gridSpan w:val="11"/>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Amendment Number 2 to Amended and Restated Deferred Compensation Plan for Executives (May 1, 2011) (incorporated by reference as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an exhibit to the Company's Quarterly Report on Form 10-Q for the quarter ended June 30, 2011).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Amendment Number 3 to Amended and Restated Deferred Compensation Plan for Executives (September 27, 2012)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reference as an exhibit to the Company's Quarterly Report on Form 10-Q for the quarter ended September 30, 2012).</w:t>
              </w:r>
            </w:hyperlink>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Amended and Restated Deferred Compensation Plan for Senior Executives (2003) (incorporated by reference as an exhibit to the</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Company's 2003 Form 10-K).</w:t>
              </w:r>
            </w:hyperlink>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3.1</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Amendment Number 1 to Amended and Restated Deferred Compensation Plan for Senior Executives (October 30, 2008)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reference as an exhibit to the Company's 2008 Form 10-K).</w:t>
              </w:r>
            </w:hyperlink>
          </w:p>
        </w:tc>
        <w:tc>
          <w:tcPr>
            <w:tcW w:w="554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3.2</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Amendment Number 2 to Amended and Restated Deferred Compensation Plan for Senior Executives (May 1, 2011)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6"/>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reference as an exhibit to the Company's Quarterly Report on Form 10-Q for the quarter ended June 30, 2011).</w:t>
              </w:r>
            </w:hyperlink>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580" w:type="dxa"/>
            <w:vAlign w:val="bottom"/>
            <w:gridSpan w:val="5"/>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3.3</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Amendment Number 3 to Amended and Restated Deferred Compensation Plan for Senior Executives (September 27, 2012) (incorporated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by reference as an exhibit to the Company's Quarterly Report on Form 10-Q for the quarter ended September 30, 2012).</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40" w:type="dxa"/>
            <w:vAlign w:val="bottom"/>
            <w:gridSpan w:val="7"/>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Eligible Directors' Deferred Compensation/Phantom Stock Plan (as amended and restated as of January 1, 2023)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reference as an exhibit to the Company's 2022 Form 10-K).</w:t>
              </w:r>
            </w:hyperlink>
          </w:p>
        </w:tc>
        <w:tc>
          <w:tcPr>
            <w:tcW w:w="4920" w:type="dxa"/>
            <w:vAlign w:val="bottom"/>
            <w:tcBorders>
              <w:top w:val="single" w:sz="8" w:color="0000FF"/>
            </w:tcBorders>
            <w:gridSpan w:val="10"/>
          </w:tcPr>
          <w:p>
            <w:pPr>
              <w:spacing w:after="0"/>
              <w:rPr>
                <w:sz w:val="13"/>
                <w:szCs w:val="13"/>
                <w:color w:val="auto"/>
              </w:rPr>
            </w:pPr>
          </w:p>
        </w:tc>
        <w:tc>
          <w:tcPr>
            <w:tcW w:w="320" w:type="dxa"/>
            <w:vAlign w:val="bottom"/>
            <w:gridSpan w:val="4"/>
          </w:tcPr>
          <w:p>
            <w:pPr>
              <w:spacing w:after="0"/>
              <w:rPr>
                <w:sz w:val="13"/>
                <w:szCs w:val="13"/>
                <w:color w:val="auto"/>
              </w:rPr>
            </w:pPr>
          </w:p>
        </w:tc>
        <w:tc>
          <w:tcPr>
            <w:tcW w:w="4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5"/>
          </w:tcPr>
          <w:p>
            <w:pPr>
              <w:jc w:val="right"/>
              <w:ind w:right="20"/>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20" w:type="dxa"/>
            <w:vAlign w:val="bottom"/>
            <w:gridSpan w:val="2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Amended and Restated 2013 Deferred Compensation Plan for Executives effective (January 1, 2016) (incorporated by reference as an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exhibit to the Company's 2015 Form 10-K).</w:t>
              </w:r>
            </w:hyperlink>
          </w:p>
        </w:tc>
        <w:tc>
          <w:tcPr>
            <w:tcW w:w="6340" w:type="dxa"/>
            <w:vAlign w:val="bottom"/>
            <w:tcBorders>
              <w:top w:val="single" w:sz="8" w:color="0000FF"/>
            </w:tcBorders>
            <w:gridSpan w:val="15"/>
          </w:tcPr>
          <w:p>
            <w:pPr>
              <w:spacing w:after="0"/>
              <w:rPr>
                <w:sz w:val="13"/>
                <w:szCs w:val="13"/>
                <w:color w:val="auto"/>
              </w:rPr>
            </w:pPr>
          </w:p>
        </w:tc>
        <w:tc>
          <w:tcPr>
            <w:tcW w:w="4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68580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2" w:right="3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10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880" w:type="dxa"/>
            <w:vAlign w:val="bottom"/>
            <w:gridSpan w:val="16"/>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gridSpan w:val="6"/>
          </w:tcPr>
          <w:p>
            <w:pPr>
              <w:jc w:val="right"/>
              <w:ind w:right="20"/>
              <w:spacing w:after="0" w:line="184"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22"/>
          </w:tcPr>
          <w:p>
            <w:pPr>
              <w:spacing w:after="0" w:line="184" w:lineRule="exact"/>
              <w:rPr>
                <w:rFonts w:ascii="Times New Roman" w:cs="Times New Roman" w:eastAsia="Times New Roman" w:hAnsi="Times New Roman"/>
                <w:sz w:val="18"/>
                <w:szCs w:val="18"/>
                <w:color w:val="0000FF"/>
                <w:w w:val="97"/>
              </w:rPr>
            </w:pPr>
            <w:hyperlink r:id="rId160">
              <w:r>
                <w:rPr>
                  <w:rFonts w:ascii="Times New Roman" w:cs="Times New Roman" w:eastAsia="Times New Roman" w:hAnsi="Times New Roman"/>
                  <w:sz w:val="18"/>
                  <w:szCs w:val="18"/>
                  <w:color w:val="0000FF"/>
                  <w:w w:val="97"/>
                </w:rPr>
                <w:t>Deferred Compensation Plan Amended and Restated Trust Agreement between the Company and Wells Fargo Bank, National Association,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effective as of June 17, 2019 (incorporated by reference as an exhibit to the Company’s Quarterly Report on Form 10-Q for the quarter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ended June 30, 2019).</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March 16, 1994, among the Company and Mace Siegel, Dana K. Anderson, Arthur M.</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22"/>
          </w:tcPr>
          <w:p>
            <w:pPr>
              <w:spacing w:after="0" w:line="171" w:lineRule="exact"/>
              <w:rPr>
                <w:sz w:val="20"/>
                <w:szCs w:val="20"/>
                <w:color w:val="auto"/>
              </w:rPr>
            </w:pPr>
            <w:r>
              <w:rPr>
                <w:rFonts w:ascii="Times New Roman" w:cs="Times New Roman" w:eastAsia="Times New Roman" w:hAnsi="Times New Roman"/>
                <w:sz w:val="18"/>
                <w:szCs w:val="18"/>
                <w:color w:val="auto"/>
                <w:w w:val="97"/>
              </w:rPr>
              <w:t>Coppola and Edward C. Coppola (incorporated by reference as an exhibit to the Company's 1994 Form 10-K) (Filed in paper - hyperlink is</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not required pursuant to Rule 105 of Regulation S-T).</w:t>
            </w:r>
          </w:p>
        </w:tc>
        <w:tc>
          <w:tcPr>
            <w:tcW w:w="0" w:type="dxa"/>
            <w:vAlign w:val="bottom"/>
          </w:tcPr>
          <w:p>
            <w:pPr>
              <w:spacing w:after="0"/>
              <w:rPr>
                <w:sz w:val="1"/>
                <w:szCs w:val="1"/>
                <w:color w:val="auto"/>
              </w:rPr>
            </w:pPr>
          </w:p>
        </w:tc>
      </w:tr>
      <w:tr>
        <w:trPr>
          <w:trHeight w:val="443"/>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Registration Rights Agreement dated as of December 18, 2003 by the Operating Partnership, the Company and Taubman Realty Group</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Limited Partnership (Registration rights assigned by Taubman to three assignees) (incorporated by reference as an exhibit to the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Company's 2003 Form 10-K).</w:t>
              </w:r>
            </w:hyperlink>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0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w w:val="98"/>
              </w:rPr>
              <w:t>Incidental Registration Rights Agreement dated March 16, 1994 (incorporated by reference as an exhibit to the Company's 1994 Form 10-</w:t>
            </w: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K) (Filed in paper - hyperlink is not required pursuant to Rule 105 of Regulation S-T).</w:t>
            </w:r>
          </w:p>
        </w:tc>
        <w:tc>
          <w:tcPr>
            <w:tcW w:w="0" w:type="dxa"/>
            <w:vAlign w:val="bottom"/>
          </w:tcPr>
          <w:p>
            <w:pPr>
              <w:spacing w:after="0"/>
              <w:rPr>
                <w:sz w:val="1"/>
                <w:szCs w:val="1"/>
                <w:color w:val="auto"/>
              </w:rPr>
            </w:pPr>
          </w:p>
        </w:tc>
      </w:tr>
      <w:tr>
        <w:trPr>
          <w:trHeight w:val="443"/>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Incidental Registration Rights Agreement dated as of July 21, 1994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Form 10-K).</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Incidental Registration Rights Agreement dated as of August 15, 1995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Form 10-K).</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Incidental Registration Rights Agreement dated as of December 21, 1995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Form 10-K).</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List of Omitted Incidental/Demand Registration Rights Agreements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10"/>
          </w:tcPr>
          <w:p>
            <w:pPr>
              <w:spacing w:after="0" w:line="15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Form 10-K).</w:t>
              </w:r>
            </w:hyperlink>
          </w:p>
        </w:tc>
        <w:tc>
          <w:tcPr>
            <w:tcW w:w="12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Redemption, Registration Rights and Lock-Up Agreement dated as of July 24, 1998 between the Company and Harry S. Newman, Jr. and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LeRoy H. Brettin (incorporated by reference as an exhibit to the Company's 1998 Form 10-K).</w:t>
              </w:r>
            </w:hyperlink>
          </w:p>
        </w:tc>
        <w:tc>
          <w:tcPr>
            <w:tcW w:w="302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Form of Indemnification Agreement between the Company and its executive officers and directors (incorporated by reference as an exhibit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to the Company's 2008 Form 10-K).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Form of Registration Rights Agreement with Series D Preferred Unit Holders (incorporated by reference as an exhibit to the Company's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Current Report on Form 8-K, event date July 26, 2002).</w:t>
              </w:r>
            </w:hyperlink>
          </w:p>
        </w:tc>
        <w:tc>
          <w:tcPr>
            <w:tcW w:w="56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16.1</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List of Omitted Registration Rights Agreements (incorporated by reference as an exhibit to the Company's Current Report on Form 8-K,</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event date July 26, 2002).</w:t>
              </w:r>
            </w:hyperlink>
          </w:p>
        </w:tc>
        <w:tc>
          <w:tcPr>
            <w:tcW w:w="7760" w:type="dxa"/>
            <w:vAlign w:val="bottom"/>
            <w:tcBorders>
              <w:top w:val="single" w:sz="8" w:color="0000FF"/>
            </w:tcBorders>
            <w:gridSpan w:val="13"/>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Amended and Restated Credit Agreement, dated as of September 11, 2023, by and among the Company, as a guarantor, the Partnership, as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9"/>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borrower, certain subsidiary guarantors, Deutsche Bank AG New York Branch, as administrative agent and collateral agent, Deutsche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Bank Securities Inc., JPMorgan Chase Bank, N.A., Goldman Sachs Bank USA and BMO Bank N.A., as joint lead arrangers and joint</w:t>
              </w:r>
            </w:hyperlink>
          </w:p>
        </w:tc>
        <w:tc>
          <w:tcPr>
            <w:tcW w:w="4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bl>
    <w:p>
      <w:pPr>
        <w:ind w:left="1400" w:right="120"/>
        <w:spacing w:after="0" w:line="213"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bookrunning managers, Deutsche Bank Securities Inc. and JPMorgan Chase Bank, N.A. as co-syndication agents, Goldman Sachs Bank</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USA and TD Securities Inc., as co-documentation agents, and various lenders party thereto (incorporated by reference as an exhibit to the</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Company's Current Report on Form 8-K, event date September 11, 2023).</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-21590</wp:posOffset>
            </wp:positionH>
            <wp:positionV relativeFrom="paragraph">
              <wp:posOffset>68580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2" w:right="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1000" w:type="dxa"/>
            <w:vAlign w:val="bottom"/>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500" w:type="dxa"/>
            <w:vAlign w:val="bottom"/>
            <w:gridSpan w:val="20"/>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gridSpan w:val="5"/>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gridSpan w:val="2"/>
          </w:tcPr>
          <w:p>
            <w:pPr>
              <w:spacing w:after="0"/>
              <w:rPr>
                <w:sz w:val="15"/>
                <w:szCs w:val="15"/>
                <w:color w:val="auto"/>
              </w:rPr>
            </w:pPr>
          </w:p>
        </w:tc>
        <w:tc>
          <w:tcPr>
            <w:tcW w:w="420" w:type="dxa"/>
            <w:vAlign w:val="bottom"/>
            <w:tcBorders>
              <w:bottom w:val="single" w:sz="8" w:color="0000FF"/>
            </w:tcBorders>
            <w:gridSpan w:val="3"/>
          </w:tcPr>
          <w:p>
            <w:pPr>
              <w:jc w:val="right"/>
              <w:spacing w:after="0" w:line="184" w:lineRule="exact"/>
              <w:rPr>
                <w:rFonts w:ascii="Times New Roman" w:cs="Times New Roman" w:eastAsia="Times New Roman" w:hAnsi="Times New Roman"/>
                <w:sz w:val="18"/>
                <w:szCs w:val="18"/>
                <w:color w:val="0000FF"/>
                <w:w w:val="93"/>
              </w:rPr>
            </w:pPr>
            <w:hyperlink r:id="rId165">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18</w:t>
              </w:r>
            </w:hyperlink>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tcBorders>
              <w:bottom w:val="single" w:sz="8" w:color="0000FF"/>
            </w:tcBorders>
            <w:gridSpan w:val="16"/>
          </w:tcPr>
          <w:p>
            <w:pPr>
              <w:spacing w:after="0" w:line="184" w:lineRule="exact"/>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Amended and Restated Unconditional Guaranty, dated as of September 11, 2023, by the Company in favor of Deutsche Bank AG New</w:t>
              </w:r>
            </w:hyperlink>
          </w:p>
        </w:tc>
        <w:tc>
          <w:tcPr>
            <w:tcW w:w="3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26"/>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York Branch, as administrative agent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September 11, 2023).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1000" w:type="dxa"/>
            <w:vAlign w:val="bottom"/>
            <w:gridSpan w:val="5"/>
          </w:tcPr>
          <w:p>
            <w:pPr>
              <w:jc w:val="right"/>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Tax Matters Agreement (Wilmorite)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April 25, 2005).</w:t>
              </w:r>
            </w:hyperlink>
          </w:p>
        </w:tc>
        <w:tc>
          <w:tcPr>
            <w:tcW w:w="8360" w:type="dxa"/>
            <w:vAlign w:val="bottom"/>
            <w:tcBorders>
              <w:top w:val="single" w:sz="8" w:color="0000FF"/>
            </w:tcBorders>
            <w:gridSpan w:val="16"/>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5"/>
          </w:tcPr>
          <w:p>
            <w:pPr>
              <w:jc w:val="right"/>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The Macerich Company 2003 Equity Incentive Plan, as amended and restated as of May 31, 2023 (incorporated by reference as an exhibit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to the Company's Current Report on Form 8-K, event date May 31, 2023).</w:t>
              </w:r>
            </w:hyperlink>
          </w:p>
        </w:tc>
        <w:tc>
          <w:tcPr>
            <w:tcW w:w="45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6"/>
        </w:trPr>
        <w:tc>
          <w:tcPr>
            <w:tcW w:w="1000" w:type="dxa"/>
            <w:vAlign w:val="bottom"/>
            <w:gridSpan w:val="5"/>
          </w:tcPr>
          <w:p>
            <w:pPr>
              <w:jc w:val="right"/>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20.1</w:t>
              </w:r>
            </w:hyperlink>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Amended and Restated Cash Bonus/Restricted Stock/Stock Unit and LTIP Unit Award Program under the 2003 Equity Incentive Plan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(incorporated by reference as an exhibit to the Company's 2010 Form 10-K).</w:t>
              </w:r>
            </w:hyperlink>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1000" w:type="dxa"/>
            <w:vAlign w:val="bottom"/>
            <w:gridSpan w:val="5"/>
          </w:tcPr>
          <w:p>
            <w:pPr>
              <w:jc w:val="right"/>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The Macerich Company Employee Stock Purchase Plan (as amended and restated effective June 1, 2021) (incorporated by reference as an</w:t>
              </w:r>
            </w:hyperlink>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80" w:type="dxa"/>
            <w:vAlign w:val="bottom"/>
            <w:tcBorders>
              <w:top w:val="single" w:sz="8" w:color="0000FF"/>
              <w:bottom w:val="single" w:sz="8" w:color="0000FF"/>
            </w:tcBorders>
            <w:gridSpan w:val="10"/>
          </w:tcPr>
          <w:p>
            <w:pPr>
              <w:spacing w:after="0" w:line="177" w:lineRule="exact"/>
              <w:rPr>
                <w:rFonts w:ascii="Times New Roman" w:cs="Times New Roman" w:eastAsia="Times New Roman" w:hAnsi="Times New Roman"/>
                <w:sz w:val="18"/>
                <w:szCs w:val="18"/>
                <w:color w:val="0000FF"/>
                <w:w w:val="97"/>
              </w:rPr>
            </w:pPr>
            <w:hyperlink r:id="rId170">
              <w:r>
                <w:rPr>
                  <w:rFonts w:ascii="Times New Roman" w:cs="Times New Roman" w:eastAsia="Times New Roman" w:hAnsi="Times New Roman"/>
                  <w:sz w:val="18"/>
                  <w:szCs w:val="18"/>
                  <w:color w:val="0000FF"/>
                  <w:w w:val="97"/>
                </w:rPr>
                <w:t>exhibit to the Company’s Current Report on 8-K, event date May 28, 2021).</w:t>
              </w:r>
            </w:hyperlink>
          </w:p>
        </w:tc>
        <w:tc>
          <w:tcPr>
            <w:tcW w:w="4360" w:type="dxa"/>
            <w:vAlign w:val="bottom"/>
            <w:tcBorders>
              <w:top w:val="single" w:sz="8" w:color="0000FF"/>
            </w:tcBorders>
            <w:gridSpan w:val="15"/>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1"/>
        </w:trPr>
        <w:tc>
          <w:tcPr>
            <w:tcW w:w="1000" w:type="dxa"/>
            <w:vAlign w:val="bottom"/>
            <w:gridSpan w:val="5"/>
          </w:tcPr>
          <w:p>
            <w:pPr>
              <w:jc w:val="right"/>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Change in Control Severance Pay Plan for Executive Vice Presidents (incorporated by reference as an exhibit to the Company’s Quarterly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Report on Form 10-Q for the quarter ended March 31, 2019).</w:t>
              </w:r>
            </w:hyperlink>
          </w:p>
        </w:tc>
        <w:tc>
          <w:tcPr>
            <w:tcW w:w="5400" w:type="dxa"/>
            <w:vAlign w:val="bottom"/>
            <w:tcBorders>
              <w:top w:val="single" w:sz="8" w:color="0000FF"/>
            </w:tcBorders>
            <w:gridSpan w:val="17"/>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5"/>
          </w:tcPr>
          <w:p>
            <w:pPr>
              <w:jc w:val="right"/>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Change in Control Severance Pay Plan for Senior Executives (incorporated by reference as an exhibit to the Company's Quarterly Report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on Form 10-Q for the quarter ended September 30, 2017).</w:t>
              </w:r>
            </w:hyperlink>
          </w:p>
        </w:tc>
        <w:tc>
          <w:tcPr>
            <w:tcW w:w="55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5"/>
          </w:tcPr>
          <w:p>
            <w:pPr>
              <w:jc w:val="right"/>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Employment Agreement Renewal between the Company and Thomas E. O’Hern, effective June 8, 2021 (incorporated by reference as an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exhibit to the Company’s Current Report on Form 8-K, event date June 11, 2021).</w:t>
              </w:r>
            </w:hyperlink>
          </w:p>
        </w:tc>
        <w:tc>
          <w:tcPr>
            <w:tcW w:w="38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1000" w:type="dxa"/>
            <w:vAlign w:val="bottom"/>
            <w:gridSpan w:val="5"/>
          </w:tcPr>
          <w:p>
            <w:pPr>
              <w:jc w:val="right"/>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2005 Amended and Restated Agreement of Limited Partnership of MACWH, LP dated as of April 25, 2005 (incorporated by reference as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an exhibit to the Company's Current Report on Form 8-K, event date April 25, 2005).</w:t>
              </w:r>
            </w:hyperlink>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Registration Rights Agreement dated as of April 25, 2005 among the Company and the persons names on Exhibit A thereto (incorporated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14"/>
          </w:tcPr>
          <w:p>
            <w:pPr>
              <w:spacing w:after="0" w:line="15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by reference as an exhibit to the Company's Current Report on Form 8-K, event date April 25, 2005).</w:t>
              </w:r>
            </w:hyperlink>
          </w:p>
        </w:tc>
        <w:tc>
          <w:tcPr>
            <w:tcW w:w="2540" w:type="dxa"/>
            <w:vAlign w:val="bottom"/>
            <w:tcBorders>
              <w:top w:val="single" w:sz="8" w:color="0000FF"/>
            </w:tcBorders>
            <w:gridSpan w:val="7"/>
          </w:tcPr>
          <w:p>
            <w:pPr>
              <w:spacing w:after="0"/>
              <w:rPr>
                <w:sz w:val="13"/>
                <w:szCs w:val="13"/>
                <w:color w:val="auto"/>
              </w:rPr>
            </w:pP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7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(KPMG LLP)</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7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Section 302 Certification of Thomas E. O'Hern, Chief Executive Officer and Director</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7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Section 302 Certification of Scott W. Kingsmore, Chief Financial Officer</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gridSpan w:val="4"/>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66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Section 906 Certifications of Thomas E. O'Hern and Scott W. Kingsmore</w:t>
            </w:r>
          </w:p>
        </w:tc>
        <w:tc>
          <w:tcPr>
            <w:tcW w:w="0" w:type="dxa"/>
            <w:vAlign w:val="bottom"/>
          </w:tcPr>
          <w:p>
            <w:pPr>
              <w:spacing w:after="0"/>
              <w:rPr>
                <w:sz w:val="1"/>
                <w:szCs w:val="1"/>
                <w:color w:val="auto"/>
              </w:rPr>
            </w:pPr>
          </w:p>
        </w:tc>
      </w:tr>
      <w:tr>
        <w:trPr>
          <w:trHeight w:val="454"/>
        </w:trPr>
        <w:tc>
          <w:tcPr>
            <w:tcW w:w="680" w:type="dxa"/>
            <w:vAlign w:val="bottom"/>
            <w:gridSpan w:val="3"/>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The Macerich Company Compensation Recovery Policy</w:t>
            </w:r>
          </w:p>
        </w:tc>
        <w:tc>
          <w:tcPr>
            <w:tcW w:w="1160" w:type="dxa"/>
            <w:vAlign w:val="bottom"/>
            <w:tcBorders>
              <w:top w:val="single" w:sz="8" w:color="0000FF"/>
            </w:tcBorders>
            <w:gridSpan w:val="3"/>
          </w:tcPr>
          <w:p>
            <w:pPr>
              <w:spacing w:after="0"/>
              <w:rPr>
                <w:sz w:val="24"/>
                <w:szCs w:val="24"/>
                <w:color w:val="auto"/>
              </w:rPr>
            </w:pPr>
          </w:p>
        </w:tc>
        <w:tc>
          <w:tcPr>
            <w:tcW w:w="46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101.SCH</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87"/>
        </w:trPr>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101.CAL</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68580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3" w:right="359" w:bottom="1440" w:gutter="0" w:footer="0" w:header="0"/>
        </w:sectPr>
      </w:pPr>
    </w:p>
    <w:bookmarkStart w:id="108" w:name="page109"/>
    <w:bookmarkEnd w:id="108"/>
    <w:tbl>
      <w:tblPr>
        <w:tblLayout w:type="fixed"/>
        <w:tblInd w:w="15" w:type="dxa"/>
        <w:tblCellMar>
          <w:top w:w="0" w:type="dxa"/>
          <w:left w:w="0" w:type="dxa"/>
          <w:bottom w:w="0" w:type="dxa"/>
          <w:right w:w="0" w:type="dxa"/>
        </w:tblCellMar>
      </w:tblPr>
      <w:tr>
        <w:trPr>
          <w:trHeight w:val="161"/>
        </w:trPr>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820" w:type="dxa"/>
            <w:vAlign w:val="bottom"/>
            <w:vMerge w:val="restart"/>
          </w:tcPr>
          <w:p>
            <w:pPr>
              <w:ind w:left="4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101.LAB</w:t>
            </w:r>
          </w:p>
        </w:tc>
        <w:tc>
          <w:tcPr>
            <w:tcW w:w="380" w:type="dxa"/>
            <w:vAlign w:val="bottom"/>
          </w:tcPr>
          <w:p>
            <w:pPr>
              <w:spacing w:after="0"/>
              <w:rPr>
                <w:sz w:val="19"/>
                <w:szCs w:val="19"/>
                <w:color w:val="auto"/>
              </w:rPr>
            </w:pPr>
          </w:p>
        </w:tc>
        <w:tc>
          <w:tcPr>
            <w:tcW w:w="9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69"/>
        </w:trPr>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74"/>
        </w:trPr>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5" w:right="20" w:firstLine="739"/>
        <w:spacing w:after="0" w:line="458" w:lineRule="auto"/>
        <w:tabs>
          <w:tab w:leader="none" w:pos="140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Represents a management contract, or compensatory plan, contract or arrangement required to be filed pursuant to Regulation S-K.</w:t>
      </w:r>
    </w:p>
    <w:p>
      <w:pPr>
        <w:ind w:left="215" w:hanging="215"/>
        <w:spacing w:after="0"/>
        <w:tabs>
          <w:tab w:leader="none" w:pos="2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34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15"/>
          </w:cols>
          <w:pgMar w:left="325" w:top="1283" w:right="35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20" w:lineRule="exact"/>
        <w:rPr>
          <w:sz w:val="20"/>
          <w:szCs w:val="20"/>
          <w:color w:val="auto"/>
        </w:rPr>
      </w:pPr>
    </w:p>
    <w:p>
      <w:pPr>
        <w:ind w:right="120" w:firstLine="43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26, 2024.</w:t>
      </w:r>
    </w:p>
    <w:p>
      <w:pPr>
        <w:ind w:left="5140"/>
        <w:spacing w:after="0"/>
        <w:rPr>
          <w:sz w:val="20"/>
          <w:szCs w:val="20"/>
          <w:color w:val="auto"/>
        </w:rPr>
      </w:pPr>
      <w:r>
        <w:rPr>
          <w:rFonts w:ascii="Times New Roman" w:cs="Times New Roman" w:eastAsia="Times New Roman" w:hAnsi="Times New Roman"/>
          <w:sz w:val="18"/>
          <w:szCs w:val="18"/>
          <w:b w:val="1"/>
          <w:bCs w:val="1"/>
          <w:color w:val="auto"/>
        </w:rPr>
        <w:t>THE MACERICH COMPANY</w:t>
      </w:r>
    </w:p>
    <w:p>
      <w:pPr>
        <w:spacing w:after="0" w:line="230" w:lineRule="exact"/>
        <w:rPr>
          <w:sz w:val="20"/>
          <w:szCs w:val="20"/>
          <w:color w:val="auto"/>
        </w:rPr>
      </w:pPr>
    </w:p>
    <w:tbl>
      <w:tblPr>
        <w:tblLayout w:type="fixed"/>
        <w:tblInd w:w="5140" w:type="dxa"/>
        <w:tblCellMar>
          <w:top w:w="0" w:type="dxa"/>
          <w:left w:w="0" w:type="dxa"/>
          <w:bottom w:w="0" w:type="dxa"/>
          <w:right w:w="0" w:type="dxa"/>
        </w:tblCellMar>
      </w:tblPr>
      <w:tr>
        <w:trPr>
          <w:trHeight w:val="26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THOMAS E. O'HERN</w:t>
            </w:r>
          </w:p>
        </w:tc>
      </w:tr>
      <w:tr>
        <w:trPr>
          <w:trHeight w:val="210"/>
        </w:trPr>
        <w:tc>
          <w:tcPr>
            <w:tcW w:w="90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Thomas E. O'Hern</w:t>
            </w:r>
          </w:p>
        </w:tc>
      </w:tr>
      <w:tr>
        <w:trPr>
          <w:trHeight w:val="230"/>
        </w:trPr>
        <w:tc>
          <w:tcPr>
            <w:tcW w:w="90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Chief Executive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5" w:right="359" w:bottom="1440" w:gutter="0" w:footer="0" w:header="0"/>
        </w:sectPr>
      </w:pPr>
    </w:p>
    <w:bookmarkStart w:id="110" w:name="page111"/>
    <w:bookmarkEnd w:id="110"/>
    <w:p>
      <w:pPr>
        <w:ind w:right="80" w:firstLine="435"/>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3" w:lineRule="exact"/>
        <w:rPr>
          <w:sz w:val="20"/>
          <w:szCs w:val="20"/>
          <w:color w:val="auto"/>
        </w:rPr>
      </w:pPr>
    </w:p>
    <w:p>
      <w:pPr>
        <w:ind w:left="1740"/>
        <w:spacing w:after="0"/>
        <w:tabs>
          <w:tab w:leader="none" w:pos="6220" w:val="left"/>
          <w:tab w:leader="none" w:pos="99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Capacity</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0700"/>
          </w:cols>
          <w:pgMar w:left="320" w:top="1017" w:right="879" w:bottom="1440" w:gutter="0" w:footer="0" w:header="0"/>
        </w:sect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THOMAS E. O'HERN</w:t>
            </w: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Chief Executive Officer and Director</w:t>
            </w:r>
          </w:p>
        </w:tc>
      </w:tr>
      <w:tr>
        <w:trPr>
          <w:trHeight w:val="24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Thomas E. O'Hern</w:t>
            </w: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EDWARD C. COPPOLA</w:t>
            </w:r>
          </w:p>
        </w:tc>
        <w:tc>
          <w:tcPr>
            <w:tcW w:w="2720" w:type="dxa"/>
            <w:vAlign w:val="bottom"/>
          </w:tcPr>
          <w:p>
            <w:pPr>
              <w:spacing w:after="0"/>
              <w:rPr>
                <w:sz w:val="24"/>
                <w:szCs w:val="24"/>
                <w:color w:val="auto"/>
              </w:rPr>
            </w:pPr>
          </w:p>
        </w:tc>
      </w:tr>
      <w:tr>
        <w:trPr>
          <w:trHeight w:val="24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Edward C. Coppola</w:t>
            </w: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Director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PEGGY ALFORD</w:t>
            </w:r>
          </w:p>
        </w:tc>
        <w:tc>
          <w:tcPr>
            <w:tcW w:w="2720" w:type="dxa"/>
            <w:vAlign w:val="bottom"/>
          </w:tcPr>
          <w:p>
            <w:pPr>
              <w:spacing w:after="0"/>
              <w:rPr>
                <w:sz w:val="24"/>
                <w:szCs w:val="24"/>
                <w:color w:val="auto"/>
              </w:rPr>
            </w:pPr>
          </w:p>
        </w:tc>
      </w:tr>
      <w:tr>
        <w:trPr>
          <w:trHeight w:val="283"/>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Peggy Alford</w:t>
            </w: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ERIC K. BRANDT</w:t>
            </w:r>
          </w:p>
        </w:tc>
        <w:tc>
          <w:tcPr>
            <w:tcW w:w="2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2024</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2024</w:t>
      </w:r>
    </w:p>
    <w:p>
      <w:pPr>
        <w:spacing w:after="0" w:line="66" w:lineRule="exact"/>
        <w:rPr>
          <w:sz w:val="20"/>
          <w:szCs w:val="20"/>
          <w:color w:val="auto"/>
        </w:rPr>
      </w:pPr>
    </w:p>
    <w:p>
      <w:pPr>
        <w:sectPr>
          <w:pgSz w:w="11900" w:h="16838" w:orient="portrait"/>
          <w:cols w:equalWidth="0" w:num="2">
            <w:col w:w="8700" w:space="720"/>
            <w:col w:w="1280"/>
          </w:cols>
          <w:pgMar w:left="320" w:top="1017" w:right="879" w:bottom="1440" w:gutter="0" w:footer="0" w:header="0"/>
          <w:type w:val="continuous"/>
        </w:sectPr>
      </w:pPr>
    </w:p>
    <w:p>
      <w:pPr>
        <w:jc w:val="center"/>
        <w:ind w:left="600"/>
        <w:spacing w:after="0"/>
        <w:rPr>
          <w:sz w:val="20"/>
          <w:szCs w:val="20"/>
          <w:color w:val="auto"/>
        </w:rPr>
      </w:pPr>
      <w:r>
        <w:rPr>
          <w:rFonts w:ascii="Times New Roman" w:cs="Times New Roman" w:eastAsia="Times New Roman" w:hAnsi="Times New Roman"/>
          <w:sz w:val="18"/>
          <w:szCs w:val="18"/>
          <w:color w:val="auto"/>
        </w:rPr>
        <w:t>Eric K. Brandt</w:t>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STEVEN R. HASH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5850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Steven R. Hash</w:t>
      </w:r>
    </w:p>
    <w:p>
      <w:pPr>
        <w:spacing w:after="0" w:line="9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ENRIQUE HERNANDEZ,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5850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9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Enrique Hernandez, Jr.</w:t>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DANIEL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5850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Daniel J. Hirsch</w:t>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MARIANNE LOWENTHAL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5850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Marianne Lowenthal</w:t>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ANDREA M. STEPHEN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5850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Andrea M. Stephen</w:t>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5850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Scott W. Kingsmore</w:t>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CHRISTOPHER J. ZECCHINI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5850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5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Christopher J. Zecchini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Board of Directors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Senior Executive Vice President, Treasurer and Chief Financial Officer (Principal Financial Officer)</w:t>
      </w:r>
    </w:p>
    <w:p>
      <w:pPr>
        <w:spacing w:after="0" w:line="27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Senior Vice President and Chief Accounting Officer (Principal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2024</w:t>
      </w:r>
    </w:p>
    <w:p>
      <w:pPr>
        <w:spacing w:after="0" w:line="480" w:lineRule="exact"/>
        <w:rPr>
          <w:sz w:val="20"/>
          <w:szCs w:val="20"/>
          <w:color w:val="auto"/>
        </w:rPr>
      </w:pPr>
    </w:p>
    <w:p>
      <w:pPr>
        <w:sectPr>
          <w:pgSz w:w="11900" w:h="16838" w:orient="portrait"/>
          <w:cols w:equalWidth="0" w:num="3">
            <w:col w:w="3480" w:space="720"/>
            <w:col w:w="4500" w:space="720"/>
            <w:col w:w="1280"/>
          </w:cols>
          <w:pgMar w:left="320" w:top="1017"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10700"/>
          </w:cols>
          <w:pgMar w:left="320" w:top="1017" w:right="879"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the Registrant’s Securities Registered Pursuant to</w:t>
      </w: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12 of the Securities Exchange Act of 1934, as amended</w:t>
      </w:r>
    </w:p>
    <w:p>
      <w:pPr>
        <w:spacing w:after="0" w:line="129"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6"/>
          <w:szCs w:val="16"/>
          <w:color w:val="auto"/>
        </w:rPr>
        <w:t>The common stock, par value $0.01 per share (“Common Stock”), of The Macerich Company (“Macerich,” “we,” or “our”) is registered under Section 12 of the Securities Exchange Act of 1934, as amended (the “Exchange Act”). The following description sets forth certain general terms and provisions of our</w:t>
      </w:r>
    </w:p>
    <w:p>
      <w:pPr>
        <w:ind w:right="20"/>
        <w:spacing w:after="0" w:line="229" w:lineRule="auto"/>
        <w:rPr>
          <w:sz w:val="20"/>
          <w:szCs w:val="20"/>
          <w:color w:val="auto"/>
        </w:rPr>
      </w:pPr>
      <w:r>
        <w:rPr>
          <w:rFonts w:ascii="Times New Roman" w:cs="Times New Roman" w:eastAsia="Times New Roman" w:hAnsi="Times New Roman"/>
          <w:sz w:val="16"/>
          <w:szCs w:val="16"/>
          <w:color w:val="auto"/>
        </w:rPr>
        <w:t>Common Stock. These descriptions are in all respects subject to and qualified in their entirety by, and should be read in conjunction with, the applicable provisions of our Articles of Amendment and Restatement, as further amended and supplemented (our “Articles”), and our Amended and Restated Bylaws (our “Bylaws”), each of which is incorporated herein by reference and copies of which are incorporated by reference as exhibits to our most recent Annual Report</w:t>
      </w:r>
    </w:p>
    <w:p>
      <w:pPr>
        <w:ind w:right="260"/>
        <w:spacing w:after="0" w:line="393" w:lineRule="auto"/>
        <w:rPr>
          <w:sz w:val="20"/>
          <w:szCs w:val="20"/>
          <w:color w:val="auto"/>
        </w:rPr>
      </w:pPr>
      <w:r>
        <w:rPr>
          <w:rFonts w:ascii="Times New Roman" w:cs="Times New Roman" w:eastAsia="Times New Roman" w:hAnsi="Times New Roman"/>
          <w:sz w:val="18"/>
          <w:szCs w:val="18"/>
          <w:color w:val="auto"/>
        </w:rPr>
        <w:t xml:space="preserve">on Form 10-K filed with the Securities and Exchange Commission, and the applicable provisions of the Maryland General Corporation Law (the “MGCL”). </w:t>
      </w:r>
      <w:r>
        <w:rPr>
          <w:rFonts w:ascii="Times New Roman" w:cs="Times New Roman" w:eastAsia="Times New Roman" w:hAnsi="Times New Roman"/>
          <w:sz w:val="18"/>
          <w:szCs w:val="18"/>
          <w:b w:val="1"/>
          <w:bCs w:val="1"/>
          <w:color w:val="auto"/>
        </w:rPr>
        <w:t>Capitalization</w:t>
      </w:r>
    </w:p>
    <w:p>
      <w:pPr>
        <w:spacing w:after="0" w:line="231" w:lineRule="auto"/>
        <w:rPr>
          <w:sz w:val="20"/>
          <w:szCs w:val="20"/>
          <w:color w:val="auto"/>
        </w:rPr>
      </w:pPr>
      <w:r>
        <w:rPr>
          <w:rFonts w:ascii="Times New Roman" w:cs="Times New Roman" w:eastAsia="Times New Roman" w:hAnsi="Times New Roman"/>
          <w:sz w:val="18"/>
          <w:szCs w:val="18"/>
          <w:color w:val="auto"/>
        </w:rPr>
        <w:t>Our Articles authorize us to issue up to 575,000,000 shares of capital stock, consisting of 500,000,000 shares of Common Stock, 15,000,000 shares of preferred stock, par value $0.01 per share (“Preferred Stock”), and 60,000,000 shares of excess stock, par value $0.01 per share (“Excess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38"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8"/>
          <w:szCs w:val="18"/>
          <w:color w:val="auto"/>
        </w:rPr>
        <w:t>Subject to the provisions of our Articles regarding Excess Stock, the holders of our Common Stock have full voting rights, one vote for each share held of record.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5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8"/>
          <w:szCs w:val="18"/>
          <w:color w:val="auto"/>
        </w:rPr>
        <w:t>Subject to the provisions of our Articles regarding Excess Stock and the rights of any holders of Preferred Stock, holders of our Common Stock are entitled to receive the dividends authorized by our board of directors and declared by us out of funds legally available for this purpose.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Liquidation</w:t>
      </w:r>
    </w:p>
    <w:p>
      <w:pPr>
        <w:spacing w:after="0" w:line="151" w:lineRule="exact"/>
        <w:rPr>
          <w:sz w:val="20"/>
          <w:szCs w:val="20"/>
          <w:color w:val="auto"/>
        </w:rPr>
      </w:pPr>
    </w:p>
    <w:p>
      <w:pPr>
        <w:jc w:val="both"/>
        <w:ind w:right="200"/>
        <w:spacing w:after="0" w:line="220"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to the holders of any outstanding shares of any other class or series of stock having liquidation preferences, if any, the assets legally available for distribution to holders of our Common Stock will be distributed ratably among the holders of our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38"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Holders of our Common Stock have no preemptive or other subscription or conversion rights. Our Common Stock is not subject to assessment or any sinking fund.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listed on the New York Stock Exchange under the symbol “MAC”.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to Preferred Stock</w:t>
      </w:r>
    </w:p>
    <w:p>
      <w:pPr>
        <w:spacing w:after="0" w:line="1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Under our Articles,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 Assessments and Taxation of Maryland, fixing for each class or series the designations, powers, preferences, conversion and other rights, voting powers,</w:t>
      </w:r>
    </w:p>
    <w:p>
      <w:pPr>
        <w:spacing w:after="0" w:line="2"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6"/>
          <w:szCs w:val="16"/>
          <w:color w:val="auto"/>
        </w:rPr>
        <w:t>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 holders of some, or a majority, of shares of our Common Stock might receive a premium for their shares over the then prevailing market price of those shares</w:t>
      </w:r>
    </w:p>
    <w:p>
      <w:pPr>
        <w:spacing w:after="0"/>
        <w:rPr>
          <w:sz w:val="20"/>
          <w:szCs w:val="20"/>
          <w:color w:val="auto"/>
        </w:rPr>
      </w:pPr>
      <w:r>
        <w:rPr>
          <w:rFonts w:ascii="Times New Roman" w:cs="Times New Roman" w:eastAsia="Times New Roman" w:hAnsi="Times New Roman"/>
          <w:sz w:val="18"/>
          <w:szCs w:val="18"/>
          <w:color w:val="auto"/>
        </w:rPr>
        <w:t>or which such holders might believe to be otherwise in their best interests.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5" w:right="339" w:bottom="1440" w:gutter="0" w:footer="0" w:header="0"/>
        </w:sectPr>
      </w:pPr>
    </w:p>
    <w:bookmarkStart w:id="112" w:name="page113"/>
    <w:bookmarkEnd w:id="112"/>
    <w:p>
      <w:pPr>
        <w:ind w:right="60"/>
        <w:spacing w:after="0" w:line="245" w:lineRule="auto"/>
        <w:rPr>
          <w:sz w:val="20"/>
          <w:szCs w:val="20"/>
          <w:color w:val="auto"/>
        </w:rPr>
      </w:pPr>
      <w:r>
        <w:rPr>
          <w:rFonts w:ascii="Times New Roman" w:cs="Times New Roman" w:eastAsia="Times New Roman" w:hAnsi="Times New Roman"/>
          <w:sz w:val="16"/>
          <w:szCs w:val="16"/>
          <w:color w:val="auto"/>
        </w:rPr>
        <w:t>We currently have 1,961,345 shares of Series D Cumulative Convertible Preferred Stock (the “Series D Preferred Stock”) authorized under our Articles, none of which are outstanding. If issued, shares of the Series D Preferred Stock could be converted into shares of our Common Stock based on a formula set forth in</w:t>
      </w:r>
    </w:p>
    <w:p>
      <w:pPr>
        <w:spacing w:after="0" w:line="220" w:lineRule="auto"/>
        <w:rPr>
          <w:sz w:val="20"/>
          <w:szCs w:val="20"/>
          <w:color w:val="auto"/>
        </w:rPr>
      </w:pPr>
      <w:r>
        <w:rPr>
          <w:rFonts w:ascii="Times New Roman" w:cs="Times New Roman" w:eastAsia="Times New Roman" w:hAnsi="Times New Roman"/>
          <w:sz w:val="18"/>
          <w:szCs w:val="18"/>
          <w:color w:val="auto"/>
        </w:rPr>
        <w:t>the applicable Articles Supplementary. Rights of holders of the Series D Preferred Stock include dividend and liquidation preferences over the holders of shares of our Common Stock and, in some circumstances, voting rights preferences over the holders of shares of our Common Stock.</w:t>
      </w:r>
    </w:p>
    <w:p>
      <w:pPr>
        <w:spacing w:after="0" w:line="127" w:lineRule="exact"/>
        <w:rPr>
          <w:sz w:val="20"/>
          <w:szCs w:val="20"/>
          <w:color w:val="auto"/>
        </w:rPr>
      </w:pPr>
    </w:p>
    <w:p>
      <w:pPr>
        <w:ind w:right="1240"/>
        <w:spacing w:after="0" w:line="404" w:lineRule="auto"/>
        <w:rPr>
          <w:sz w:val="20"/>
          <w:szCs w:val="20"/>
          <w:color w:val="auto"/>
        </w:rPr>
      </w:pPr>
      <w:r>
        <w:rPr>
          <w:rFonts w:ascii="Times New Roman" w:cs="Times New Roman" w:eastAsia="Times New Roman" w:hAnsi="Times New Roman"/>
          <w:sz w:val="18"/>
          <w:szCs w:val="18"/>
          <w:color w:val="auto"/>
        </w:rPr>
        <w:t>See “Selected Provisions of Maryland Law and of Our Articles and Bylaws</w:t>
      </w:r>
      <w:r>
        <w:rPr>
          <w:rFonts w:ascii="Arial" w:cs="Arial" w:eastAsia="Arial" w:hAnsi="Arial"/>
          <w:sz w:val="18"/>
          <w:szCs w:val="18"/>
          <w:color w:val="4D5156"/>
        </w:rPr>
        <w:t>—</w:t>
      </w:r>
      <w:r>
        <w:rPr>
          <w:rFonts w:ascii="Times New Roman" w:cs="Times New Roman" w:eastAsia="Times New Roman" w:hAnsi="Times New Roman"/>
          <w:sz w:val="18"/>
          <w:szCs w:val="18"/>
          <w:color w:val="auto"/>
        </w:rPr>
        <w:t xml:space="preserve">Power to Reclassify Shares of Our Stock” for more information. </w:t>
      </w:r>
      <w:r>
        <w:rPr>
          <w:rFonts w:ascii="Times New Roman" w:cs="Times New Roman" w:eastAsia="Times New Roman" w:hAnsi="Times New Roman"/>
          <w:sz w:val="18"/>
          <w:szCs w:val="18"/>
          <w:b w:val="1"/>
          <w:bCs w:val="1"/>
          <w:color w:val="auto"/>
        </w:rPr>
        <w:t>Restrictions on Transfer and Ownership</w:t>
      </w:r>
    </w:p>
    <w:p>
      <w:pPr>
        <w:ind w:right="740"/>
        <w:spacing w:after="0" w:line="231" w:lineRule="auto"/>
        <w:rPr>
          <w:sz w:val="20"/>
          <w:szCs w:val="20"/>
          <w:color w:val="auto"/>
        </w:rPr>
      </w:pPr>
      <w:r>
        <w:rPr>
          <w:rFonts w:ascii="Times New Roman" w:cs="Times New Roman" w:eastAsia="Times New Roman" w:hAnsi="Times New Roman"/>
          <w:sz w:val="18"/>
          <w:szCs w:val="18"/>
          <w:color w:val="auto"/>
        </w:rPr>
        <w:t>For us to qualify as a real estate investment trust (“REIT”) under the Internal Revenue Code of 1986, as amended (the “Code”), both of the following conditions relating to ownership of shares must be satisfied:</w:t>
      </w:r>
    </w:p>
    <w:p>
      <w:pPr>
        <w:spacing w:after="0" w:line="129" w:lineRule="exact"/>
        <w:rPr>
          <w:sz w:val="20"/>
          <w:szCs w:val="20"/>
          <w:color w:val="auto"/>
        </w:rPr>
      </w:pPr>
    </w:p>
    <w:p>
      <w:pPr>
        <w:ind w:left="640" w:right="60" w:hanging="318"/>
        <w:spacing w:after="0" w:line="225"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w:t>
      </w:r>
    </w:p>
    <w:p>
      <w:pPr>
        <w:spacing w:after="0" w:line="116" w:lineRule="exact"/>
        <w:rPr>
          <w:rFonts w:ascii="Times New Roman" w:cs="Times New Roman" w:eastAsia="Times New Roman" w:hAnsi="Times New Roman"/>
          <w:sz w:val="18"/>
          <w:szCs w:val="18"/>
          <w:color w:val="auto"/>
        </w:rPr>
      </w:pPr>
    </w:p>
    <w:p>
      <w:pPr>
        <w:ind w:left="640" w:right="380" w:hanging="318"/>
        <w:spacing w:after="0" w:line="239"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capital stock must be beneficially owned by 100 or more persons during at least 335 days of a taxable year of 12 months or during a proportionate part of a shorter taxable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Articles Restrict the Ownership and Transfer of Shares of Our Capital Stock</w:t>
      </w:r>
    </w:p>
    <w:p>
      <w:pPr>
        <w:spacing w:after="0" w:line="15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Subject to exceptions specified in our Articles, no stockholder may own, or be deemed to own by virtue of the attribution provisions of the Code, in excess of the lesser of 5% in value or in number of shares of our outstanding capital stock. The attribution provisions are complex and may cause stock owned directly or</w:t>
      </w:r>
    </w:p>
    <w:p>
      <w:pPr>
        <w:ind w:right="40"/>
        <w:spacing w:after="0" w:line="229" w:lineRule="auto"/>
        <w:rPr>
          <w:sz w:val="20"/>
          <w:szCs w:val="20"/>
          <w:color w:val="auto"/>
        </w:rPr>
      </w:pPr>
      <w:r>
        <w:rPr>
          <w:rFonts w:ascii="Times New Roman" w:cs="Times New Roman" w:eastAsia="Times New Roman" w:hAnsi="Times New Roman"/>
          <w:sz w:val="16"/>
          <w:szCs w:val="16"/>
          <w:color w:val="auto"/>
        </w:rPr>
        <w:t>indirectly by a group of related individuals or entities to be deemed to be owned by one individual or entity. As a result, the acquisition of less than 5% in value or in number of shares of stock (or the acquisition of an interest in an entity which owns stock) by an individual or entity could cause that individual or entity (or another individual or entity) to be deemed to own in excess of 5% in value or in number of shares of our outstanding capital stock, and thus subject that</w:t>
      </w:r>
    </w:p>
    <w:p>
      <w:pPr>
        <w:ind w:right="160"/>
        <w:spacing w:after="0" w:line="229" w:lineRule="auto"/>
        <w:rPr>
          <w:sz w:val="20"/>
          <w:szCs w:val="20"/>
          <w:color w:val="auto"/>
        </w:rPr>
      </w:pPr>
      <w:r>
        <w:rPr>
          <w:rFonts w:ascii="Times New Roman" w:cs="Times New Roman" w:eastAsia="Times New Roman" w:hAnsi="Times New Roman"/>
          <w:sz w:val="16"/>
          <w:szCs w:val="16"/>
          <w:color w:val="auto"/>
        </w:rPr>
        <w:t>stock to the ownership limit. Our board of directors, in its sole discretion (subject to certain limitations), may waive the ownership limit with respect to our 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w:t>
      </w:r>
    </w:p>
    <w:p>
      <w:pPr>
        <w:ind w:right="20"/>
        <w:spacing w:after="0" w:line="222" w:lineRule="auto"/>
        <w:rPr>
          <w:sz w:val="20"/>
          <w:szCs w:val="20"/>
          <w:color w:val="auto"/>
        </w:rPr>
      </w:pPr>
      <w:r>
        <w:rPr>
          <w:rFonts w:ascii="Times New Roman" w:cs="Times New Roman" w:eastAsia="Times New Roman" w:hAnsi="Times New Roman"/>
          <w:sz w:val="18"/>
          <w:szCs w:val="18"/>
          <w:color w:val="auto"/>
        </w:rPr>
        <w:t>Articles exclude from the ownership limit some persons and their respective families and affiliates, but provides that no excluded participant may own (directly or indirectly) more than the excluded participant’s percentage limitation, as described below under “</w:t>
      </w:r>
      <w:r>
        <w:rPr>
          <w:rFonts w:ascii="Arial" w:cs="Arial" w:eastAsia="Arial" w:hAnsi="Arial"/>
          <w:sz w:val="18"/>
          <w:szCs w:val="18"/>
          <w:color w:val="4D5156"/>
        </w:rPr>
        <w:t>—</w:t>
      </w:r>
      <w:r>
        <w:rPr>
          <w:rFonts w:ascii="Times New Roman" w:cs="Times New Roman" w:eastAsia="Times New Roman" w:hAnsi="Times New Roman"/>
          <w:sz w:val="18"/>
          <w:szCs w:val="18"/>
          <w:color w:val="auto"/>
        </w:rPr>
        <w:t>Issuance of Excess Stock.”</w:t>
      </w:r>
    </w:p>
    <w:p>
      <w:pPr>
        <w:spacing w:after="0" w:line="123" w:lineRule="exact"/>
        <w:rPr>
          <w:sz w:val="20"/>
          <w:szCs w:val="20"/>
          <w:color w:val="auto"/>
        </w:rPr>
      </w:pPr>
    </w:p>
    <w:p>
      <w:pPr>
        <w:ind w:right="320"/>
        <w:spacing w:after="0" w:line="221" w:lineRule="auto"/>
        <w:rPr>
          <w:sz w:val="20"/>
          <w:szCs w:val="20"/>
          <w:color w:val="auto"/>
        </w:rPr>
      </w:pPr>
      <w:r>
        <w:rPr>
          <w:rFonts w:ascii="Times New Roman" w:cs="Times New Roman" w:eastAsia="Times New Roman" w:hAnsi="Times New Roman"/>
          <w:sz w:val="18"/>
          <w:szCs w:val="18"/>
          <w:color w:val="auto"/>
        </w:rPr>
        <w:t>Our Articles provide that any purported transfer or issuance of shares, or other event, will be null and void if it results in a “prohibited event.” The intended transferee or purported owner in a transaction that results in a prohibited event will not acquire, and will retain no rights to, or economic interest in, those shares of stock. For more information, see the section entitled “</w:t>
      </w:r>
      <w:r>
        <w:rPr>
          <w:rFonts w:ascii="Arial" w:cs="Arial" w:eastAsia="Arial" w:hAnsi="Arial"/>
          <w:sz w:val="18"/>
          <w:szCs w:val="18"/>
          <w:color w:val="4D5156"/>
        </w:rPr>
        <w:t>—</w:t>
      </w:r>
      <w:r>
        <w:rPr>
          <w:rFonts w:ascii="Times New Roman" w:cs="Times New Roman" w:eastAsia="Times New Roman" w:hAnsi="Times New Roman"/>
          <w:sz w:val="18"/>
          <w:szCs w:val="18"/>
          <w:color w:val="auto"/>
        </w:rPr>
        <w:t>Issuance of Excess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Excess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Articles provide that in the case of a prohibited event, the relevant shares of stock will automatically be exchanged for shares of Excess Stock, to the extent</w:t>
      </w:r>
    </w:p>
    <w:p>
      <w:pPr>
        <w:spacing w:after="0" w:line="20"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8"/>
          <w:szCs w:val="18"/>
          <w:color w:val="auto"/>
        </w:rPr>
        <w:t>necessary to ensure that the purported transfer or other event does not result in a prohibited event. A “prohibited event” is a purported transfer of stock or other event that will, if effective, result in any of the following:</w:t>
      </w:r>
    </w:p>
    <w:p>
      <w:pPr>
        <w:spacing w:after="0" w:line="127" w:lineRule="exact"/>
        <w:rPr>
          <w:sz w:val="20"/>
          <w:szCs w:val="20"/>
          <w:color w:val="auto"/>
        </w:rPr>
      </w:pPr>
    </w:p>
    <w:p>
      <w:pPr>
        <w:ind w:left="640" w:right="160" w:hanging="318"/>
        <w:spacing w:after="0" w:line="220"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owning (directly or indirectly) shares of our stock in excess of the ownership limit as determined in accordance with our Articles or owning (directly or indirectly) more than a specified percentage of our Common Stock as determined in accordance with our Articles (that person’s “percentage limitation”);</w:t>
      </w:r>
    </w:p>
    <w:p>
      <w:pPr>
        <w:spacing w:after="0" w:line="12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our Common Stock and Preferred Stock being owned by fewer than 100 persons (determined without reference to any rules of attribution);</w:t>
      </w:r>
    </w:p>
    <w:p>
      <w:pPr>
        <w:spacing w:after="0" w:line="171" w:lineRule="exact"/>
        <w:rPr>
          <w:rFonts w:ascii="Times New Roman" w:cs="Times New Roman" w:eastAsia="Times New Roman" w:hAnsi="Times New Roman"/>
          <w:sz w:val="16"/>
          <w:szCs w:val="16"/>
          <w:color w:val="auto"/>
        </w:rPr>
      </w:pPr>
    </w:p>
    <w:p>
      <w:pPr>
        <w:ind w:left="640" w:right="160" w:hanging="318"/>
        <w:spacing w:after="0" w:line="231"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becoming “closely held” under Section 856(h) of the Code (determined without regard to Code Section 856(h)(2) and by deleting the words “the last half of” in the first sentence of Code Section 542(a)(2) in applying Code Section 856(h)); or</w:t>
      </w:r>
    </w:p>
    <w:p>
      <w:pPr>
        <w:spacing w:after="0" w:line="128"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disqualification as a REIT.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73" w:right="339" w:bottom="1440" w:gutter="0" w:footer="0" w:header="0"/>
        </w:sectPr>
      </w:pPr>
    </w:p>
    <w:bookmarkStart w:id="113" w:name="page114"/>
    <w:bookmarkEnd w:id="113"/>
    <w:p>
      <w:pPr>
        <w:jc w:val="both"/>
        <w:ind w:right="60"/>
        <w:spacing w:after="0" w:line="281" w:lineRule="auto"/>
        <w:rPr>
          <w:sz w:val="20"/>
          <w:szCs w:val="20"/>
          <w:color w:val="auto"/>
        </w:rPr>
      </w:pPr>
      <w:r>
        <w:rPr>
          <w:rFonts w:ascii="Times New Roman" w:cs="Times New Roman" w:eastAsia="Times New Roman" w:hAnsi="Times New Roman"/>
          <w:sz w:val="16"/>
          <w:szCs w:val="16"/>
          <w:color w:val="auto"/>
        </w:rPr>
        <w:t>Outstanding shares of Excess Stock will be held in trust. The trustee of the trust will be appointed by us and will be independent of us, any purported record or beneficial transferee and any beneficiary of such trust (the “beneficiary”). The beneficiary will be one or more charitable organizations selected by the trustee.</w:t>
      </w:r>
    </w:p>
    <w:p>
      <w:pPr>
        <w:spacing w:after="0" w:line="96"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6"/>
          <w:szCs w:val="16"/>
          <w:color w:val="auto"/>
        </w:rPr>
        <w:t>Our Articles further provide that shares of Excess Stock are entitled to the same dividends as the shares of stock exchanged for Excess Stock (the “original shares”). The trustee, as record holder of the Excess Stock, is entitled to receive all dividends and distributions in respect of the Excess Stock as may be</w:t>
      </w:r>
    </w:p>
    <w:p>
      <w:pPr>
        <w:jc w:val="both"/>
        <w:ind w:right="40"/>
        <w:spacing w:after="0" w:line="229" w:lineRule="auto"/>
        <w:rPr>
          <w:sz w:val="20"/>
          <w:szCs w:val="20"/>
          <w:color w:val="auto"/>
        </w:rPr>
      </w:pPr>
      <w:r>
        <w:rPr>
          <w:rFonts w:ascii="Times New Roman" w:cs="Times New Roman" w:eastAsia="Times New Roman" w:hAnsi="Times New Roman"/>
          <w:sz w:val="16"/>
          <w:szCs w:val="16"/>
          <w:color w:val="auto"/>
        </w:rPr>
        <w:t>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 as original shares. Upon our liquidation, dissolution or winding up, each share of Excess Stock will be entitled to receive ratably with each other share of stock</w:t>
      </w:r>
    </w:p>
    <w:p>
      <w:pPr>
        <w:spacing w:after="0" w:line="229" w:lineRule="auto"/>
        <w:rPr>
          <w:sz w:val="20"/>
          <w:szCs w:val="20"/>
          <w:color w:val="auto"/>
        </w:rPr>
      </w:pPr>
      <w:r>
        <w:rPr>
          <w:rFonts w:ascii="Times New Roman" w:cs="Times New Roman" w:eastAsia="Times New Roman" w:hAnsi="Times New Roman"/>
          <w:sz w:val="16"/>
          <w:szCs w:val="16"/>
          <w:color w:val="auto"/>
        </w:rPr>
        <w:t>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 for the original shares on the date of the purported transfer, if no consideration was paid by the transferee, and subject to additional limitations and offsets set</w:t>
      </w:r>
    </w:p>
    <w:p>
      <w:pPr>
        <w:spacing w:after="0"/>
        <w:rPr>
          <w:sz w:val="20"/>
          <w:szCs w:val="20"/>
          <w:color w:val="auto"/>
        </w:rPr>
      </w:pPr>
      <w:r>
        <w:rPr>
          <w:rFonts w:ascii="Times New Roman" w:cs="Times New Roman" w:eastAsia="Times New Roman" w:hAnsi="Times New Roman"/>
          <w:sz w:val="18"/>
          <w:szCs w:val="18"/>
          <w:color w:val="auto"/>
        </w:rPr>
        <w:t>forth in our Articles.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after the purported transfer or other event resulting in an exchange of stock for shares of Excess Stock, dividends or distributions are paid with respect to the</w:t>
      </w:r>
    </w:p>
    <w:p>
      <w:pPr>
        <w:spacing w:after="0" w:line="20"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6"/>
          <w:szCs w:val="16"/>
          <w:color w:val="auto"/>
        </w:rPr>
        <w:t>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 permitted transfer, the shares of Excess Stock will be automatically exchanged for the same number of shares of the same type and class as the original shares.</w:t>
      </w:r>
    </w:p>
    <w:p>
      <w:pPr>
        <w:ind w:right="60"/>
        <w:spacing w:after="0" w:line="212" w:lineRule="auto"/>
        <w:rPr>
          <w:sz w:val="20"/>
          <w:szCs w:val="20"/>
          <w:color w:val="auto"/>
        </w:rPr>
      </w:pPr>
      <w:r>
        <w:rPr>
          <w:rFonts w:ascii="Times New Roman" w:cs="Times New Roman" w:eastAsia="Times New Roman" w:hAnsi="Times New Roman"/>
          <w:sz w:val="18"/>
          <w:szCs w:val="18"/>
          <w:color w:val="auto"/>
        </w:rPr>
        <w:t>Our Articles contain provisions that prohibit the purported transferee of shares of Excess Stock from receiving in return for the transfer an amount that reflects any appreciation in the original shares during the period that the shares of Excess Stock were outstanding. Our Articles require any amount received by a purported transferee, in excess of the amount permitted to be received, to be paid to the beneficiary.</w:t>
      </w:r>
    </w:p>
    <w:p>
      <w:pPr>
        <w:spacing w:after="0" w:line="13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6"/>
          <w:szCs w:val="16"/>
          <w:color w:val="auto"/>
        </w:rPr>
        <w:t>Our Articles further provide that we may purchase, for a period of 90 days during the time the shares of Excess Stock are held in trust, all or any portion of the Excess Stock at the lesser of the price paid for the stock by the purported transferee (or if no consideration was paid, the market price at the time of such</w:t>
      </w:r>
    </w:p>
    <w:p>
      <w:pPr>
        <w:ind w:right="80"/>
        <w:spacing w:after="0" w:line="212" w:lineRule="auto"/>
        <w:rPr>
          <w:sz w:val="20"/>
          <w:szCs w:val="20"/>
          <w:color w:val="auto"/>
        </w:rPr>
      </w:pPr>
      <w:r>
        <w:rPr>
          <w:rFonts w:ascii="Times New Roman" w:cs="Times New Roman" w:eastAsia="Times New Roman" w:hAnsi="Times New Roman"/>
          <w:sz w:val="18"/>
          <w:szCs w:val="18"/>
          <w:color w:val="auto"/>
        </w:rPr>
        <w:t>transaction) or the market price of the relevant shares on the date we, or our designee, accept the offer to purchase the shares of Excess Stock. The 90-day period begins on the later of the date of the prohibited transfer if the purported transferee gives notice to us of the transfer or, if no notice is given, the date our board of directors determines in good faith that a prohibited transfer has occurred.</w:t>
      </w:r>
    </w:p>
    <w:p>
      <w:pPr>
        <w:spacing w:after="0" w:line="13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These provisions contained in our Articles will not be automatically removed even if the REIT provisions of the Code are changed so as to no longer contain any ownership concentration limitation or if the ownership concentration limitation is increased. Amendments to our Articles generally require the affirmative</w:t>
      </w:r>
    </w:p>
    <w:p>
      <w:pPr>
        <w:ind w:right="280"/>
        <w:spacing w:after="0" w:line="220" w:lineRule="auto"/>
        <w:rPr>
          <w:sz w:val="20"/>
          <w:szCs w:val="20"/>
          <w:color w:val="auto"/>
        </w:rPr>
      </w:pPr>
      <w:r>
        <w:rPr>
          <w:rFonts w:ascii="Times New Roman" w:cs="Times New Roman" w:eastAsia="Times New Roman" w:hAnsi="Times New Roman"/>
          <w:sz w:val="18"/>
          <w:szCs w:val="18"/>
          <w:color w:val="auto"/>
        </w:rPr>
        <w:t>vote of stockholders entitled to cast a majority of all the votes entitled to be cast on the matter. In addition to preserving our status as a REIT, the ownership limit may have the effect of precluding an acquisition of control of us without the approval of our board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certificates representing shares of our Common Stock and our Preferred Stock bear, or will bear, a legend referring to the restrictions described above.</w:t>
      </w:r>
    </w:p>
    <w:p>
      <w:pPr>
        <w:spacing w:after="0" w:line="136" w:lineRule="exact"/>
        <w:rPr>
          <w:sz w:val="20"/>
          <w:szCs w:val="20"/>
          <w:color w:val="auto"/>
        </w:rPr>
      </w:pPr>
    </w:p>
    <w:p>
      <w:pPr>
        <w:ind w:right="460"/>
        <w:spacing w:after="0" w:line="245" w:lineRule="auto"/>
        <w:rPr>
          <w:sz w:val="20"/>
          <w:szCs w:val="20"/>
          <w:color w:val="auto"/>
        </w:rPr>
      </w:pPr>
      <w:r>
        <w:rPr>
          <w:rFonts w:ascii="Times New Roman" w:cs="Times New Roman" w:eastAsia="Times New Roman" w:hAnsi="Times New Roman"/>
          <w:sz w:val="16"/>
          <w:szCs w:val="16"/>
          <w:color w:val="auto"/>
        </w:rPr>
        <w:t>All persons who own, directly or by virtue of the attribution provisions of the Code, more than 5% of our outstanding stock must file an affidavit with us containing the information specified in our Articles within 30 days after January 1 of each year. In addition, these and other significant stockholders are</w:t>
      </w:r>
    </w:p>
    <w:p>
      <w:pPr>
        <w:ind w:right="360"/>
        <w:spacing w:after="0" w:line="220" w:lineRule="auto"/>
        <w:rPr>
          <w:sz w:val="20"/>
          <w:szCs w:val="20"/>
          <w:color w:val="auto"/>
        </w:rPr>
      </w:pPr>
      <w:r>
        <w:rPr>
          <w:rFonts w:ascii="Times New Roman" w:cs="Times New Roman" w:eastAsia="Times New Roman" w:hAnsi="Times New Roman"/>
          <w:sz w:val="18"/>
          <w:szCs w:val="18"/>
          <w:color w:val="auto"/>
        </w:rPr>
        <w:t>required, upon demand, to disclose to us in writing the information with respect to their direct, indirect and constructive ownership of shares of our capital stock that our board of directors deems necessary to comply with the provisions of the Code applicable to a REIT.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Provisions of Maryland Law and of Our Articles and Bylaws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ownership limit, certain provisions of our Articles, Bylaws and the MGCL may delay, defer or prevent a change of control or other</w:t>
      </w:r>
    </w:p>
    <w:p>
      <w:pPr>
        <w:ind w:right="140"/>
        <w:spacing w:after="0" w:line="212" w:lineRule="auto"/>
        <w:rPr>
          <w:sz w:val="20"/>
          <w:szCs w:val="20"/>
          <w:color w:val="auto"/>
        </w:rPr>
      </w:pPr>
      <w:r>
        <w:rPr>
          <w:rFonts w:ascii="Times New Roman" w:cs="Times New Roman" w:eastAsia="Times New Roman" w:hAnsi="Times New Roman"/>
          <w:sz w:val="18"/>
          <w:szCs w:val="18"/>
          <w:color w:val="auto"/>
        </w:rPr>
        <w:t>transaction in which holders of some, or a majority, of shares of our Common Stock might receive a premium for their shares over the then prevailing market price of those shares or which such holders might believe to be otherwise in their best interests. The following paragraphs summarize a number of these provisions, as well as selected provisions of the MGCL.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373"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i w:val="1"/>
          <w:iCs w:val="1"/>
          <w:color w:val="auto"/>
        </w:rPr>
        <w:t>Power to Reclassify Shares of Our Stock</w:t>
      </w:r>
    </w:p>
    <w:p>
      <w:pPr>
        <w:spacing w:after="0" w:line="15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Our Articles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any stock classified or reclassified by our board of directors or a duly authorized committee thereof in accordance with our Articles will be set forth in articles supplementary filed with the State Department of Assessments and Taxation of Maryland prior to the issuance of any classified or reclassified stock.</w:t>
      </w:r>
    </w:p>
    <w:p>
      <w:pPr>
        <w:spacing w:after="0" w:line="116" w:lineRule="exact"/>
        <w:rPr>
          <w:sz w:val="20"/>
          <w:szCs w:val="20"/>
          <w:color w:val="auto"/>
        </w:rPr>
      </w:pPr>
    </w:p>
    <w:p>
      <w:pPr>
        <w:ind w:right="300"/>
        <w:spacing w:after="0" w:line="231" w:lineRule="auto"/>
        <w:rPr>
          <w:sz w:val="20"/>
          <w:szCs w:val="20"/>
          <w:color w:val="auto"/>
        </w:rPr>
      </w:pPr>
      <w:r>
        <w:rPr>
          <w:rFonts w:ascii="Times New Roman" w:cs="Times New Roman" w:eastAsia="Times New Roman" w:hAnsi="Times New Roman"/>
          <w:sz w:val="18"/>
          <w:szCs w:val="18"/>
          <w:color w:val="auto"/>
        </w:rPr>
        <w:t>Our Articles also authorize our board of directors to issue one or more classes or series of Common Stock or Preferred Stock and authorize the creation and issuance of rights entitling holders thereof to purchase from us shares of stock or other securities or property.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of Director Nominations and New Business; Procedures for Special Meetings Requested by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Articles and Bylaws provide that for any stockholder proposal to be presented in connection with an annual meeting or special meeting of our</w:t>
      </w:r>
    </w:p>
    <w:p>
      <w:pPr>
        <w:ind w:right="200"/>
        <w:spacing w:after="0" w:line="212" w:lineRule="auto"/>
        <w:rPr>
          <w:sz w:val="20"/>
          <w:szCs w:val="20"/>
          <w:color w:val="auto"/>
        </w:rPr>
      </w:pPr>
      <w:r>
        <w:rPr>
          <w:rFonts w:ascii="Times New Roman" w:cs="Times New Roman" w:eastAsia="Times New Roman" w:hAnsi="Times New Roman"/>
          <w:sz w:val="18"/>
          <w:szCs w:val="18"/>
          <w:color w:val="auto"/>
        </w:rPr>
        <w:t>stockholders, including a proposal to nominate a director, the stockholder must have given timely written notice of the proposal to our secretary. The Bylaws provide that nominations to our board of directors and the proposal of other business to be considered by stockholders at an annual meeting of stockholders may be made only:</w:t>
      </w:r>
    </w:p>
    <w:p>
      <w:pPr>
        <w:spacing w:after="0" w:line="130" w:lineRule="exact"/>
        <w:rPr>
          <w:sz w:val="20"/>
          <w:szCs w:val="20"/>
          <w:color w:val="auto"/>
        </w:rPr>
      </w:pPr>
    </w:p>
    <w:p>
      <w:pPr>
        <w:ind w:left="640" w:hanging="31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notice of the meeting;</w:t>
      </w:r>
    </w:p>
    <w:p>
      <w:pPr>
        <w:spacing w:after="0" w:line="148"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our board of directors;</w:t>
      </w:r>
    </w:p>
    <w:p>
      <w:pPr>
        <w:spacing w:after="0" w:line="135" w:lineRule="exact"/>
        <w:rPr>
          <w:rFonts w:ascii="Times New Roman" w:cs="Times New Roman" w:eastAsia="Times New Roman" w:hAnsi="Times New Roman"/>
          <w:sz w:val="18"/>
          <w:szCs w:val="18"/>
          <w:color w:val="auto"/>
        </w:rPr>
      </w:pPr>
    </w:p>
    <w:p>
      <w:pPr>
        <w:ind w:left="640" w:right="100" w:hanging="318"/>
        <w:spacing w:after="0" w:line="217" w:lineRule="auto"/>
        <w:tabs>
          <w:tab w:leader="none" w:pos="6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who is a stockholder of record at the record date set by our board of directors for the purpose of determining stockholders entitled to vote at the annual meeting, at the time such stockholder gives the notice required by our Bylaws and at the time of the annual meeting (and any postponement or adjournment thereof), who is entitled to vote at the meeting in the election of each individual so nominated or on the proposal of other business, as the case may be, and who has complied with the advance notice procedures and other applicable requirements, including minimum and maximum time periods, set forth in our Articles and Bylaws; or</w:t>
      </w:r>
    </w:p>
    <w:p>
      <w:pPr>
        <w:spacing w:after="0" w:line="118" w:lineRule="exact"/>
        <w:rPr>
          <w:rFonts w:ascii="Times New Roman" w:cs="Times New Roman" w:eastAsia="Times New Roman" w:hAnsi="Times New Roman"/>
          <w:sz w:val="18"/>
          <w:szCs w:val="18"/>
          <w:color w:val="auto"/>
        </w:rPr>
      </w:pPr>
    </w:p>
    <w:p>
      <w:pPr>
        <w:ind w:left="640" w:right="40" w:hanging="318"/>
        <w:spacing w:after="0" w:line="218" w:lineRule="auto"/>
        <w:tabs>
          <w:tab w:leader="none" w:pos="6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w:t>
      </w:r>
    </w:p>
    <w:p>
      <w:pPr>
        <w:spacing w:after="0" w:line="13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w:t>
      </w:r>
    </w:p>
    <w:p>
      <w:pPr>
        <w:spacing w:after="0" w:line="96" w:lineRule="exact"/>
        <w:rPr>
          <w:sz w:val="20"/>
          <w:szCs w:val="20"/>
          <w:color w:val="auto"/>
        </w:rPr>
      </w:pPr>
    </w:p>
    <w:p>
      <w:pPr>
        <w:ind w:left="640" w:hanging="31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our board of directors;</w:t>
      </w:r>
    </w:p>
    <w:p>
      <w:pPr>
        <w:spacing w:after="0" w:line="135" w:lineRule="exact"/>
        <w:rPr>
          <w:rFonts w:ascii="Times New Roman" w:cs="Times New Roman" w:eastAsia="Times New Roman" w:hAnsi="Times New Roman"/>
          <w:sz w:val="18"/>
          <w:szCs w:val="18"/>
          <w:color w:val="auto"/>
        </w:rPr>
      </w:pPr>
    </w:p>
    <w:p>
      <w:pPr>
        <w:ind w:left="640" w:right="120" w:hanging="318"/>
        <w:spacing w:after="0" w:line="298" w:lineRule="auto"/>
        <w:tabs>
          <w:tab w:leader="none" w:pos="63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w:t>
      </w:r>
    </w:p>
    <w:p>
      <w:pPr>
        <w:spacing w:after="0" w:line="70" w:lineRule="exact"/>
        <w:rPr>
          <w:rFonts w:ascii="Times New Roman" w:cs="Times New Roman" w:eastAsia="Times New Roman" w:hAnsi="Times New Roman"/>
          <w:sz w:val="16"/>
          <w:szCs w:val="16"/>
          <w:color w:val="auto"/>
        </w:rPr>
      </w:pPr>
    </w:p>
    <w:p>
      <w:pPr>
        <w:ind w:left="640" w:right="220" w:hanging="318"/>
        <w:spacing w:after="0" w:line="246" w:lineRule="auto"/>
        <w:tabs>
          <w:tab w:leader="none" w:pos="63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that the special meeting has been called in accordance with our Bylaws for the purpose of electing directors, by any stockholder who is a stockholder of record at the record date set by our board of directors for the purpose of determining stockholders entitled to vote at the special meeting, at the time such stockholder gives the notice required by our Bylaws and at the time of the special meeting (and any postponement or adjournment thereof), who is entitled to vote at the meeting in the election of each individual so nominated and who has complied with the advance notice procedures and other applicable requirements, including minimum and maximum time periods, set forth in our Bylaws.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Bylaws also contain special procedures applicable to a special meeting of stockholders that is called by the secretary to act on any matter that may properly</w:t>
      </w:r>
    </w:p>
    <w:p>
      <w:pPr>
        <w:spacing w:after="0" w:line="20"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8"/>
          <w:szCs w:val="18"/>
          <w:color w:val="auto"/>
        </w:rPr>
        <w:t>be considered at a meeting of stockholders at the written request of stockholders entitled to cast not less than a majority of all the votes entitled to be cast on such matter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37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Exemptions for Our Original Founders from the Maryland Business Combination Act</w:t>
      </w:r>
    </w:p>
    <w:p>
      <w:pPr>
        <w:spacing w:after="0" w:line="15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interested stockholder is defined as:</w:t>
      </w:r>
    </w:p>
    <w:p>
      <w:pPr>
        <w:spacing w:after="0" w:line="116" w:lineRule="exact"/>
        <w:rPr>
          <w:sz w:val="20"/>
          <w:szCs w:val="20"/>
          <w:color w:val="auto"/>
        </w:rPr>
      </w:pPr>
    </w:p>
    <w:p>
      <w:pPr>
        <w:ind w:left="640" w:hanging="31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directly or indirectly, 10% or more of the voting power of the corporation’s outstanding voting stock; or</w:t>
      </w:r>
    </w:p>
    <w:p>
      <w:pPr>
        <w:spacing w:after="0" w:line="148" w:lineRule="exact"/>
        <w:rPr>
          <w:rFonts w:ascii="Times New Roman" w:cs="Times New Roman" w:eastAsia="Times New Roman" w:hAnsi="Times New Roman"/>
          <w:sz w:val="18"/>
          <w:szCs w:val="18"/>
          <w:color w:val="auto"/>
        </w:rPr>
      </w:pPr>
    </w:p>
    <w:p>
      <w:pPr>
        <w:ind w:left="640" w:right="300" w:hanging="318"/>
        <w:spacing w:after="0" w:line="231"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immediately prior to the date in question, was the beneficial owner, directly or indirectly, of 10% or more of the voting power of the then outstanding stock of the corporation.</w:t>
      </w:r>
    </w:p>
    <w:p>
      <w:pPr>
        <w:spacing w:after="0" w:line="1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w:t>
      </w:r>
    </w:p>
    <w:p>
      <w:pPr>
        <w:ind w:right="120"/>
        <w:spacing w:after="0" w:line="229" w:lineRule="auto"/>
        <w:rPr>
          <w:sz w:val="20"/>
          <w:szCs w:val="20"/>
          <w:color w:val="auto"/>
        </w:rPr>
      </w:pPr>
      <w:r>
        <w:rPr>
          <w:rFonts w:ascii="Times New Roman" w:cs="Times New Roman" w:eastAsia="Times New Roman" w:hAnsi="Times New Roman"/>
          <w:sz w:val="16"/>
          <w:szCs w:val="16"/>
          <w:color w:val="auto"/>
        </w:rPr>
        <w:t>common stock receive a minimum price, as defined by the MGCL, for their shares and the consideration is received in cash or in the same form as previously paid by the interested stockholder for its shares. None of these provisions of the MGCL will apply, however, to business combinations that are approved or exempted by the board of directors of the corporation before the time that the interested stockholder becomes an interested stockholder. Furthermore, a person</w:t>
      </w:r>
    </w:p>
    <w:p>
      <w:pPr>
        <w:ind w:right="340"/>
        <w:spacing w:after="0" w:line="220" w:lineRule="auto"/>
        <w:rPr>
          <w:sz w:val="20"/>
          <w:szCs w:val="20"/>
          <w:color w:val="auto"/>
        </w:rPr>
      </w:pPr>
      <w:r>
        <w:rPr>
          <w:rFonts w:ascii="Times New Roman" w:cs="Times New Roman" w:eastAsia="Times New Roman" w:hAnsi="Times New Roman"/>
          <w:sz w:val="18"/>
          <w:szCs w:val="18"/>
          <w:color w:val="auto"/>
        </w:rPr>
        <w:t>is not an interested stockholder if the transaction by which he or she would otherwise have become an interested stockholder is approved in advance by the board of directors.</w:t>
      </w:r>
    </w:p>
    <w:p>
      <w:pPr>
        <w:spacing w:after="0" w:line="127" w:lineRule="exact"/>
        <w:rPr>
          <w:sz w:val="20"/>
          <w:szCs w:val="20"/>
          <w:color w:val="auto"/>
        </w:rPr>
      </w:pPr>
    </w:p>
    <w:p>
      <w:pPr>
        <w:ind w:right="320"/>
        <w:spacing w:after="0" w:line="220" w:lineRule="auto"/>
        <w:rPr>
          <w:sz w:val="20"/>
          <w:szCs w:val="20"/>
          <w:color w:val="auto"/>
        </w:rPr>
      </w:pPr>
      <w:r>
        <w:rPr>
          <w:rFonts w:ascii="Times New Roman" w:cs="Times New Roman" w:eastAsia="Times New Roman" w:hAnsi="Times New Roman"/>
          <w:sz w:val="18"/>
          <w:szCs w:val="18"/>
          <w:color w:val="auto"/>
        </w:rPr>
        <w:t>As permitted by the MGCL, our Articles exempt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Non-Stockholder Constituencies</w:t>
      </w:r>
    </w:p>
    <w:p>
      <w:pPr>
        <w:spacing w:after="0" w:line="15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Under our Articles,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interests may be best served by our continued independence.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151"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6"/>
          <w:szCs w:val="16"/>
          <w:color w:val="auto"/>
        </w:rPr>
        <w:t>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w:t>
      </w:r>
    </w:p>
    <w:p>
      <w:pPr>
        <w:spacing w:after="0" w:line="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6"/>
          <w:szCs w:val="16"/>
          <w:color w:val="auto"/>
        </w:rPr>
        <w:t>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w:t>
      </w:r>
    </w:p>
    <w:p>
      <w:pPr>
        <w:spacing w:after="0" w:line="116"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8"/>
          <w:szCs w:val="18"/>
          <w:color w:val="auto"/>
        </w:rPr>
        <w:t>Our Articles exempt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Subtitle 8</w:t>
      </w:r>
    </w:p>
    <w:p>
      <w:pPr>
        <w:spacing w:after="0" w:line="151" w:lineRule="exact"/>
        <w:rPr>
          <w:sz w:val="20"/>
          <w:szCs w:val="20"/>
          <w:color w:val="auto"/>
        </w:rPr>
      </w:pPr>
    </w:p>
    <w:p>
      <w:pPr>
        <w:jc w:val="both"/>
        <w:ind w:right="100"/>
        <w:spacing w:after="0" w:line="237" w:lineRule="auto"/>
        <w:rPr>
          <w:sz w:val="20"/>
          <w:szCs w:val="20"/>
          <w:color w:val="auto"/>
        </w:rPr>
      </w:pPr>
      <w:r>
        <w:rPr>
          <w:rFonts w:ascii="Times New Roman" w:cs="Times New Roman" w:eastAsia="Times New Roman" w:hAnsi="Times New Roman"/>
          <w:sz w:val="16"/>
          <w:szCs w:val="16"/>
          <w:color w:val="auto"/>
        </w:rPr>
        <w:t>Our board of directors has approved a resolution prohibiting us from unilaterally electing to be subject to the provisions of Sections 3-803, 3-804 and 3-805 of Subtitle 8 of Title 3 of the MGCL (“Subtitle 8”). Subtitle 8 permits a Maryland corporation with a class of equity securities registered under the Exchange Act and at least three independent directors to elect, without any stockholder vote or other action and notwithstanding any contrary provision in its charter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to be subject to any or all of the following five provisions:</w:t>
      </w:r>
    </w:p>
    <w:p>
      <w:pPr>
        <w:spacing w:after="0" w:line="116" w:lineRule="exact"/>
        <w:rPr>
          <w:sz w:val="20"/>
          <w:szCs w:val="20"/>
          <w:color w:val="auto"/>
        </w:rPr>
      </w:pPr>
    </w:p>
    <w:p>
      <w:pPr>
        <w:ind w:left="640" w:hanging="318"/>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3-803 - requiring classification of the board of directors into three classes;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8"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71" w:right="339" w:bottom="1440" w:gutter="0" w:footer="0" w:header="0"/>
        </w:sectPr>
      </w:pPr>
    </w:p>
    <w:bookmarkStart w:id="116" w:name="page117"/>
    <w:bookmarkEnd w:id="116"/>
    <w:p>
      <w:pPr>
        <w:ind w:left="640" w:right="100" w:hanging="318"/>
        <w:spacing w:after="0" w:line="231"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3-804(a) - requiring that stockholders may remove any director by the affirmative vote of at least two-thirds of all the votes entitled to be cast by the stockholders generally in the election of directors;</w:t>
      </w:r>
    </w:p>
    <w:p>
      <w:pPr>
        <w:spacing w:after="0" w:line="128"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3-804(b) - requiring that the number of directors be fixed only by vote of the board of directors;</w:t>
      </w:r>
    </w:p>
    <w:p>
      <w:pPr>
        <w:spacing w:after="0" w:line="148" w:lineRule="exact"/>
        <w:rPr>
          <w:rFonts w:ascii="Times New Roman" w:cs="Times New Roman" w:eastAsia="Times New Roman" w:hAnsi="Times New Roman"/>
          <w:sz w:val="18"/>
          <w:szCs w:val="18"/>
          <w:color w:val="auto"/>
        </w:rPr>
      </w:pPr>
    </w:p>
    <w:p>
      <w:pPr>
        <w:ind w:left="640" w:right="20" w:hanging="318"/>
        <w:spacing w:after="0" w:line="281" w:lineRule="auto"/>
        <w:tabs>
          <w:tab w:leader="none" w:pos="635"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3-804(c) - requiring that any vacancy on the board of directors be filled only by the affirmative vote of a majority of the remaining directors in office for the remainder of the full term of the class of directors in which the vacancy occurred and until a successor is elected and qualifies; and</w:t>
      </w:r>
    </w:p>
    <w:p>
      <w:pPr>
        <w:spacing w:after="0" w:line="96" w:lineRule="exact"/>
        <w:rPr>
          <w:rFonts w:ascii="Times New Roman" w:cs="Times New Roman" w:eastAsia="Times New Roman" w:hAnsi="Times New Roman"/>
          <w:sz w:val="16"/>
          <w:szCs w:val="16"/>
          <w:color w:val="auto"/>
        </w:rPr>
      </w:pPr>
    </w:p>
    <w:p>
      <w:pPr>
        <w:ind w:left="640" w:right="180" w:hanging="318"/>
        <w:spacing w:after="0" w:line="231"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3-805 - requiring that a special meeting of stockholders may be called only upon the written request of stockholders entitled to cast at least a majority of all the votes entitled to be cast at the meeting.</w:t>
      </w:r>
    </w:p>
    <w:p>
      <w:pPr>
        <w:spacing w:after="0" w:line="129"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8"/>
          <w:szCs w:val="18"/>
          <w:color w:val="auto"/>
        </w:rPr>
        <w:t>Following our board of director’s resolution, we supplemented our Articles to provide that we are prohibited from electing to be subject to any of the foregoing provisions, and such prohibition may not be repealed unless a proposal to repeal such prohibition with respect to any such section is approved by the affirmative vote of a majority of the votes cast on the matter by stockholders entitled to vote generally in the election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Our Articles and Bylaws</w:t>
      </w:r>
    </w:p>
    <w:p>
      <w:pPr>
        <w:spacing w:after="0" w:line="15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Except for those amendments permitted to be made without stockholder approval under the MGCL or by specific provision in our Articles, amendments to our Articles must be declared advisable by our board of directors and approved by the affirmative vote of stockholders entitled to cast a majority of all the votes entitled to be cast on the matter. Any amendment to our Articles related to the (i) removal of directors, (ii) vote required to approve any extraordinary</w:t>
      </w:r>
    </w:p>
    <w:p>
      <w:pPr>
        <w:spacing w:after="0" w:line="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6"/>
          <w:szCs w:val="16"/>
          <w:color w:val="auto"/>
        </w:rPr>
        <w:t xml:space="preserve">transaction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merger, statutory share exchange, consolidation, conversion and sale of all or substantially all of our assets or any other transaction (other than dissolution) that requires stockholder approval under Maryland law by a vote of at least two-thirds of all the votes entitled to be cast on the matter) or (iii) amendment provision in our Articles relating to these matters requires the affirmative vote of stockholders entitled to cast two-thirds of all the votes entitled to</w:t>
      </w:r>
    </w:p>
    <w:p>
      <w:pPr>
        <w:spacing w:after="0"/>
        <w:rPr>
          <w:sz w:val="20"/>
          <w:szCs w:val="20"/>
          <w:color w:val="auto"/>
        </w:rPr>
      </w:pPr>
      <w:r>
        <w:rPr>
          <w:rFonts w:ascii="Times New Roman" w:cs="Times New Roman" w:eastAsia="Times New Roman" w:hAnsi="Times New Roman"/>
          <w:sz w:val="18"/>
          <w:szCs w:val="18"/>
          <w:color w:val="auto"/>
        </w:rPr>
        <w:t>be cast on the matter.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Bylaws provide that, with the exception of provisions in our Bylaws relating to (i) the indemnification of our present and former directors and officers and</w:t>
      </w:r>
    </w:p>
    <w:p>
      <w:pPr>
        <w:spacing w:after="0" w:line="20" w:lineRule="exact"/>
        <w:rPr>
          <w:sz w:val="20"/>
          <w:szCs w:val="20"/>
          <w:color w:val="auto"/>
        </w:rPr>
      </w:pPr>
    </w:p>
    <w:p>
      <w:pPr>
        <w:ind w:right="20" w:firstLine="5"/>
        <w:spacing w:after="0" w:line="239" w:lineRule="auto"/>
        <w:tabs>
          <w:tab w:leader="none" w:pos="25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amendment of our Bylaws, which provisions may not be amended without the approval of our board of directors, our Bylaws may be altered or repealed or new bylaw provisions may be adopted, in each case to the extent permitted by, and consistent with, our Articles, our Bylaws and applicable law,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Board of Directors; Election; Removal</w:t>
      </w:r>
    </w:p>
    <w:p>
      <w:pPr>
        <w:spacing w:after="0" w:line="15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Our Articles provide that the number of directors on our board of directors is fixed pursuant to our Bylaws, but may not be fewer than the minimum required by the MGCL, which is one. Our Bylaws provide that our board of directors must consist of not less than one and not more than twelve directors.</w:t>
      </w:r>
    </w:p>
    <w:p>
      <w:pPr>
        <w:spacing w:after="0" w:line="96"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8"/>
          <w:szCs w:val="18"/>
          <w:color w:val="auto"/>
        </w:rPr>
        <w:t>Our Articles and Bylaws provide that directors are required to be elected by the affirmative vote of a majority of all the votes cast on the matter at a meeting at which a quorum is present.</w:t>
      </w:r>
    </w:p>
    <w:p>
      <w:pPr>
        <w:spacing w:after="0" w:line="129"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6"/>
          <w:szCs w:val="16"/>
          <w:color w:val="auto"/>
        </w:rPr>
        <w:t>Subject to the rights of holders of any series of Preferred Stock, our Articles and Bylaws provide that a director may be removed only for cause and then only by the affirmative vote of the holders of shares of stock entitled to cast at least two-thirds of the votes entitled to be cast generally in the election of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Dissolution</w:t>
      </w:r>
    </w:p>
    <w:p>
      <w:pPr>
        <w:spacing w:after="0" w:line="138"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Our dissolution must be approved by our board of directors and by the affirmative vote of not less than a majority of all of the votes entitled to be cast on the matter.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Vote for Extraordinary Corporate Actions</w:t>
      </w:r>
    </w:p>
    <w:p>
      <w:pPr>
        <w:spacing w:after="0" w:line="151"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6"/>
          <w:szCs w:val="16"/>
          <w:color w:val="auto"/>
        </w:rPr>
        <w:t>Under the MGCL, a Maryland corporation generally cannot dissolve, amend its charter, merge, convert into another entity, sell all or substantially all of its assets, or engage in a statutory share exchange or in a similar extraordinary corporate action unless approved by the corporation’s board of directors and the</w:t>
      </w:r>
    </w:p>
    <w:p>
      <w:pPr>
        <w:spacing w:after="0" w:line="212" w:lineRule="auto"/>
        <w:rPr>
          <w:sz w:val="20"/>
          <w:szCs w:val="20"/>
          <w:color w:val="auto"/>
        </w:rPr>
      </w:pPr>
      <w:r>
        <w:rPr>
          <w:rFonts w:ascii="Times New Roman" w:cs="Times New Roman" w:eastAsia="Times New Roman" w:hAnsi="Times New Roman"/>
          <w:sz w:val="18"/>
          <w:szCs w:val="18"/>
          <w:color w:val="auto"/>
        </w:rPr>
        <w:t>affirmative vote of holders of at least two-thirds of the votes entitled to be cast on the matter, unless a lesser percentage (but not less than a majority of all of the votes entitled to be cast on the matter) is set forth in the corporation’s charter. Except for Article Seventh and Article Ninth of our Articles, which provide that amendments to the Articles (except for certain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73" w:right="339" w:bottom="1440" w:gutter="0" w:footer="0" w:header="0"/>
        </w:sectPr>
      </w:pPr>
    </w:p>
    <w:bookmarkStart w:id="117" w:name="page118"/>
    <w:bookmarkEnd w:id="117"/>
    <w:p>
      <w:pPr>
        <w:ind w:right="40"/>
        <w:spacing w:after="0" w:line="231" w:lineRule="auto"/>
        <w:rPr>
          <w:sz w:val="20"/>
          <w:szCs w:val="20"/>
          <w:color w:val="auto"/>
        </w:rPr>
      </w:pPr>
      <w:r>
        <w:rPr>
          <w:rFonts w:ascii="Times New Roman" w:cs="Times New Roman" w:eastAsia="Times New Roman" w:hAnsi="Times New Roman"/>
          <w:sz w:val="18"/>
          <w:szCs w:val="18"/>
          <w:color w:val="auto"/>
        </w:rPr>
        <w:t>instances) and dissolution must be approved by the vote of holders of a majority of our outstanding shares of Common Stock entitled to vote on the matter, our Articles do not provide for a lesser percentage in these situations.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15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Our Bylaws provide that, unless our board of directors agrees otherwise, (i) any derivative action or proceeding brought on our behalf, (ii) any action asserting a claim of breach of any duty owed by any of our directors, officers or other employees to us or our stockholders, (iii) any action asserting a claim against us or any of our directors, officers or other employees pursuant to the MGCL, or our Articles or Bylaws and (iv) claims governed by the internal affairs doctrine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must be brought in the Circuit Court for Baltimore City, Maryland (or if that court does not have jurisdiction, the United States District Court for the District of Maryland, Baltimore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1373" w:right="37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LIST OF SUBSIDIARIES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801-GALLERY ASSOCIATES, L.P., a Pennsylvania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801-GALLERY C-3 ASSOCIATES, L.P., a Delaware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801-GALLERY GP, LLC, a Pennsylvania limited liability company</w:t>
      </w:r>
    </w:p>
    <w:p>
      <w:pPr>
        <w:spacing w:after="0" w:line="124" w:lineRule="exact"/>
        <w:rPr>
          <w:sz w:val="20"/>
          <w:szCs w:val="20"/>
          <w:color w:val="auto"/>
        </w:rPr>
      </w:pPr>
    </w:p>
    <w:p>
      <w:pPr>
        <w:ind w:right="5460"/>
        <w:spacing w:after="0" w:line="369" w:lineRule="auto"/>
        <w:rPr>
          <w:sz w:val="20"/>
          <w:szCs w:val="20"/>
          <w:color w:val="auto"/>
        </w:rPr>
      </w:pPr>
      <w:r>
        <w:rPr>
          <w:rFonts w:ascii="Times New Roman" w:cs="Times New Roman" w:eastAsia="Times New Roman" w:hAnsi="Times New Roman"/>
          <w:sz w:val="19"/>
          <w:szCs w:val="19"/>
          <w:color w:val="auto"/>
        </w:rPr>
        <w:t>801 MARKET VENTURE GP LLC, a Delaware limited liability company AM TYSONS LLC, a Delaware limited liability company</w:t>
      </w:r>
    </w:p>
    <w:p>
      <w:pPr>
        <w:spacing w:after="0"/>
        <w:rPr>
          <w:sz w:val="20"/>
          <w:szCs w:val="20"/>
          <w:color w:val="auto"/>
        </w:rPr>
      </w:pPr>
      <w:r>
        <w:rPr>
          <w:rFonts w:ascii="Times New Roman" w:cs="Times New Roman" w:eastAsia="Times New Roman" w:hAnsi="Times New Roman"/>
          <w:sz w:val="19"/>
          <w:szCs w:val="19"/>
          <w:color w:val="auto"/>
        </w:rPr>
        <w:t>BILTMORE SHOPPING CENTER PARTNERS LLC, an Arizona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BROOKLYN KINGS PLAZA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CAM-CARSON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COOLIDGE HOLDING LLC, an Arizona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CORTE MADERA VILLAGE,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COUNTRY CLUB PLAZA KC PARTNERS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DANBURY MALL,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DESERT SKY MALL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EAST MESA MALL,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FASHION OUTLETS II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FASHION OUTLETS OF CHICAGO EXPANSION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FASHION OUTLETS OF CHICAGO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WALL VENTURES, L.P., a Delaware limited partnership</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WALL VENTURES II, L.P., a Cayman Islands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FIFTH WALL VENTURES RETAIL FUND, L.P.,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FOC ADJACENT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FREE RACE MALL REST., L.P., a New Jersey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FREEHOLD CHANDLER HOLDINGS LP,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GOODYEAR PERIPHERAL LLC, an Arizona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GREEN ACRES ADJACENT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HPP-MAC WSP, LLC, a Delaware limited liability company</w:t>
      </w:r>
    </w:p>
    <w:p>
      <w:pPr>
        <w:spacing w:after="0" w:line="111" w:lineRule="exact"/>
        <w:rPr>
          <w:sz w:val="20"/>
          <w:szCs w:val="20"/>
          <w:color w:val="auto"/>
        </w:rPr>
      </w:pPr>
    </w:p>
    <w:p>
      <w:pPr>
        <w:ind w:right="4540"/>
        <w:spacing w:after="0" w:line="347" w:lineRule="auto"/>
        <w:rPr>
          <w:sz w:val="20"/>
          <w:szCs w:val="20"/>
          <w:color w:val="auto"/>
        </w:rPr>
      </w:pPr>
      <w:r>
        <w:rPr>
          <w:rFonts w:ascii="Times New Roman" w:cs="Times New Roman" w:eastAsia="Times New Roman" w:hAnsi="Times New Roman"/>
          <w:sz w:val="19"/>
          <w:szCs w:val="19"/>
          <w:color w:val="auto"/>
        </w:rPr>
        <w:t>KIERLAND COMMONS INVESTMENT LLC, a Delaware limited liability company KINGS PLAZA ENERGY LLC, a Delaware limited liability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KINGS PLAZA GROUND LEASE LLC, a Delaware limited liability company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ARIZONA MANAGEMENT LLC, a Delaware limited liability company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ARIZONA PARTNERS LLC, an Arizona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BUENAVENTURA LIMITED PARTNERSHIP, a Delaware limited partnership</w:t>
      </w:r>
    </w:p>
    <w:p>
      <w:pPr>
        <w:sectPr>
          <w:pgSz w:w="11900" w:h="16838" w:orient="portrait"/>
          <w:cols w:equalWidth="0" w:num="1">
            <w:col w:w="11240"/>
          </w:cols>
          <w:pgMar w:left="320" w:top="137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color w:val="auto"/>
        </w:rPr>
        <w:t>MACERICH FARGO ASSOCIATES, a California general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DEPTFORD ADJACENT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FRESNO ADJACENT LP,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FRESNO LIMITED PARTNERSHIP, a California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HHF BROADWAY PLAZA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HHF CENTERS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HOLDINGS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INLAND LP, a Delaware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INVESTMENTS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JANSS MARKETPLACE HOLDINGS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LA CUMBRE 9.45 AC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LA CUMBRE GP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LA CUMBRE LP,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MANAGEMENT COMPANY, a California corporation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NB FREEHOLD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NIAGARA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NORTH PARK MALL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OAKS LP, a Delaware limited partnership</w:t>
      </w:r>
    </w:p>
    <w:p>
      <w:pPr>
        <w:spacing w:after="0" w:line="111" w:lineRule="exact"/>
        <w:rPr>
          <w:sz w:val="20"/>
          <w:szCs w:val="20"/>
          <w:color w:val="auto"/>
        </w:rPr>
      </w:pPr>
    </w:p>
    <w:p>
      <w:pPr>
        <w:ind w:right="3339"/>
        <w:spacing w:after="0" w:line="369" w:lineRule="auto"/>
        <w:rPr>
          <w:sz w:val="20"/>
          <w:szCs w:val="20"/>
          <w:color w:val="auto"/>
        </w:rPr>
      </w:pPr>
      <w:r>
        <w:rPr>
          <w:rFonts w:ascii="Times New Roman" w:cs="Times New Roman" w:eastAsia="Times New Roman" w:hAnsi="Times New Roman"/>
          <w:sz w:val="19"/>
          <w:szCs w:val="19"/>
          <w:color w:val="auto"/>
        </w:rPr>
        <w:t>MACERICH PARTNERS OF COLORADO LLC, a Colorado limited liability company MACERICH PPR CORP., a Maryland corporation</w:t>
      </w:r>
    </w:p>
    <w:p>
      <w:pPr>
        <w:ind w:right="2239"/>
        <w:spacing w:after="0" w:line="369" w:lineRule="auto"/>
        <w:rPr>
          <w:sz w:val="20"/>
          <w:szCs w:val="20"/>
          <w:color w:val="auto"/>
        </w:rPr>
      </w:pPr>
      <w:r>
        <w:rPr>
          <w:rFonts w:ascii="Times New Roman" w:cs="Times New Roman" w:eastAsia="Times New Roman" w:hAnsi="Times New Roman"/>
          <w:sz w:val="19"/>
          <w:szCs w:val="19"/>
          <w:color w:val="auto"/>
        </w:rPr>
        <w:t>MACERICH PROPERTY MANAGEMENT COMPANY, LLC, a Delaware limited liability company MACERICH SMP LP, a Delaware limited partnership</w:t>
      </w:r>
    </w:p>
    <w:p>
      <w:pPr>
        <w:spacing w:after="0"/>
        <w:rPr>
          <w:sz w:val="20"/>
          <w:szCs w:val="20"/>
          <w:color w:val="auto"/>
        </w:rPr>
      </w:pPr>
      <w:r>
        <w:rPr>
          <w:rFonts w:ascii="Times New Roman" w:cs="Times New Roman" w:eastAsia="Times New Roman" w:hAnsi="Times New Roman"/>
          <w:sz w:val="19"/>
          <w:szCs w:val="19"/>
          <w:color w:val="auto"/>
        </w:rPr>
        <w:t>MACERICH SOUTH PARK MALL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SOUTHRIDGE MALL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STONEWOOD,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STONEWOOD CORP., a Delaware corporation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TYSONS LLC, a Delaware limited liability company</w:t>
      </w:r>
    </w:p>
    <w:p>
      <w:pPr>
        <w:spacing w:after="0" w:line="124" w:lineRule="exact"/>
        <w:rPr>
          <w:sz w:val="20"/>
          <w:szCs w:val="20"/>
          <w:color w:val="auto"/>
        </w:rPr>
      </w:pPr>
    </w:p>
    <w:p>
      <w:pPr>
        <w:ind w:right="3519"/>
        <w:spacing w:after="0" w:line="369" w:lineRule="auto"/>
        <w:rPr>
          <w:sz w:val="20"/>
          <w:szCs w:val="20"/>
          <w:color w:val="auto"/>
        </w:rPr>
      </w:pPr>
      <w:r>
        <w:rPr>
          <w:rFonts w:ascii="Times New Roman" w:cs="Times New Roman" w:eastAsia="Times New Roman" w:hAnsi="Times New Roman"/>
          <w:sz w:val="19"/>
          <w:szCs w:val="19"/>
          <w:color w:val="auto"/>
        </w:rPr>
        <w:t>MACERICH VALLEY RIVER CENTER LLC, a Delaware limited liability company MACERICH VICTOR VALLEY LP, a Delaware limited partnership</w:t>
      </w:r>
    </w:p>
    <w:p>
      <w:pPr>
        <w:spacing w:after="0"/>
        <w:rPr>
          <w:sz w:val="20"/>
          <w:szCs w:val="20"/>
          <w:color w:val="auto"/>
        </w:rPr>
      </w:pPr>
      <w:r>
        <w:rPr>
          <w:rFonts w:ascii="Times New Roman" w:cs="Times New Roman" w:eastAsia="Times New Roman" w:hAnsi="Times New Roman"/>
          <w:sz w:val="19"/>
          <w:szCs w:val="19"/>
          <w:color w:val="auto"/>
        </w:rPr>
        <w:t>MACERICH VINTAGE FAIRE ADJACENT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MACERICH VINTAGE FAIRE LIMITED PARTNERSHIP,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MACJ,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MACPT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MACW FREEHOLD, LLC, a Delaware limited liability company</w:t>
      </w:r>
    </w:p>
    <w:p>
      <w:pPr>
        <w:sectPr>
          <w:pgSz w:w="11900" w:h="16838" w:orient="portrait"/>
          <w:cols w:equalWidth="0" w:num="1">
            <w:col w:w="10139"/>
          </w:cols>
          <w:pgMar w:left="320" w:top="1434"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9"/>
          <w:szCs w:val="19"/>
          <w:color w:val="auto"/>
        </w:rPr>
        <w:t>MACWH, LP,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MACW MALL MANAGEMENT, INC., a New York corporation</w:t>
      </w:r>
    </w:p>
    <w:p>
      <w:pPr>
        <w:spacing w:after="0" w:line="111" w:lineRule="exact"/>
        <w:rPr>
          <w:sz w:val="20"/>
          <w:szCs w:val="20"/>
          <w:color w:val="auto"/>
        </w:rPr>
      </w:pPr>
    </w:p>
    <w:p>
      <w:pPr>
        <w:ind w:right="3579"/>
        <w:spacing w:after="0" w:line="369" w:lineRule="auto"/>
        <w:rPr>
          <w:sz w:val="20"/>
          <w:szCs w:val="20"/>
          <w:color w:val="auto"/>
        </w:rPr>
      </w:pPr>
      <w:r>
        <w:rPr>
          <w:rFonts w:ascii="Times New Roman" w:cs="Times New Roman" w:eastAsia="Times New Roman" w:hAnsi="Times New Roman"/>
          <w:sz w:val="19"/>
          <w:szCs w:val="19"/>
          <w:color w:val="auto"/>
        </w:rPr>
        <w:t>MACW PROPERTY MANAGEMENT, LLC, a New York limited liability company MACW TYSONS, LLC, a Delaware limited liability company</w:t>
      </w:r>
    </w:p>
    <w:p>
      <w:pPr>
        <w:spacing w:after="0"/>
        <w:rPr>
          <w:sz w:val="20"/>
          <w:szCs w:val="20"/>
          <w:color w:val="auto"/>
        </w:rPr>
      </w:pPr>
      <w:r>
        <w:rPr>
          <w:rFonts w:ascii="Times New Roman" w:cs="Times New Roman" w:eastAsia="Times New Roman" w:hAnsi="Times New Roman"/>
          <w:sz w:val="19"/>
          <w:szCs w:val="19"/>
          <w:color w:val="auto"/>
        </w:rPr>
        <w:t>MP PS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MS DANBURY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MS PORTFOLIO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MVRC HOLDING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RIVER ASSOCIATES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ONE SCOTTSDALE INVESTORS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PACIFIC PREMIER RETAIL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PM GALLERY LP, a Delaware limited partnership</w:t>
      </w:r>
    </w:p>
    <w:p>
      <w:pPr>
        <w:spacing w:after="0" w:line="111" w:lineRule="exact"/>
        <w:rPr>
          <w:sz w:val="20"/>
          <w:szCs w:val="20"/>
          <w:color w:val="auto"/>
        </w:rPr>
      </w:pPr>
    </w:p>
    <w:p>
      <w:pPr>
        <w:ind w:right="4479"/>
        <w:spacing w:after="0" w:line="369" w:lineRule="auto"/>
        <w:rPr>
          <w:sz w:val="20"/>
          <w:szCs w:val="20"/>
          <w:color w:val="auto"/>
        </w:rPr>
      </w:pPr>
      <w:r>
        <w:rPr>
          <w:rFonts w:ascii="Times New Roman" w:cs="Times New Roman" w:eastAsia="Times New Roman" w:hAnsi="Times New Roman"/>
          <w:sz w:val="19"/>
          <w:szCs w:val="19"/>
          <w:color w:val="auto"/>
        </w:rPr>
        <w:t>PROPCOR II ASSOCIATES, LLC, an Arizona limited liability company PV LAND SPE, LLC, a Delaware limited liability company</w:t>
      </w:r>
    </w:p>
    <w:p>
      <w:pPr>
        <w:spacing w:after="0"/>
        <w:rPr>
          <w:sz w:val="20"/>
          <w:szCs w:val="20"/>
          <w:color w:val="auto"/>
        </w:rPr>
      </w:pPr>
      <w:r>
        <w:rPr>
          <w:rFonts w:ascii="Times New Roman" w:cs="Times New Roman" w:eastAsia="Times New Roman" w:hAnsi="Times New Roman"/>
          <w:sz w:val="19"/>
          <w:szCs w:val="19"/>
          <w:color w:val="auto"/>
        </w:rPr>
        <w:t>PV LAND II SPE, LLC, a Delaware limited liability company</w:t>
      </w:r>
    </w:p>
    <w:p>
      <w:pPr>
        <w:spacing w:after="0" w:line="124" w:lineRule="exact"/>
        <w:rPr>
          <w:sz w:val="20"/>
          <w:szCs w:val="20"/>
          <w:color w:val="auto"/>
        </w:rPr>
      </w:pPr>
    </w:p>
    <w:p>
      <w:pPr>
        <w:ind w:right="4659"/>
        <w:spacing w:after="0" w:line="369" w:lineRule="auto"/>
        <w:rPr>
          <w:sz w:val="20"/>
          <w:szCs w:val="20"/>
          <w:color w:val="auto"/>
        </w:rPr>
      </w:pPr>
      <w:r>
        <w:rPr>
          <w:rFonts w:ascii="Times New Roman" w:cs="Times New Roman" w:eastAsia="Times New Roman" w:hAnsi="Times New Roman"/>
          <w:sz w:val="19"/>
          <w:szCs w:val="19"/>
          <w:color w:val="auto"/>
        </w:rPr>
        <w:t>PV RESIDENTIAL I SPE, LLC, a Delaware limited liability company PV RETAIL I SPE, LLC, a Delaware limited liability company</w:t>
      </w:r>
    </w:p>
    <w:p>
      <w:pPr>
        <w:spacing w:after="0"/>
        <w:rPr>
          <w:sz w:val="20"/>
          <w:szCs w:val="20"/>
          <w:color w:val="auto"/>
        </w:rPr>
      </w:pPr>
      <w:r>
        <w:rPr>
          <w:rFonts w:ascii="Times New Roman" w:cs="Times New Roman" w:eastAsia="Times New Roman" w:hAnsi="Times New Roman"/>
          <w:sz w:val="19"/>
          <w:szCs w:val="19"/>
          <w:color w:val="auto"/>
        </w:rPr>
        <w:t>PV RETAIL II SPE,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QUEENS CENTER REIT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QUEENS CENTER SPE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SCOTTSDALE FASHION SQUARE PARTNERSHIP, an Arizona general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SM EASTLAND MALL,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SM VALLEY MALL,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MACERICH PARTNERSHIP, L.P., a Delaware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WESTCOR COMPANY LIMITED PARTNERSHIP, an Arizona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WESTCOR COMPANY II LIMITED PARTNERSHIP, an Arizona limited partnership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TM TRS HOLDING COMPANY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TYSONS CORNER LLC, a Virginia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TYSONS CORNER HOTEL I LLC, a Delaware limited liability company</w:t>
      </w:r>
    </w:p>
    <w:p>
      <w:pPr>
        <w:spacing w:after="0" w:line="124" w:lineRule="exact"/>
        <w:rPr>
          <w:sz w:val="20"/>
          <w:szCs w:val="20"/>
          <w:color w:val="auto"/>
        </w:rPr>
      </w:pPr>
    </w:p>
    <w:p>
      <w:pPr>
        <w:ind w:right="2939"/>
        <w:spacing w:after="0" w:line="369" w:lineRule="auto"/>
        <w:rPr>
          <w:sz w:val="20"/>
          <w:szCs w:val="20"/>
          <w:color w:val="auto"/>
        </w:rPr>
      </w:pPr>
      <w:r>
        <w:rPr>
          <w:rFonts w:ascii="Times New Roman" w:cs="Times New Roman" w:eastAsia="Times New Roman" w:hAnsi="Times New Roman"/>
          <w:sz w:val="19"/>
          <w:szCs w:val="19"/>
          <w:color w:val="auto"/>
        </w:rPr>
        <w:t>TYSONS CORNER PROPERTY HOLDINGS II LLC, a Delaware limited liability company TYSONS CORNER PROPERTY LLC, a Virginia limited liability company</w:t>
      </w:r>
    </w:p>
    <w:p>
      <w:pPr>
        <w:spacing w:after="0"/>
        <w:rPr>
          <w:sz w:val="20"/>
          <w:szCs w:val="20"/>
          <w:color w:val="auto"/>
        </w:rPr>
      </w:pPr>
      <w:r>
        <w:rPr>
          <w:rFonts w:ascii="Times New Roman" w:cs="Times New Roman" w:eastAsia="Times New Roman" w:hAnsi="Times New Roman"/>
          <w:sz w:val="19"/>
          <w:szCs w:val="19"/>
          <w:color w:val="auto"/>
        </w:rPr>
        <w:t>VALLEY STREAM GREEN ACRES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WESTCOR/GOODYEAR, L.L.C., an Arizona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WESTCOR/PARADISE RIDGE, L.L.C., an Arizona limited liability company</w:t>
      </w:r>
    </w:p>
    <w:p>
      <w:pPr>
        <w:sectPr>
          <w:pgSz w:w="11900" w:h="16838" w:orient="portrait"/>
          <w:cols w:equalWidth="0" w:num="1">
            <w:col w:w="10139"/>
          </w:cols>
          <w:pgMar w:left="320" w:top="1434"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color w:val="auto"/>
        </w:rPr>
        <w:t>WESTCOR REALTY LIMITED PARTNERSHIP, a Delaware limited partnership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SANTAN ADJACENT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SANTAN VILLAGE LLC, a Delaware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SURPRISE RSC LLC, an Arizona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SURPRISE RSC II LLC, an Arizona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 SURPRISE WCW LLC, an Arizona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WESTCOR/SURPRISE LLC, an Arizona limited liability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WILTON MALL, LLC, a Delaware limited liability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WMAP, L.L.C., a Delaware limited liability company</w:t>
      </w:r>
    </w:p>
    <w:p>
      <w:pPr>
        <w:sectPr>
          <w:pgSz w:w="11900" w:h="16838" w:orient="portrait"/>
          <w:cols w:equalWidth="0" w:num="1">
            <w:col w:w="10139"/>
          </w:cols>
          <w:pgMar w:left="320" w:top="1434"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06" w:lineRule="exact"/>
        <w:rPr>
          <w:sz w:val="20"/>
          <w:szCs w:val="20"/>
          <w:color w:val="auto"/>
        </w:rPr>
      </w:pPr>
    </w:p>
    <w:p>
      <w:pPr>
        <w:ind w:right="60" w:firstLine="435"/>
        <w:spacing w:after="0" w:line="237" w:lineRule="auto"/>
        <w:rPr>
          <w:sz w:val="20"/>
          <w:szCs w:val="20"/>
          <w:color w:val="auto"/>
        </w:rPr>
      </w:pPr>
      <w:r>
        <w:rPr>
          <w:rFonts w:ascii="Arial" w:cs="Arial" w:eastAsia="Arial" w:hAnsi="Arial"/>
          <w:sz w:val="18"/>
          <w:szCs w:val="18"/>
          <w:color w:val="auto"/>
        </w:rPr>
        <w:t>W</w:t>
      </w:r>
      <w:r>
        <w:rPr>
          <w:rFonts w:ascii="Times New Roman" w:cs="Times New Roman" w:eastAsia="Times New Roman" w:hAnsi="Times New Roman"/>
          <w:sz w:val="18"/>
          <w:szCs w:val="18"/>
          <w:color w:val="auto"/>
        </w:rPr>
        <w:t>e consent to the incorporation by reference in the registration statements (No. 333-273707, 333-107063 and 333-121630) on Form S-3 and (Nos. 333-00584, 333-42309, 333-42303, 333-69995, 333-108193, 333-120585, 333-161371, 333-186915, 333-186916, 333-211816, 333-256832, 333-272464, and 333-270005) on Form S-8 of our reports dated February 26, 2024, with respect to the consolidated financial statements of The Macerich Company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ectPr>
          <w:pgSz w:w="11900" w:h="16838" w:orient="portrait"/>
          <w:cols w:equalWidth="0" w:num="1">
            <w:col w:w="11240"/>
          </w:cols>
          <w:pgMar w:left="320" w:top="1384"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O'Hern, certify that:</w:t>
      </w:r>
    </w:p>
    <w:p>
      <w:pPr>
        <w:spacing w:after="0" w:line="136" w:lineRule="exact"/>
        <w:rPr>
          <w:sz w:val="20"/>
          <w:szCs w:val="20"/>
          <w:color w:val="auto"/>
        </w:rPr>
      </w:pPr>
    </w:p>
    <w:p>
      <w:pPr>
        <w:ind w:left="560" w:hanging="555"/>
        <w:spacing w:after="0"/>
        <w:tabs>
          <w:tab w:leader="none" w:pos="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2023 of The Macerich Company;</w:t>
      </w:r>
    </w:p>
    <w:p>
      <w:pPr>
        <w:spacing w:after="0" w:line="148" w:lineRule="exact"/>
        <w:rPr>
          <w:rFonts w:ascii="Times New Roman" w:cs="Times New Roman" w:eastAsia="Times New Roman" w:hAnsi="Times New Roman"/>
          <w:sz w:val="18"/>
          <w:szCs w:val="18"/>
          <w:color w:val="auto"/>
        </w:rPr>
      </w:pPr>
    </w:p>
    <w:p>
      <w:pPr>
        <w:jc w:val="both"/>
        <w:ind w:left="560" w:right="460" w:hanging="555"/>
        <w:spacing w:after="0" w:line="256" w:lineRule="auto"/>
        <w:tabs>
          <w:tab w:leader="none" w:pos="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8"/>
          <w:szCs w:val="18"/>
          <w:color w:val="auto"/>
        </w:rPr>
      </w:pPr>
    </w:p>
    <w:p>
      <w:pPr>
        <w:ind w:left="560" w:right="440" w:hanging="555"/>
        <w:spacing w:after="0" w:line="269" w:lineRule="auto"/>
        <w:tabs>
          <w:tab w:leader="none" w:pos="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Times New Roman" w:cs="Times New Roman" w:eastAsia="Times New Roman" w:hAnsi="Times New Roman"/>
          <w:sz w:val="18"/>
          <w:szCs w:val="18"/>
          <w:color w:val="auto"/>
        </w:rPr>
      </w:pPr>
    </w:p>
    <w:p>
      <w:pPr>
        <w:ind w:left="560" w:right="60" w:hanging="555"/>
        <w:spacing w:after="0" w:line="256" w:lineRule="auto"/>
        <w:tabs>
          <w:tab w:leader="none" w:pos="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120" w:right="160" w:hanging="561"/>
        <w:spacing w:after="0" w:line="256" w:lineRule="auto"/>
        <w:tabs>
          <w:tab w:leader="none" w:pos="111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8"/>
          <w:szCs w:val="18"/>
          <w:color w:val="auto"/>
        </w:rPr>
      </w:pPr>
    </w:p>
    <w:p>
      <w:pPr>
        <w:ind w:left="1120" w:right="480" w:hanging="561"/>
        <w:spacing w:after="0" w:line="256" w:lineRule="auto"/>
        <w:tabs>
          <w:tab w:leader="none" w:pos="111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Times New Roman" w:cs="Times New Roman" w:eastAsia="Times New Roman" w:hAnsi="Times New Roman"/>
          <w:sz w:val="18"/>
          <w:szCs w:val="18"/>
          <w:color w:val="auto"/>
        </w:rPr>
      </w:pPr>
    </w:p>
    <w:p>
      <w:pPr>
        <w:jc w:val="both"/>
        <w:ind w:left="1120" w:right="640" w:hanging="561"/>
        <w:spacing w:after="0" w:line="332" w:lineRule="auto"/>
        <w:tabs>
          <w:tab w:leader="none" w:pos="1117"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6"/>
          <w:szCs w:val="16"/>
          <w:color w:val="auto"/>
        </w:rPr>
      </w:pPr>
    </w:p>
    <w:p>
      <w:pPr>
        <w:ind w:left="1120" w:right="200" w:hanging="561"/>
        <w:spacing w:after="0" w:line="256" w:lineRule="auto"/>
        <w:tabs>
          <w:tab w:leader="none" w:pos="111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8"/>
          <w:szCs w:val="18"/>
          <w:color w:val="auto"/>
        </w:rPr>
      </w:pPr>
    </w:p>
    <w:p>
      <w:pPr>
        <w:ind w:left="560" w:right="200" w:hanging="555"/>
        <w:spacing w:after="0" w:line="269" w:lineRule="auto"/>
        <w:tabs>
          <w:tab w:leader="none" w:pos="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Times New Roman" w:cs="Times New Roman" w:eastAsia="Times New Roman" w:hAnsi="Times New Roman"/>
          <w:sz w:val="18"/>
          <w:szCs w:val="18"/>
          <w:color w:val="auto"/>
        </w:rPr>
      </w:pPr>
    </w:p>
    <w:p>
      <w:pPr>
        <w:ind w:left="1120" w:right="80" w:hanging="561"/>
        <w:spacing w:after="0" w:line="269" w:lineRule="auto"/>
        <w:tabs>
          <w:tab w:leader="none" w:pos="111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Times New Roman" w:cs="Times New Roman" w:eastAsia="Times New Roman" w:hAnsi="Times New Roman"/>
          <w:sz w:val="18"/>
          <w:szCs w:val="18"/>
          <w:color w:val="auto"/>
        </w:rPr>
      </w:pPr>
    </w:p>
    <w:p>
      <w:pPr>
        <w:ind w:left="1120" w:right="60" w:hanging="561"/>
        <w:spacing w:after="0" w:line="269" w:lineRule="auto"/>
        <w:tabs>
          <w:tab w:leader="none" w:pos="111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13970</wp:posOffset>
            </wp:positionV>
            <wp:extent cx="30784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3078480" cy="8255"/>
                    </a:xfrm>
                    <a:prstGeom prst="rect">
                      <a:avLst/>
                    </a:prstGeom>
                    <a:noFill/>
                  </pic:spPr>
                </pic:pic>
              </a:graphicData>
            </a:graphic>
          </wp:anchor>
        </w:drawing>
      </w:r>
    </w:p>
    <w:p>
      <w:pPr>
        <w:spacing w:after="0" w:line="8" w:lineRule="exact"/>
        <w:rPr>
          <w:sz w:val="20"/>
          <w:szCs w:val="20"/>
          <w:color w:val="auto"/>
        </w:rPr>
      </w:pPr>
    </w:p>
    <w:p>
      <w:pPr>
        <w:ind w:left="440"/>
        <w:spacing w:after="0"/>
        <w:tabs>
          <w:tab w:leader="none" w:pos="1240" w:val="left"/>
          <w:tab w:leader="none" w:pos="5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2024</w:t>
      </w:r>
      <w:r>
        <w:rPr>
          <w:sz w:val="20"/>
          <w:szCs w:val="20"/>
          <w:color w:val="auto"/>
        </w:rPr>
        <w:tab/>
      </w:r>
      <w:r>
        <w:rPr>
          <w:rFonts w:ascii="Times New Roman" w:cs="Times New Roman" w:eastAsia="Times New Roman" w:hAnsi="Times New Roman"/>
          <w:sz w:val="16"/>
          <w:szCs w:val="16"/>
          <w:i w:val="1"/>
          <w:iCs w:val="1"/>
          <w:color w:val="auto"/>
        </w:rPr>
        <w:t>Chief Executive Officer and Director</w:t>
      </w:r>
    </w:p>
    <w:p>
      <w:pPr>
        <w:sectPr>
          <w:pgSz w:w="11900" w:h="16838" w:orient="portrait"/>
          <w:cols w:equalWidth="0" w:num="1">
            <w:col w:w="11240"/>
          </w:cols>
          <w:pgMar w:left="320" w:top="1015"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Kingsmore, certify that:</w:t>
      </w:r>
    </w:p>
    <w:p>
      <w:pPr>
        <w:spacing w:after="0" w:line="136" w:lineRule="exact"/>
        <w:rPr>
          <w:sz w:val="20"/>
          <w:szCs w:val="20"/>
          <w:color w:val="auto"/>
        </w:rPr>
      </w:pPr>
    </w:p>
    <w:p>
      <w:pPr>
        <w:ind w:left="640" w:hanging="635"/>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2023 of The Macerich Company;</w:t>
      </w:r>
    </w:p>
    <w:p>
      <w:pPr>
        <w:spacing w:after="0" w:line="148" w:lineRule="exact"/>
        <w:rPr>
          <w:rFonts w:ascii="Times New Roman" w:cs="Times New Roman" w:eastAsia="Times New Roman" w:hAnsi="Times New Roman"/>
          <w:sz w:val="18"/>
          <w:szCs w:val="18"/>
          <w:color w:val="auto"/>
        </w:rPr>
      </w:pPr>
    </w:p>
    <w:p>
      <w:pPr>
        <w:jc w:val="both"/>
        <w:ind w:left="640" w:right="380" w:hanging="635"/>
        <w:spacing w:after="0" w:line="256"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8"/>
          <w:szCs w:val="18"/>
          <w:color w:val="auto"/>
        </w:rPr>
      </w:pPr>
    </w:p>
    <w:p>
      <w:pPr>
        <w:ind w:left="640" w:right="360" w:hanging="635"/>
        <w:spacing w:after="0" w:line="269"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Times New Roman" w:cs="Times New Roman" w:eastAsia="Times New Roman" w:hAnsi="Times New Roman"/>
          <w:sz w:val="18"/>
          <w:szCs w:val="18"/>
          <w:color w:val="auto"/>
        </w:rPr>
      </w:pPr>
    </w:p>
    <w:p>
      <w:pPr>
        <w:jc w:val="both"/>
        <w:ind w:left="640" w:right="380" w:hanging="635"/>
        <w:spacing w:after="0" w:line="256"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Times New Roman" w:cs="Times New Roman" w:eastAsia="Times New Roman" w:hAnsi="Times New Roman"/>
          <w:sz w:val="18"/>
          <w:szCs w:val="18"/>
          <w:color w:val="auto"/>
        </w:rPr>
      </w:pPr>
    </w:p>
    <w:p>
      <w:pPr>
        <w:ind w:left="1200" w:right="100" w:hanging="562"/>
        <w:spacing w:after="0" w:line="256" w:lineRule="auto"/>
        <w:tabs>
          <w:tab w:leader="none" w:pos="119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8"/>
          <w:szCs w:val="18"/>
          <w:color w:val="auto"/>
        </w:rPr>
      </w:pPr>
    </w:p>
    <w:p>
      <w:pPr>
        <w:ind w:left="1200" w:right="400" w:hanging="562"/>
        <w:spacing w:after="0" w:line="256" w:lineRule="auto"/>
        <w:tabs>
          <w:tab w:leader="none" w:pos="119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1" w:lineRule="exact"/>
        <w:rPr>
          <w:rFonts w:ascii="Times New Roman" w:cs="Times New Roman" w:eastAsia="Times New Roman" w:hAnsi="Times New Roman"/>
          <w:sz w:val="18"/>
          <w:szCs w:val="18"/>
          <w:color w:val="auto"/>
        </w:rPr>
      </w:pPr>
    </w:p>
    <w:p>
      <w:pPr>
        <w:jc w:val="both"/>
        <w:ind w:left="1200" w:right="560" w:hanging="562"/>
        <w:spacing w:after="0" w:line="332" w:lineRule="auto"/>
        <w:tabs>
          <w:tab w:leader="none" w:pos="1197"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6"/>
          <w:szCs w:val="16"/>
          <w:color w:val="auto"/>
        </w:rPr>
      </w:pPr>
    </w:p>
    <w:p>
      <w:pPr>
        <w:ind w:left="1200" w:right="120" w:hanging="562"/>
        <w:spacing w:after="0" w:line="256" w:lineRule="auto"/>
        <w:tabs>
          <w:tab w:leader="none" w:pos="119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Times New Roman" w:cs="Times New Roman" w:eastAsia="Times New Roman" w:hAnsi="Times New Roman"/>
          <w:sz w:val="18"/>
          <w:szCs w:val="18"/>
          <w:color w:val="auto"/>
        </w:rPr>
      </w:pPr>
    </w:p>
    <w:p>
      <w:pPr>
        <w:ind w:left="640" w:right="120" w:hanging="635"/>
        <w:spacing w:after="0" w:line="269"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Times New Roman" w:cs="Times New Roman" w:eastAsia="Times New Roman" w:hAnsi="Times New Roman"/>
          <w:sz w:val="18"/>
          <w:szCs w:val="18"/>
          <w:color w:val="auto"/>
        </w:rPr>
      </w:pPr>
    </w:p>
    <w:p>
      <w:pPr>
        <w:ind w:left="1200" w:right="800" w:hanging="562"/>
        <w:spacing w:after="0" w:line="332" w:lineRule="auto"/>
        <w:tabs>
          <w:tab w:leader="none" w:pos="1197"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6"/>
          <w:szCs w:val="16"/>
          <w:color w:val="auto"/>
        </w:rPr>
      </w:pPr>
    </w:p>
    <w:p>
      <w:pPr>
        <w:ind w:left="1200" w:right="520" w:hanging="562"/>
        <w:spacing w:after="0" w:line="269" w:lineRule="auto"/>
        <w:tabs>
          <w:tab w:leader="none" w:pos="119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13970</wp:posOffset>
            </wp:positionV>
            <wp:extent cx="34880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8" w:lineRule="exact"/>
        <w:rPr>
          <w:sz w:val="20"/>
          <w:szCs w:val="20"/>
          <w:color w:val="auto"/>
        </w:rPr>
      </w:pPr>
    </w:p>
    <w:p>
      <w:pPr>
        <w:ind w:left="380"/>
        <w:spacing w:after="0"/>
        <w:tabs>
          <w:tab w:leader="none" w:pos="1180" w:val="left"/>
          <w:tab w:leader="none" w:pos="5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2024</w:t>
      </w:r>
      <w:r>
        <w:rPr>
          <w:sz w:val="20"/>
          <w:szCs w:val="20"/>
          <w:color w:val="auto"/>
        </w:rPr>
        <w:tab/>
      </w:r>
      <w:r>
        <w:rPr>
          <w:rFonts w:ascii="Times New Roman" w:cs="Times New Roman" w:eastAsia="Times New Roman" w:hAnsi="Times New Roman"/>
          <w:sz w:val="16"/>
          <w:szCs w:val="16"/>
          <w:i w:val="1"/>
          <w:iCs w:val="1"/>
          <w:color w:val="auto"/>
        </w:rPr>
        <w:t>Senior Executive Vice President and Chief Financial Officer</w:t>
      </w:r>
    </w:p>
    <w:p>
      <w:pPr>
        <w:sectPr>
          <w:pgSz w:w="11900" w:h="16838" w:orient="portrait"/>
          <w:cols w:equalWidth="0" w:num="1">
            <w:col w:w="11240"/>
          </w:cols>
          <w:pgMar w:left="320" w:top="1015"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MACERICH COMPANY (The Company)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PURSUANT TO 18 U.S.C. SECTION 1350</w:t>
      </w:r>
    </w:p>
    <w:p>
      <w:pPr>
        <w:spacing w:after="0" w:line="131" w:lineRule="exact"/>
        <w:rPr>
          <w:sz w:val="20"/>
          <w:szCs w:val="20"/>
          <w:color w:val="auto"/>
        </w:rPr>
      </w:pPr>
    </w:p>
    <w:p>
      <w:pPr>
        <w:ind w:right="280" w:firstLine="435"/>
        <w:spacing w:after="0" w:line="269" w:lineRule="auto"/>
        <w:rPr>
          <w:sz w:val="20"/>
          <w:szCs w:val="20"/>
          <w:color w:val="auto"/>
        </w:rPr>
      </w:pPr>
      <w:r>
        <w:rPr>
          <w:rFonts w:ascii="Times New Roman" w:cs="Times New Roman" w:eastAsia="Times New Roman" w:hAnsi="Times New Roman"/>
          <w:sz w:val="18"/>
          <w:szCs w:val="18"/>
          <w:color w:val="auto"/>
        </w:rPr>
        <w:t>The undersigned, Thomas E. O'Hern and Scott W. Kingsmore, the Chief Executive Officer and Chief Financial Officer, respectively, of The Macerich Company (the "Company"), pursuant to 18 U.S.C. §1350, each hereby certify that, to the best of his knowledge:</w:t>
      </w:r>
    </w:p>
    <w:p>
      <w:pPr>
        <w:spacing w:after="0" w:line="102" w:lineRule="exact"/>
        <w:rPr>
          <w:sz w:val="20"/>
          <w:szCs w:val="20"/>
          <w:color w:val="auto"/>
        </w:rPr>
      </w:pPr>
    </w:p>
    <w:p>
      <w:pPr>
        <w:ind w:left="1280" w:right="40" w:hanging="563"/>
        <w:spacing w:after="0" w:line="269" w:lineRule="auto"/>
        <w:tabs>
          <w:tab w:leader="none" w:pos="12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2023 of the Company (the "Report") fully complies with the requirements of Section 13(a) and 15(d) of the Securities Exchange Act of 1934; and</w:t>
      </w:r>
    </w:p>
    <w:p>
      <w:pPr>
        <w:spacing w:after="0" w:line="89" w:lineRule="exact"/>
        <w:rPr>
          <w:rFonts w:ascii="Times New Roman" w:cs="Times New Roman" w:eastAsia="Times New Roman" w:hAnsi="Times New Roman"/>
          <w:sz w:val="18"/>
          <w:szCs w:val="18"/>
          <w:color w:val="auto"/>
        </w:rPr>
      </w:pPr>
    </w:p>
    <w:p>
      <w:pPr>
        <w:ind w:left="1280" w:right="600" w:hanging="563"/>
        <w:spacing w:after="0" w:line="269" w:lineRule="auto"/>
        <w:tabs>
          <w:tab w:leader="none" w:pos="127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2024</w:t>
      </w:r>
    </w:p>
    <w:p>
      <w:pPr>
        <w:spacing w:after="0" w:line="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13970</wp:posOffset>
            </wp:positionV>
            <wp:extent cx="35801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3580130" cy="8255"/>
                    </a:xfrm>
                    <a:prstGeom prst="rect">
                      <a:avLst/>
                    </a:prstGeom>
                    <a:noFill/>
                  </pic:spPr>
                </pic:pic>
              </a:graphicData>
            </a:graphic>
          </wp:anchor>
        </w:drawing>
      </w:r>
    </w:p>
    <w:p>
      <w:pPr>
        <w:spacing w:after="0" w:line="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13970</wp:posOffset>
            </wp:positionV>
            <wp:extent cx="35801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3580130" cy="8255"/>
                    </a:xfrm>
                    <a:prstGeom prst="rect">
                      <a:avLst/>
                    </a:prstGeom>
                    <a:noFill/>
                  </pic:spPr>
                </pic:pic>
              </a:graphicData>
            </a:graphic>
          </wp:anchor>
        </w:drawing>
      </w:r>
    </w:p>
    <w:p>
      <w:pPr>
        <w:spacing w:after="0" w:line="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Senior Executive Vice President and Chief Financial Officer</w:t>
      </w:r>
    </w:p>
    <w:p>
      <w:pPr>
        <w:sectPr>
          <w:pgSz w:w="11900" w:h="16838" w:orient="portrait"/>
          <w:cols w:equalWidth="0" w:num="1">
            <w:col w:w="11240"/>
          </w:cols>
          <w:pgMar w:left="320" w:top="1015" w:right="339" w:bottom="1440" w:gutter="0" w:footer="0" w:header="0"/>
        </w:sectPr>
      </w:pPr>
    </w:p>
    <w:bookmarkStart w:id="126" w:name="page127"/>
    <w:bookmarkEnd w:id="126"/>
    <w:p>
      <w:pPr>
        <w:spacing w:after="0" w:line="123" w:lineRule="exact"/>
        <w:rPr>
          <w:sz w:val="20"/>
          <w:szCs w:val="20"/>
          <w:color w:val="auto"/>
        </w:rPr>
      </w:pPr>
    </w:p>
    <w:p>
      <w:pPr>
        <w:ind w:left="5540"/>
        <w:spacing w:after="0"/>
        <w:rPr>
          <w:sz w:val="20"/>
          <w:szCs w:val="20"/>
          <w:color w:val="auto"/>
        </w:rPr>
      </w:pPr>
      <w:r>
        <w:rPr>
          <w:rFonts w:ascii="Calibri" w:cs="Calibri" w:eastAsia="Calibri" w:hAnsi="Calibri"/>
          <w:sz w:val="19"/>
          <w:szCs w:val="19"/>
          <w:b w:val="1"/>
          <w:bCs w:val="1"/>
          <w:color w:val="auto"/>
        </w:rPr>
        <w:t>Exhibit 97</w:t>
      </w:r>
    </w:p>
    <w:p>
      <w:pPr>
        <w:spacing w:after="0" w:line="2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b w:val="1"/>
          <w:bCs w:val="1"/>
          <w:color w:val="auto"/>
        </w:rPr>
        <w:t>THE MACERICH COMPANY</w:t>
      </w:r>
    </w:p>
    <w:p>
      <w:pPr>
        <w:spacing w:after="0" w:line="22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COMPENSATION RECOVERY POLICY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Adopted as of October 26, 2023</w:t>
      </w:r>
    </w:p>
    <w:p>
      <w:pPr>
        <w:spacing w:after="0" w:line="184"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21"/>
          <w:szCs w:val="21"/>
          <w:color w:val="auto"/>
        </w:rPr>
        <w:t>The Macerich Company, a Maryland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adopted a Compensation Recovery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as described below. This Policy is an amendment and restatement of the Company’s Policy Regarding the Recoupment of Certain Performance-Based Compensation Payments, and such prior version of the Policy as in effect prior to the Effective Date (as defined below) shall continue in effect with respect to compensation subject to the terms of such prior version of the Policy that is not subject to the terms of the Policy as amended and restated.</w:t>
      </w:r>
    </w:p>
    <w:p>
      <w:pPr>
        <w:spacing w:after="0" w:line="144" w:lineRule="exact"/>
        <w:rPr>
          <w:sz w:val="20"/>
          <w:szCs w:val="20"/>
          <w:color w:val="auto"/>
        </w:rPr>
      </w:pPr>
    </w:p>
    <w:p>
      <w:pPr>
        <w:ind w:left="380" w:hanging="375"/>
        <w:spacing w:after="0"/>
        <w:tabs>
          <w:tab w:leader="none" w:pos="38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Overview</w:t>
      </w:r>
    </w:p>
    <w:p>
      <w:pPr>
        <w:spacing w:after="0" w:line="18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1"/>
          <w:szCs w:val="21"/>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under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xml:space="preserve">”), and the New York Stock Exchange. Capitalized terms used and not otherwise defined herein shall have the meanings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below.</w:t>
      </w:r>
    </w:p>
    <w:p>
      <w:pPr>
        <w:spacing w:after="0" w:line="144" w:lineRule="exact"/>
        <w:rPr>
          <w:sz w:val="20"/>
          <w:szCs w:val="20"/>
          <w:color w:val="auto"/>
        </w:rPr>
      </w:pPr>
    </w:p>
    <w:p>
      <w:pPr>
        <w:ind w:left="380" w:hanging="375"/>
        <w:spacing w:after="0"/>
        <w:tabs>
          <w:tab w:leader="none" w:pos="380"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 Recovery Requirement</w:t>
      </w:r>
    </w:p>
    <w:p>
      <w:pPr>
        <w:spacing w:after="0" w:line="184"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21"/>
          <w:szCs w:val="21"/>
          <w:color w:val="auto"/>
        </w:rPr>
        <w:t>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p>
    <w:p>
      <w:pPr>
        <w:spacing w:after="0" w:line="142" w:lineRule="exact"/>
        <w:rPr>
          <w:sz w:val="20"/>
          <w:szCs w:val="20"/>
          <w:color w:val="auto"/>
        </w:rPr>
      </w:pPr>
    </w:p>
    <w:p>
      <w:pPr>
        <w:ind w:left="380" w:hanging="375"/>
        <w:spacing w:after="0"/>
        <w:tabs>
          <w:tab w:leader="none" w:pos="38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184" w:lineRule="exact"/>
        <w:rPr>
          <w:rFonts w:ascii="Times New Roman" w:cs="Times New Roman" w:eastAsia="Times New Roman" w:hAnsi="Times New Roman"/>
          <w:sz w:val="21"/>
          <w:szCs w:val="21"/>
          <w:b w:val="1"/>
          <w:bCs w:val="1"/>
          <w:color w:val="auto"/>
        </w:rPr>
      </w:pPr>
    </w:p>
    <w:p>
      <w:pPr>
        <w:ind w:left="960" w:right="140" w:hanging="322"/>
        <w:spacing w:after="0" w:line="222" w:lineRule="auto"/>
        <w:tabs>
          <w:tab w:leader="none" w:pos="94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Recovery Period</w:t>
      </w:r>
      <w:r>
        <w:rPr>
          <w:rFonts w:ascii="Times New Roman" w:cs="Times New Roman" w:eastAsia="Times New Roman" w:hAnsi="Times New Roman"/>
          <w:sz w:val="21"/>
          <w:szCs w:val="21"/>
          <w:color w:val="auto"/>
        </w:rPr>
        <w:t>” 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47" w:lineRule="exact"/>
        <w:rPr>
          <w:rFonts w:ascii="Times New Roman" w:cs="Times New Roman" w:eastAsia="Times New Roman" w:hAnsi="Times New Roman"/>
          <w:sz w:val="21"/>
          <w:szCs w:val="21"/>
          <w:color w:val="auto"/>
        </w:rPr>
      </w:pPr>
    </w:p>
    <w:p>
      <w:pPr>
        <w:ind w:left="960" w:right="60" w:hanging="322"/>
        <w:spacing w:after="0" w:line="243" w:lineRule="auto"/>
        <w:tabs>
          <w:tab w:leader="none" w:pos="96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Rules</w:t>
      </w:r>
      <w:r>
        <w:rPr>
          <w:rFonts w:ascii="Times New Roman" w:cs="Times New Roman" w:eastAsia="Times New Roman" w:hAnsi="Times New Roman"/>
          <w:sz w:val="21"/>
          <w:szCs w:val="21"/>
          <w:color w:val="auto"/>
        </w:rPr>
        <w:t>” means any rules or regulations adopted by the Exchange pursuant to Rule 10D-1 under the Exchange Act and any applicable rules or regulations adopted by the SEC pursuant to Section 10D of the Exchange Act.</w:t>
      </w:r>
    </w:p>
    <w:p>
      <w:pPr>
        <w:spacing w:after="0" w:line="143"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80" w:lineRule="exact"/>
        <w:rPr>
          <w:sz w:val="20"/>
          <w:szCs w:val="20"/>
          <w:color w:val="auto"/>
        </w:rPr>
      </w:pPr>
    </w:p>
    <w:p>
      <w:pPr>
        <w:ind w:left="960" w:right="560" w:hanging="322"/>
        <w:spacing w:after="0" w:line="243" w:lineRule="auto"/>
        <w:tabs>
          <w:tab w:leader="none" w:pos="94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the Compensation Committee of the Board or, in the absence of such committee, a majority of independent directors serving on the Board.</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95" w:lineRule="exact"/>
        <w:rPr>
          <w:sz w:val="20"/>
          <w:szCs w:val="20"/>
          <w:color w:val="auto"/>
        </w:rPr>
      </w:pPr>
    </w:p>
    <w:p>
      <w:pPr>
        <w:ind w:left="322" w:hanging="322"/>
        <w:spacing w:after="0" w:line="217" w:lineRule="auto"/>
        <w:tabs>
          <w:tab w:leader="none" w:pos="32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Covered Person</w:t>
      </w:r>
      <w:r>
        <w:rPr>
          <w:rFonts w:ascii="Times New Roman" w:cs="Times New Roman" w:eastAsia="Times New Roman" w:hAnsi="Times New Roman"/>
          <w:sz w:val="21"/>
          <w:szCs w:val="21"/>
          <w:color w:val="auto"/>
        </w:rPr>
        <w:t xml:space="preserve"> 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50" w:lineRule="exact"/>
        <w:rPr>
          <w:rFonts w:ascii="Times New Roman" w:cs="Times New Roman" w:eastAsia="Times New Roman" w:hAnsi="Times New Roman"/>
          <w:sz w:val="21"/>
          <w:szCs w:val="21"/>
          <w:color w:val="auto"/>
        </w:rPr>
      </w:pPr>
    </w:p>
    <w:p>
      <w:pPr>
        <w:ind w:left="302" w:hanging="302"/>
        <w:spacing w:after="0"/>
        <w:tabs>
          <w:tab w:leader="none" w:pos="30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October 2, 2023.</w:t>
      </w:r>
    </w:p>
    <w:p>
      <w:pPr>
        <w:spacing w:after="0" w:line="180" w:lineRule="exact"/>
        <w:rPr>
          <w:rFonts w:ascii="Times New Roman" w:cs="Times New Roman" w:eastAsia="Times New Roman" w:hAnsi="Times New Roman"/>
          <w:sz w:val="21"/>
          <w:szCs w:val="21"/>
          <w:color w:val="auto"/>
        </w:rPr>
      </w:pPr>
    </w:p>
    <w:p>
      <w:pPr>
        <w:ind w:left="322" w:right="60" w:hanging="322"/>
        <w:spacing w:after="0" w:line="214" w:lineRule="auto"/>
        <w:tabs>
          <w:tab w:leader="none" w:pos="32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means, with respect to a Material Financial Restatement,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Any such Erroneously Awarded Compensation will be determined by the Committee based on information provided to the Committee by the Audit Committee of the Board.</w:t>
      </w:r>
    </w:p>
    <w:p>
      <w:pPr>
        <w:spacing w:after="0" w:line="156" w:lineRule="exact"/>
        <w:rPr>
          <w:rFonts w:ascii="Times New Roman" w:cs="Times New Roman" w:eastAsia="Times New Roman" w:hAnsi="Times New Roman"/>
          <w:sz w:val="21"/>
          <w:szCs w:val="21"/>
          <w:color w:val="auto"/>
        </w:rPr>
      </w:pPr>
    </w:p>
    <w:p>
      <w:pPr>
        <w:ind w:left="302" w:hanging="302"/>
        <w:spacing w:after="0"/>
        <w:tabs>
          <w:tab w:leader="none" w:pos="30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w:t>
      </w:r>
      <w:r>
        <w:rPr>
          <w:rFonts w:ascii="Times New Roman" w:cs="Times New Roman" w:eastAsia="Times New Roman" w:hAnsi="Times New Roman"/>
          <w:sz w:val="21"/>
          <w:szCs w:val="21"/>
          <w:color w:val="auto"/>
        </w:rPr>
        <w:t>” means the New York Stock Exchange.</w:t>
      </w:r>
    </w:p>
    <w:p>
      <w:pPr>
        <w:spacing w:after="0" w:line="180" w:lineRule="exact"/>
        <w:rPr>
          <w:rFonts w:ascii="Times New Roman" w:cs="Times New Roman" w:eastAsia="Times New Roman" w:hAnsi="Times New Roman"/>
          <w:sz w:val="21"/>
          <w:szCs w:val="21"/>
          <w:color w:val="auto"/>
        </w:rPr>
      </w:pPr>
    </w:p>
    <w:p>
      <w:pPr>
        <w:ind w:left="322" w:right="60" w:hanging="322"/>
        <w:spacing w:after="0" w:line="216" w:lineRule="auto"/>
        <w:tabs>
          <w:tab w:leader="none" w:pos="31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151" w:lineRule="exact"/>
        <w:rPr>
          <w:rFonts w:ascii="Times New Roman" w:cs="Times New Roman" w:eastAsia="Times New Roman" w:hAnsi="Times New Roman"/>
          <w:sz w:val="21"/>
          <w:szCs w:val="21"/>
          <w:color w:val="auto"/>
        </w:rPr>
      </w:pPr>
    </w:p>
    <w:p>
      <w:pPr>
        <w:jc w:val="both"/>
        <w:ind w:left="322" w:right="340" w:hanging="322"/>
        <w:spacing w:after="0" w:line="231" w:lineRule="auto"/>
        <w:tabs>
          <w:tab w:leader="none" w:pos="32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343" w:lineRule="exact"/>
        <w:rPr>
          <w:sz w:val="20"/>
          <w:szCs w:val="20"/>
          <w:color w:val="auto"/>
        </w:rPr>
      </w:pPr>
    </w:p>
    <w:p>
      <w:pPr>
        <w:ind w:left="4942"/>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602"/>
          </w:cols>
          <w:pgMar w:left="958" w:top="1440" w:right="339" w:bottom="1440" w:gutter="0" w:footer="0" w:header="0"/>
        </w:sectPr>
      </w:pPr>
    </w:p>
    <w:bookmarkStart w:id="128" w:name="page129"/>
    <w:bookmarkEnd w:id="128"/>
    <w:p>
      <w:pPr>
        <w:spacing w:after="0" w:line="95" w:lineRule="exact"/>
        <w:rPr>
          <w:sz w:val="20"/>
          <w:szCs w:val="20"/>
          <w:color w:val="auto"/>
        </w:rPr>
      </w:pPr>
    </w:p>
    <w:p>
      <w:pPr>
        <w:ind w:left="960" w:right="100" w:hanging="322"/>
        <w:spacing w:after="0" w:line="225" w:lineRule="auto"/>
        <w:tabs>
          <w:tab w:leader="none" w:pos="96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p>
      <w:pPr>
        <w:spacing w:after="0" w:line="148" w:lineRule="exact"/>
        <w:rPr>
          <w:rFonts w:ascii="Times New Roman" w:cs="Times New Roman" w:eastAsia="Times New Roman" w:hAnsi="Times New Roman"/>
          <w:sz w:val="21"/>
          <w:szCs w:val="21"/>
          <w:color w:val="auto"/>
        </w:rPr>
      </w:pPr>
    </w:p>
    <w:p>
      <w:pPr>
        <w:ind w:left="960" w:right="140" w:hanging="322"/>
        <w:spacing w:after="0" w:line="222" w:lineRule="auto"/>
        <w:tabs>
          <w:tab w:leader="none" w:pos="952"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t>
      </w:r>
      <w:r>
        <w:rPr>
          <w:rFonts w:ascii="Times New Roman" w:cs="Times New Roman" w:eastAsia="Times New Roman" w:hAnsi="Times New Roman"/>
          <w:sz w:val="21"/>
          <w:szCs w:val="21"/>
          <w:u w:val="single" w:color="auto"/>
          <w:color w:val="auto"/>
        </w:rPr>
        <w:t>Material Financial Restatement</w:t>
      </w:r>
      <w:r>
        <w:rPr>
          <w:rFonts w:ascii="Times New Roman" w:cs="Times New Roman" w:eastAsia="Times New Roman" w:hAnsi="Times New Roman"/>
          <w:sz w:val="21"/>
          <w:szCs w:val="21"/>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47" w:lineRule="exact"/>
        <w:rPr>
          <w:rFonts w:ascii="Times New Roman" w:cs="Times New Roman" w:eastAsia="Times New Roman" w:hAnsi="Times New Roman"/>
          <w:sz w:val="21"/>
          <w:szCs w:val="21"/>
          <w:color w:val="auto"/>
        </w:rPr>
      </w:pPr>
    </w:p>
    <w:p>
      <w:pPr>
        <w:ind w:left="960" w:hanging="322"/>
        <w:spacing w:after="0" w:line="225" w:lineRule="auto"/>
        <w:tabs>
          <w:tab w:leader="none" w:pos="952"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Restatement Date</w:t>
      </w:r>
      <w:r>
        <w:rPr>
          <w:rFonts w:ascii="Times New Roman" w:cs="Times New Roman" w:eastAsia="Times New Roman" w:hAnsi="Times New Roman"/>
          <w:sz w:val="21"/>
          <w:szCs w:val="21"/>
          <w:color w:val="auto"/>
        </w:rPr>
        <w:t>” means, with respect to a Material Financial Restatement, the earlier to occur of: (i) the date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44" w:lineRule="exact"/>
        <w:rPr>
          <w:rFonts w:ascii="Times New Roman" w:cs="Times New Roman" w:eastAsia="Times New Roman" w:hAnsi="Times New Roman"/>
          <w:sz w:val="21"/>
          <w:szCs w:val="21"/>
          <w:color w:val="auto"/>
        </w:rPr>
      </w:pPr>
    </w:p>
    <w:p>
      <w:pPr>
        <w:ind w:left="380" w:hanging="375"/>
        <w:spacing w:after="0"/>
        <w:tabs>
          <w:tab w:leader="none" w:pos="38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Exception to Compensation Recovery Requirement</w:t>
      </w:r>
    </w:p>
    <w:p>
      <w:pPr>
        <w:spacing w:after="0" w:line="18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1"/>
          <w:szCs w:val="21"/>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4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1"/>
          <w:szCs w:val="21"/>
          <w:b w:val="1"/>
          <w:bCs w:val="1"/>
          <w:color w:val="auto"/>
        </w:rPr>
        <w:t>5.</w:t>
      </w:r>
      <w:r>
        <w:rPr>
          <w:sz w:val="20"/>
          <w:szCs w:val="20"/>
          <w:color w:val="auto"/>
        </w:rPr>
        <w:tab/>
      </w:r>
      <w:r>
        <w:rPr>
          <w:rFonts w:ascii="Times New Roman" w:cs="Times New Roman" w:eastAsia="Times New Roman" w:hAnsi="Times New Roman"/>
          <w:sz w:val="20"/>
          <w:szCs w:val="20"/>
          <w:b w:val="1"/>
          <w:bCs w:val="1"/>
          <w:color w:val="auto"/>
        </w:rPr>
        <w:t>Tax Considerations</w:t>
      </w:r>
    </w:p>
    <w:p>
      <w:pPr>
        <w:spacing w:after="0" w:line="184"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21"/>
          <w:szCs w:val="21"/>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42" w:lineRule="exact"/>
        <w:rPr>
          <w:sz w:val="20"/>
          <w:szCs w:val="20"/>
          <w:color w:val="auto"/>
        </w:rPr>
      </w:pPr>
    </w:p>
    <w:p>
      <w:pPr>
        <w:ind w:left="380" w:hanging="375"/>
        <w:spacing w:after="0"/>
        <w:tabs>
          <w:tab w:leader="none" w:pos="380"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Method of Compensation Recovery</w:t>
      </w:r>
    </w:p>
    <w:p>
      <w:pPr>
        <w:spacing w:after="0" w:line="184"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21"/>
          <w:szCs w:val="21"/>
          <w:color w:val="auto"/>
        </w:rPr>
        <w:t>The Committee shall determine, in its sole discretion, the method for recovering Erroneously Awarded Compensation hereunder, which may include, without limitation, any one or more of the following:</w:t>
      </w:r>
    </w:p>
    <w:p>
      <w:pPr>
        <w:spacing w:after="0" w:line="143" w:lineRule="exact"/>
        <w:rPr>
          <w:sz w:val="20"/>
          <w:szCs w:val="20"/>
          <w:color w:val="auto"/>
        </w:rPr>
      </w:pPr>
    </w:p>
    <w:p>
      <w:pPr>
        <w:ind w:left="1260" w:hanging="306"/>
        <w:spacing w:after="0"/>
        <w:tabs>
          <w:tab w:leader="none" w:pos="12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reimbursement of cash Incentive-Based Compensation previously paid;</w:t>
      </w:r>
    </w:p>
    <w:p>
      <w:pPr>
        <w:spacing w:after="0" w:line="180" w:lineRule="exact"/>
        <w:rPr>
          <w:rFonts w:ascii="Times New Roman" w:cs="Times New Roman" w:eastAsia="Times New Roman" w:hAnsi="Times New Roman"/>
          <w:sz w:val="21"/>
          <w:szCs w:val="21"/>
          <w:color w:val="auto"/>
        </w:rPr>
      </w:pPr>
    </w:p>
    <w:p>
      <w:pPr>
        <w:ind w:left="1280" w:right="360" w:hanging="326"/>
        <w:spacing w:after="0" w:line="243" w:lineRule="auto"/>
        <w:tabs>
          <w:tab w:leader="none" w:pos="1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w:t>
      </w:r>
    </w:p>
    <w:p>
      <w:pPr>
        <w:spacing w:after="0" w:line="143" w:lineRule="exact"/>
        <w:rPr>
          <w:rFonts w:ascii="Times New Roman" w:cs="Times New Roman" w:eastAsia="Times New Roman" w:hAnsi="Times New Roman"/>
          <w:sz w:val="21"/>
          <w:szCs w:val="21"/>
          <w:color w:val="auto"/>
        </w:rPr>
      </w:pPr>
    </w:p>
    <w:p>
      <w:pPr>
        <w:ind w:left="1260" w:hanging="306"/>
        <w:spacing w:after="0"/>
        <w:tabs>
          <w:tab w:leader="none" w:pos="126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or rescinding some or all outstanding vested or unvested equity-based awards;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95" w:lineRule="exact"/>
        <w:rPr>
          <w:sz w:val="20"/>
          <w:szCs w:val="20"/>
          <w:color w:val="auto"/>
        </w:rPr>
      </w:pPr>
    </w:p>
    <w:p>
      <w:pPr>
        <w:ind w:left="1280" w:hanging="326"/>
        <w:spacing w:after="0"/>
        <w:tabs>
          <w:tab w:leader="none" w:pos="12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adjusting or withholding from unpaid compensation or other set-off;</w:t>
      </w:r>
    </w:p>
    <w:p>
      <w:pPr>
        <w:spacing w:after="0" w:line="180" w:lineRule="exact"/>
        <w:rPr>
          <w:rFonts w:ascii="Times New Roman" w:cs="Times New Roman" w:eastAsia="Times New Roman" w:hAnsi="Times New Roman"/>
          <w:sz w:val="21"/>
          <w:szCs w:val="21"/>
          <w:color w:val="auto"/>
        </w:rPr>
      </w:pPr>
    </w:p>
    <w:p>
      <w:pPr>
        <w:ind w:left="1260" w:hanging="306"/>
        <w:spacing w:after="0"/>
        <w:tabs>
          <w:tab w:leader="none" w:pos="12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or offsetting against planned future grants of equity-based awards; and/or</w:t>
      </w:r>
    </w:p>
    <w:p>
      <w:pPr>
        <w:spacing w:after="0" w:line="180" w:lineRule="exact"/>
        <w:rPr>
          <w:rFonts w:ascii="Times New Roman" w:cs="Times New Roman" w:eastAsia="Times New Roman" w:hAnsi="Times New Roman"/>
          <w:sz w:val="21"/>
          <w:szCs w:val="21"/>
          <w:color w:val="auto"/>
        </w:rPr>
      </w:pPr>
    </w:p>
    <w:p>
      <w:pPr>
        <w:ind w:left="1260" w:hanging="306"/>
        <w:spacing w:after="0"/>
        <w:tabs>
          <w:tab w:leader="none" w:pos="12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method permitted by applicable law or contract.</w:t>
      </w:r>
    </w:p>
    <w:p>
      <w:pPr>
        <w:spacing w:after="0" w:line="180"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21"/>
          <w:szCs w:val="21"/>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44" w:lineRule="exact"/>
        <w:rPr>
          <w:sz w:val="20"/>
          <w:szCs w:val="20"/>
          <w:color w:val="auto"/>
        </w:rPr>
      </w:pPr>
    </w:p>
    <w:p>
      <w:pPr>
        <w:ind w:left="420" w:hanging="415"/>
        <w:spacing w:after="0"/>
        <w:tabs>
          <w:tab w:leader="none" w:pos="420"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 Interpretation</w:t>
      </w:r>
    </w:p>
    <w:p>
      <w:pPr>
        <w:spacing w:after="0" w:line="184"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1"/>
          <w:szCs w:val="21"/>
          <w:color w:val="auto"/>
        </w:rPr>
        <w:t>This Policy shall be interpreted in a manner that is consistent with the Applicable Rules and any other applicable law and shall otherwise be interpreted (including in the determination of amounts recoverable) in the business judgment of the Committee.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spacing w:after="0" w:line="147" w:lineRule="exact"/>
        <w:rPr>
          <w:sz w:val="20"/>
          <w:szCs w:val="20"/>
          <w:color w:val="auto"/>
        </w:rPr>
      </w:pPr>
    </w:p>
    <w:p>
      <w:pPr>
        <w:ind w:left="380" w:hanging="375"/>
        <w:spacing w:after="0"/>
        <w:tabs>
          <w:tab w:leader="none" w:pos="38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 Administration</w:t>
      </w:r>
    </w:p>
    <w:p>
      <w:pPr>
        <w:spacing w:after="0" w:line="184"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1"/>
          <w:szCs w:val="21"/>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 Notwithstanding the foregoing, the Committee will recommend to the Board any potential actions impacting the compensation of the Company’s Chief Executive Officer under this Policy and the non-interested members of the Board will make all final determinations under this Policy impacting the compensation of the Company’s Chief Executive Officer.</w:t>
      </w:r>
    </w:p>
    <w:p>
      <w:pPr>
        <w:spacing w:after="0" w:line="151" w:lineRule="exact"/>
        <w:rPr>
          <w:sz w:val="20"/>
          <w:szCs w:val="20"/>
          <w:color w:val="auto"/>
        </w:rPr>
      </w:pPr>
    </w:p>
    <w:p>
      <w:pPr>
        <w:ind w:left="380" w:hanging="375"/>
        <w:spacing w:after="0"/>
        <w:tabs>
          <w:tab w:leader="none" w:pos="380" w:val="left"/>
        </w:tabs>
        <w:numPr>
          <w:ilvl w:val="0"/>
          <w:numId w:val="7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 Recovery Repayments not Subject to Indemnification</w:t>
      </w:r>
    </w:p>
    <w:p>
      <w:pPr>
        <w:spacing w:after="0" w:line="184"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21"/>
          <w:szCs w:val="21"/>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endash "/>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2"/>
    </w:lvl>
  </w:abstractNum>
  <w:abstractNum w:abstractNumId="22">
    <w:nsid w:val="684A481A"/>
    <w:multiLevelType w:val="hybridMultilevel"/>
    <w:lvl w:ilvl="0">
      <w:lvlJc w:val="left"/>
      <w:lvlText w:val="(%1)"/>
      <w:numFmt w:val="decimal"/>
    </w:lvl>
    <w:lvl w:ilvl="1">
      <w:lvlJc w:val="left"/>
      <w:lvlText w:val="$"/>
      <w:numFmt w:val="bullet"/>
      <w:start w:val="1"/>
    </w:lvl>
  </w:abstractNum>
  <w:abstractNum w:abstractNumId="23">
    <w:nsid w:val="579478FE"/>
    <w:multiLevelType w:val="hybridMultilevel"/>
    <w:lvl w:ilvl="0">
      <w:lvlJc w:val="left"/>
      <w:lvlText w:val="(%1)"/>
      <w:numFmt w:val="decimal"/>
      <w:start w:val="2"/>
    </w:lvl>
  </w:abstractNum>
  <w:abstractNum w:abstractNumId="24">
    <w:nsid w:val="749ABB43"/>
    <w:multiLevelType w:val="hybridMultilevel"/>
    <w:lvl w:ilvl="0">
      <w:lvlJc w:val="left"/>
      <w:lvlText w:val="(%1)"/>
      <w:numFmt w:val="decimal"/>
      <w:start w:val="7"/>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endash "/>
      <w:numFmt w:val="bullet"/>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1."/>
      <w:numFmt w:val="decimal"/>
      <w:start w:val="2"/>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lowerRoman"/>
      <w:start w:val="2"/>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2"/>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0"/>
    </w:lvl>
    <w:lvl w:ilvl="1">
      <w:lvlJc w:val="left"/>
      <w:lvlText w:val="(%2)"/>
      <w:numFmt w:val="decimal"/>
      <w:start w:val="9"/>
    </w:lvl>
  </w:abstractNum>
  <w:abstractNum w:abstractNumId="45">
    <w:nsid w:val="D34B6A8"/>
    <w:multiLevelType w:val="hybridMultilevel"/>
    <w:lvl w:ilvl="0">
      <w:lvlJc w:val="left"/>
      <w:lvlText w:val="%1."/>
      <w:numFmt w:val="decimal"/>
      <w:start w:val="14"/>
    </w:lvl>
  </w:abstractNum>
  <w:abstractNum w:abstractNumId="46">
    <w:nsid w:val="10233C99"/>
    <w:multiLevelType w:val="hybridMultilevel"/>
    <w:lvl w:ilvl="0">
      <w:lvlJc w:val="left"/>
      <w:lvlText w:val="%1."/>
      <w:numFmt w:val="decimal"/>
      <w:start w:val="15"/>
    </w:lvl>
  </w:abstractNum>
  <w:abstractNum w:abstractNumId="47">
    <w:nsid w:val="3F6AB60F"/>
    <w:multiLevelType w:val="hybridMultilevel"/>
    <w:lvl w:ilvl="0">
      <w:lvlJc w:val="left"/>
      <w:lvlText w:val="%1."/>
      <w:numFmt w:val="decimal"/>
      <w:start w:val="19"/>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
      <w:numFmt w:val="bullet"/>
      <w:start w:val="1"/>
    </w:lvl>
    <w:lvl w:ilvl="1">
      <w:lvlJc w:val="left"/>
      <w:lvlText w:val="%2"/>
      <w:numFmt w:val="decimal"/>
      <w:start w:val="104"/>
    </w:lvl>
  </w:abstractNum>
  <w:abstractNum w:abstractNumId="50">
    <w:nsid w:val="77AE35EB"/>
    <w:multiLevelType w:val="hybridMultilevel"/>
    <w:lvl w:ilvl="0">
      <w:lvlJc w:val="left"/>
      <w:lvlText w:val="**"/>
      <w:numFmt w:val="bullet"/>
      <w:start w:val="1"/>
    </w:lvl>
    <w:lvl w:ilvl="1">
      <w:lvlJc w:val="left"/>
      <w:lvlText w:val="%2"/>
      <w:numFmt w:val="decimal"/>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1)"/>
      <w:numFmt w:val="lowerRoman"/>
      <w:start w:val="2"/>
    </w:lvl>
  </w:abstractNum>
  <w:abstractNum w:abstractNumId="59">
    <w:nsid w:val="1381823A"/>
    <w:multiLevelType w:val="hybridMultilevel"/>
    <w:lvl w:ilvl="0">
      <w:lvlJc w:val="left"/>
      <w:lvlText w:val="%1."/>
      <w:numFmt w:val="decimal"/>
      <w:start w:val="1"/>
    </w:lvl>
    <w:lvl w:ilvl="1">
      <w:lvlJc w:val="left"/>
      <w:lvlText w:val="(%2)"/>
      <w:numFmt w:val="lowerLetter"/>
      <w:start w:val="1"/>
    </w:lvl>
  </w:abstractNum>
  <w:abstractNum w:abstractNumId="60">
    <w:nsid w:val="5DB70AE5"/>
    <w:multiLevelType w:val="hybridMultilevel"/>
    <w:lvl w:ilvl="0">
      <w:lvlJc w:val="left"/>
      <w:lvlText w:val="%1."/>
      <w:numFmt w:val="decimal"/>
      <w:start w:val="1"/>
    </w:lvl>
    <w:lvl w:ilvl="1">
      <w:lvlJc w:val="left"/>
      <w:lvlText w:val="(%2)"/>
      <w:numFmt w:val="lowerLetter"/>
      <w:start w:val="1"/>
    </w:lvl>
  </w:abstractNum>
  <w:abstractNum w:abstractNumId="61">
    <w:nsid w:val="100F8FCA"/>
    <w:multiLevelType w:val="hybridMultilevel"/>
    <w:lvl w:ilvl="0">
      <w:lvlJc w:val="left"/>
      <w:lvlText w:val="(%1)"/>
      <w:numFmt w:val="lowerRoman"/>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2"/>
    </w:lvl>
  </w:abstractNum>
  <w:abstractNum w:abstractNumId="64">
    <w:nsid w:val="5F5E7FD0"/>
    <w:multiLevelType w:val="hybridMultilevel"/>
    <w:lvl w:ilvl="0">
      <w:lvlJc w:val="left"/>
      <w:lvlText w:val="%1."/>
      <w:numFmt w:val="decimal"/>
      <w:start w:val="3"/>
    </w:lvl>
    <w:lvl w:ilvl="1">
      <w:lvlJc w:val="left"/>
      <w:lvlText w:val="%2."/>
      <w:numFmt w:val="lowerLetter"/>
      <w:start w:val="1"/>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lowerLetter"/>
      <w:start w:val="2"/>
    </w:lvl>
  </w:abstractNum>
  <w:abstractNum w:abstractNumId="67">
    <w:nsid w:val="6B94764"/>
    <w:multiLevelType w:val="hybridMultilevel"/>
    <w:lvl w:ilvl="0">
      <w:lvlJc w:val="left"/>
      <w:lvlText w:val="%1"/>
      <w:numFmt w:val="decimal"/>
      <w:start w:val="1"/>
    </w:lvl>
    <w:lvl w:ilvl="1">
      <w:lvlJc w:val="left"/>
      <w:lvlText w:val="%2."/>
      <w:numFmt w:val="lowerLetter"/>
      <w:start w:val="8"/>
    </w:lvl>
  </w:abstractNum>
  <w:abstractNum w:abstractNumId="68">
    <w:nsid w:val="42C296BD"/>
    <w:multiLevelType w:val="hybridMultilevel"/>
    <w:lvl w:ilvl="0">
      <w:lvlJc w:val="left"/>
      <w:lvlText w:val="%1."/>
      <w:numFmt w:val="decimal"/>
      <w:start w:val="4"/>
    </w:lvl>
    <w:lvl w:ilvl="1">
      <w:lvlJc w:val="left"/>
      <w:lvlText w:val="%2"/>
      <w:numFmt w:val="lowerLetter"/>
      <w:start w:val="1"/>
    </w:lvl>
  </w:abstractNum>
  <w:abstractNum w:abstractNumId="69">
    <w:nsid w:val="168E121F"/>
    <w:multiLevelType w:val="hybridMultilevel"/>
    <w:lvl w:ilvl="0">
      <w:lvlJc w:val="left"/>
      <w:lvlText w:val="%1."/>
      <w:numFmt w:val="decimal"/>
      <w:start w:val="6"/>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lowerLetter"/>
      <w:start w:val="4"/>
    </w:lvl>
  </w:abstractNum>
  <w:abstractNum w:abstractNumId="72">
    <w:nsid w:val="5DC79EA8"/>
    <w:multiLevelType w:val="hybridMultilevel"/>
    <w:lvl w:ilvl="0">
      <w:lvlJc w:val="left"/>
      <w:lvlText w:val="%1."/>
      <w:numFmt w:val="decimal"/>
      <w:start w:val="7"/>
    </w:lvl>
  </w:abstractNum>
  <w:abstractNum w:abstractNumId="73">
    <w:nsid w:val="540A471C"/>
    <w:multiLevelType w:val="hybridMultilevel"/>
    <w:lvl w:ilvl="0">
      <w:lvlJc w:val="left"/>
      <w:lvlText w:val="%1."/>
      <w:numFmt w:val="decimal"/>
      <w:start w:val="8"/>
    </w:lvl>
  </w:abstractNum>
  <w:abstractNum w:abstractNumId="74">
    <w:nsid w:val="7BD3EE7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2" Type="http://schemas.openxmlformats.org/officeDocument/2006/relationships/image" Target="media/image112.png"/><Relationship Id="rId144" Type="http://schemas.openxmlformats.org/officeDocument/2006/relationships/image" Target="media/image113.png"/><Relationship Id="rId159" Type="http://schemas.openxmlformats.org/officeDocument/2006/relationships/image" Target="media/image114.png"/><Relationship Id="rId166"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19" Type="http://schemas.openxmlformats.org/officeDocument/2006/relationships/hyperlink" Target="http://www.sec.gov/Archives/edgar/data/912242/000110465914081468/a14-24669_1ex2d1.htm" TargetMode="External"/><Relationship Id="rId120" Type="http://schemas.openxmlformats.org/officeDocument/2006/relationships/hyperlink" Target="http://www.sec.gov/Archives/edgar/data/912242/0001047469-99-012492.txt" TargetMode="External"/><Relationship Id="rId121" Type="http://schemas.openxmlformats.org/officeDocument/2006/relationships/hyperlink" Target="http://www.sec.gov/Archives/edgar/data/912242/000091205702030706/a2086079zex-3_1.htm" TargetMode="External"/><Relationship Id="rId122" Type="http://schemas.openxmlformats.org/officeDocument/2006/relationships/hyperlink" Target="http://www.sec.gov/Archives/edgar/data/912242/000091205702021417/a2080342zex-4_6.htm" TargetMode="External"/><Relationship Id="rId123" Type="http://schemas.openxmlformats.org/officeDocument/2006/relationships/hyperlink" Target="http://www.sec.gov/Archives/edgar/data/912242/000104746909001981/a2189901zex-3_15.htm" TargetMode="External"/><Relationship Id="rId124" Type="http://schemas.openxmlformats.org/officeDocument/2006/relationships/hyperlink" Target="http://www.sec.gov/Archives/edgar/data/912242/000110465909008348/a09-5253_1ex3d1.htm" TargetMode="External"/><Relationship Id="rId125" Type="http://schemas.openxmlformats.org/officeDocument/2006/relationships/hyperlink" Target="http://www.sec.gov/Archives/edgar/data/912242/000104746909007391/a2193924zex-3_17.htm" TargetMode="External"/><Relationship Id="rId126" Type="http://schemas.openxmlformats.org/officeDocument/2006/relationships/hyperlink" Target="http://www.sec.gov/Archives/edgar/data/912242/000110465914043330/a14-14485_1ex3d1.htm" TargetMode="External"/><Relationship Id="rId127" Type="http://schemas.openxmlformats.org/officeDocument/2006/relationships/hyperlink" Target="http://www.sec.gov/Archives/edgar/data/912242/000110465915020412/a15-6870_1ex3d1.htm" TargetMode="External"/><Relationship Id="rId128" Type="http://schemas.openxmlformats.org/officeDocument/2006/relationships/hyperlink" Target="http://www.sec.gov/Archives/edgar/data/912242/000110465915020810/a15-6873_1ex3d1.htm" TargetMode="External"/><Relationship Id="rId129" Type="http://schemas.openxmlformats.org/officeDocument/2006/relationships/hyperlink" Target="http://www.sec.gov/Archives/edgar/data/912242/000110465915037228/a15-11185_1ex3d1.htm" TargetMode="External"/><Relationship Id="rId130" Type="http://schemas.openxmlformats.org/officeDocument/2006/relationships/hyperlink" Target="http://www.sec.gov/Archives/edgar/data/912242/000110465915042631/a15-13305_1ex3d1.htm" TargetMode="External"/><Relationship Id="rId131" Type="http://schemas.openxmlformats.org/officeDocument/2006/relationships/hyperlink" Target="http://www.sec.gov/Archives/edgar/data/912242/000119312519129272/d731295dex31.htm" TargetMode="External"/><Relationship Id="rId133" Type="http://schemas.openxmlformats.org/officeDocument/2006/relationships/hyperlink" Target="https://www.sec.gov/Archives/edgar/data/912242/000119312521182973/d417870dex31.htm" TargetMode="External"/><Relationship Id="rId134" Type="http://schemas.openxmlformats.org/officeDocument/2006/relationships/hyperlink" Target="https://www.sec.gov/Archives/edgar/data/912242/000119312523021287/d443019dex31.htm" TargetMode="External"/><Relationship Id="rId135" Type="http://schemas.openxmlformats.org/officeDocument/2006/relationships/hyperlink" Target="http://www.sec.gov/Archives/edgar/data/912242/0000898822-98-001027.txt" TargetMode="External"/><Relationship Id="rId136" Type="http://schemas.openxmlformats.org/officeDocument/2006/relationships/hyperlink" Target="http://www.sec.gov/Archives/edgar/data/912242/000104746903024203/a2114547zex-4_13.htm" TargetMode="External"/><Relationship Id="rId137" Type="http://schemas.openxmlformats.org/officeDocument/2006/relationships/hyperlink" Target="http://www.sec.gov/Archives/edgar/data/912242/0000912242-97-000007.txt" TargetMode="External"/><Relationship Id="rId138" Type="http://schemas.openxmlformats.org/officeDocument/2006/relationships/hyperlink" Target="http://www.sec.gov/Archives/edgar/data/912242/0000912057-97-023459.txt" TargetMode="External"/><Relationship Id="rId139" Type="http://schemas.openxmlformats.org/officeDocument/2006/relationships/hyperlink" Target="http://www.sec.gov/Archives/edgar/data/912242/0001047469-98-011649.txt" TargetMode="External"/><Relationship Id="rId140" Type="http://schemas.openxmlformats.org/officeDocument/2006/relationships/hyperlink" Target="http://www.sec.gov/Archives/edgar/data/912242/000091205701505482/a2042811zex-10_17.htm" TargetMode="External"/><Relationship Id="rId141" Type="http://schemas.openxmlformats.org/officeDocument/2006/relationships/hyperlink" Target="http://www.sec.gov/Archives/edgar/data/912242/000091205702030706/a2086079zex-10_1.htm" TargetMode="External"/><Relationship Id="rId142" Type="http://schemas.openxmlformats.org/officeDocument/2006/relationships/hyperlink" Target="http://www.sec.gov/Archives/edgar/data/912242/000104746907001438/a2175451zex-10_19.htm" TargetMode="External"/><Relationship Id="rId143" Type="http://schemas.openxmlformats.org/officeDocument/2006/relationships/hyperlink" Target="http://www.sec.gov/Archives/edgar/data/912242/000110465907021619/a07-8493_1ex10d1.htm" TargetMode="External"/><Relationship Id="rId145" Type="http://schemas.openxmlformats.org/officeDocument/2006/relationships/hyperlink" Target="http://www.sec.gov/Archives/edgar/data/912242/000104746909007391/a2193924zex-10_1.htm" TargetMode="External"/><Relationship Id="rId146" Type="http://schemas.openxmlformats.org/officeDocument/2006/relationships/hyperlink" Target="http://www.sec.gov/Archives/edgar/data/912242/000104746910001497/a2196442zex-10_112.htm" TargetMode="External"/><Relationship Id="rId147" Type="http://schemas.openxmlformats.org/officeDocument/2006/relationships/hyperlink" Target="https://www.sec.gov/Archives/edgar/data/912242/000091224222000003/mac-20211231x10kex10113.htm" TargetMode="External"/><Relationship Id="rId148" Type="http://schemas.openxmlformats.org/officeDocument/2006/relationships/hyperlink" Target="http://www.sec.gov/Archives/edgar/data/912242/000110465905019358/a05-7552_1ex10d2.htm" TargetMode="External"/><Relationship Id="rId149" Type="http://schemas.openxmlformats.org/officeDocument/2006/relationships/hyperlink" Target="http://www.sec.gov/Archives/edgar/data/912242/000104746904007699/a2130493zex-10_5.htm" TargetMode="External"/><Relationship Id="rId150" Type="http://schemas.openxmlformats.org/officeDocument/2006/relationships/hyperlink" Target="http://www.sec.gov/Archives/edgar/data/912242/000104746909001981/a2189901zex-10_51.htm" TargetMode="External"/><Relationship Id="rId151" Type="http://schemas.openxmlformats.org/officeDocument/2006/relationships/hyperlink" Target="http://www.sec.gov/Archives/edgar/data/912242/000104746911006998/a2204925zex-10_1.htm" TargetMode="External"/><Relationship Id="rId152" Type="http://schemas.openxmlformats.org/officeDocument/2006/relationships/hyperlink" Target="http://www.sec.gov/Archives/edgar/data/912242/000104746912010061/a2211558zex-10_1.htm" TargetMode="External"/><Relationship Id="rId153" Type="http://schemas.openxmlformats.org/officeDocument/2006/relationships/hyperlink" Target="http://www.sec.gov/Archives/edgar/data/912242/000104746904007699/a2130493zex-10_6.htm" TargetMode="External"/><Relationship Id="rId154" Type="http://schemas.openxmlformats.org/officeDocument/2006/relationships/hyperlink" Target="http://www.sec.gov/Archives/edgar/data/912242/000104746909001981/a2189901zex-10_61.htm" TargetMode="External"/><Relationship Id="rId155" Type="http://schemas.openxmlformats.org/officeDocument/2006/relationships/hyperlink" Target="http://www.sec.gov/Archives/edgar/data/912242/000104746911006998/a2204925zex-10_3.htm" TargetMode="External"/><Relationship Id="rId156" Type="http://schemas.openxmlformats.org/officeDocument/2006/relationships/hyperlink" Target="http://www.sec.gov/Archives/edgar/data/912242/000104746912010061/a2211558zex-10_2.htm" TargetMode="External"/><Relationship Id="rId157" Type="http://schemas.openxmlformats.org/officeDocument/2006/relationships/hyperlink" Target="https://www.sec.gov/Archives/edgar/data/912242/000091224223000007/mac-20221231x10kex104.htm" TargetMode="External"/><Relationship Id="rId158" Type="http://schemas.openxmlformats.org/officeDocument/2006/relationships/hyperlink" Target="http://www.sec.gov/Archives/edgar/data/912242/000091224216000020/mac-2015x12x31x10kxex108.htm" TargetMode="External"/><Relationship Id="rId160" Type="http://schemas.openxmlformats.org/officeDocument/2006/relationships/hyperlink" Target="http://www.sec.gov/Archives/edgar/data/912242/000091224219000013/mac-6302019xexhibit101.htm" TargetMode="External"/><Relationship Id="rId161" Type="http://schemas.openxmlformats.org/officeDocument/2006/relationships/hyperlink" Target="http://www.sec.gov/Archives/edgar/data/912242/000104746904007699/a2130493zex-10_48.htm" TargetMode="External"/><Relationship Id="rId162" Type="http://schemas.openxmlformats.org/officeDocument/2006/relationships/hyperlink" Target="http://www.sec.gov/Archives/edgar/data/912242/000104746909001981/a2189901zex-10_19.htm" TargetMode="External"/><Relationship Id="rId163" Type="http://schemas.openxmlformats.org/officeDocument/2006/relationships/hyperlink" Target="http://www.sec.gov/Archives/edgar/data/912242/000091205702030706/a2086079zex-10_2.htm" TargetMode="External"/><Relationship Id="rId164" Type="http://schemas.openxmlformats.org/officeDocument/2006/relationships/hyperlink" Target="http://www.sec.gov/Archives/edgar/data/912242/000091205702030706/a2086079zex-10_3.htm" TargetMode="External"/><Relationship Id="rId165" Type="http://schemas.openxmlformats.org/officeDocument/2006/relationships/hyperlink" Target="https://www.sec.gov/Archives/edgar/data/912242/000119312523236004/d437561dex101.htm" TargetMode="External"/><Relationship Id="rId167" Type="http://schemas.openxmlformats.org/officeDocument/2006/relationships/hyperlink" Target="http://www.sec.gov/Archives/edgar/data/912242/000110465905019358/a05-7552_1ex10d3.htm" TargetMode="External"/><Relationship Id="rId168" Type="http://schemas.openxmlformats.org/officeDocument/2006/relationships/hyperlink" Target="https://www.sec.gov/Archives/edgar/data/912242/000119312523160708/d472381dex101.htm" TargetMode="External"/><Relationship Id="rId169" Type="http://schemas.openxmlformats.org/officeDocument/2006/relationships/hyperlink" Target="http://www.sec.gov/Archives/edgar/data/912242/000104746911001377/a2201763zex-10_271.htm" TargetMode="External"/><Relationship Id="rId170" Type="http://schemas.openxmlformats.org/officeDocument/2006/relationships/hyperlink" Target="https://www.sec.gov/Archives/edgar/data/912242/000119312521182973/d417870dex101.htm" TargetMode="External"/><Relationship Id="rId171" Type="http://schemas.openxmlformats.org/officeDocument/2006/relationships/hyperlink" Target="http://www.sec.gov/Archives/edgar/data/912242/000091224219000007/mac-3312019xexhibit103.htm" TargetMode="External"/><Relationship Id="rId172" Type="http://schemas.openxmlformats.org/officeDocument/2006/relationships/hyperlink" Target="http://www.sec.gov/Archives/edgar/data/912242/000091224217000017/mac-9302017xexhibit101.htm" TargetMode="External"/><Relationship Id="rId173" Type="http://schemas.openxmlformats.org/officeDocument/2006/relationships/hyperlink" Target="https://www.sec.gov/Archives/edgar/data/912242/000119312521191224/d77146dex101.htm" TargetMode="External"/><Relationship Id="rId174" Type="http://schemas.openxmlformats.org/officeDocument/2006/relationships/hyperlink" Target="http://www.sec.gov/Archives/edgar/data/912242/000110465905019358/a05-7552_1ex10d1.htm" TargetMode="External"/><Relationship Id="rId175" Type="http://schemas.openxmlformats.org/officeDocument/2006/relationships/hyperlink" Target="http://www.sec.gov/Archives/edgar/data/912242/000110465905019358/a05-7552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2024-02-26T11:32:05Z</dcterms:created>
  <dcterms:modified xsi:type="dcterms:W3CDTF">2024-02-26T11:32:05Z</dcterms:modified>
</cp:coreProperties>
</file>