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85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8569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BAYER RICHARD A</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THE MACERICH COMPANY</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401 WILSHIRE BOULEVARD #700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MACERICH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MAC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02/07/2012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83"/>
        <w:spacing w:after="0"/>
        <w:rPr>
          <w:sz w:val="20"/>
          <w:szCs w:val="20"/>
          <w:color w:val="auto"/>
        </w:rPr>
      </w:pPr>
      <w:r>
        <w:rPr>
          <w:rFonts w:ascii="Arial" w:cs="Arial" w:eastAsia="Arial" w:hAnsi="Arial"/>
          <w:sz w:val="17"/>
          <w:szCs w:val="17"/>
          <w:color w:val="0000FF"/>
        </w:rPr>
        <w:t>Senior EVP, CLO &amp; Secretary</w:t>
      </w:r>
    </w:p>
    <w:p>
      <w:pPr>
        <w:spacing w:after="0" w:line="575"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SANTA</w:t>
            </w:r>
          </w:p>
        </w:tc>
        <w:tc>
          <w:tcPr>
            <w:tcW w:w="1100" w:type="dxa"/>
            <w:vAlign w:val="bottom"/>
            <w:vMerge w:val="restart"/>
          </w:tcPr>
          <w:p>
            <w:pPr>
              <w:ind w:left="280"/>
              <w:spacing w:after="0"/>
              <w:rPr>
                <w:sz w:val="20"/>
                <w:szCs w:val="20"/>
                <w:color w:val="auto"/>
              </w:rPr>
            </w:pPr>
            <w:r>
              <w:rPr>
                <w:rFonts w:ascii="Arial" w:cs="Arial" w:eastAsia="Arial" w:hAnsi="Arial"/>
                <w:sz w:val="17"/>
                <w:szCs w:val="17"/>
                <w:color w:val="0000FF"/>
              </w:rPr>
              <w:t>CA</w:t>
            </w:r>
          </w:p>
        </w:tc>
        <w:tc>
          <w:tcPr>
            <w:tcW w:w="1680" w:type="dxa"/>
            <w:vAlign w:val="bottom"/>
            <w:vMerge w:val="restart"/>
          </w:tcPr>
          <w:p>
            <w:pPr>
              <w:ind w:left="440"/>
              <w:spacing w:after="0"/>
              <w:rPr>
                <w:sz w:val="20"/>
                <w:szCs w:val="20"/>
                <w:color w:val="auto"/>
              </w:rPr>
            </w:pPr>
            <w:r>
              <w:rPr>
                <w:rFonts w:ascii="Arial" w:cs="Arial" w:eastAsia="Arial" w:hAnsi="Arial"/>
                <w:sz w:val="17"/>
                <w:szCs w:val="17"/>
                <w:color w:val="0000FF"/>
              </w:rPr>
              <w:t>90401</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000" w:type="dxa"/>
            <w:vAlign w:val="bottom"/>
            <w:vMerge w:val="restart"/>
          </w:tcPr>
          <w:p>
            <w:pPr>
              <w:spacing w:after="0"/>
              <w:rPr>
                <w:sz w:val="20"/>
                <w:szCs w:val="20"/>
                <w:color w:val="auto"/>
              </w:rPr>
            </w:pPr>
            <w:r>
              <w:rPr>
                <w:rFonts w:ascii="Arial" w:cs="Arial" w:eastAsia="Arial" w:hAnsi="Arial"/>
                <w:sz w:val="17"/>
                <w:szCs w:val="17"/>
                <w:color w:val="0000FF"/>
              </w:rPr>
              <w:t>MONICA</w:t>
            </w:r>
          </w:p>
        </w:tc>
        <w:tc>
          <w:tcPr>
            <w:tcW w:w="110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503"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255"/>
        </w:trPr>
        <w:tc>
          <w:tcPr>
            <w:tcW w:w="720" w:type="dxa"/>
            <w:vAlign w:val="bottom"/>
          </w:tcPr>
          <w:p>
            <w:pPr>
              <w:ind w:left="60"/>
              <w:spacing w:after="0"/>
              <w:rPr>
                <w:sz w:val="20"/>
                <w:szCs w:val="20"/>
                <w:color w:val="auto"/>
              </w:rPr>
            </w:pPr>
            <w:r>
              <w:rPr>
                <w:rFonts w:ascii="Arial" w:cs="Arial" w:eastAsia="Arial" w:hAnsi="Arial"/>
                <w:sz w:val="13"/>
                <w:szCs w:val="13"/>
                <w:color w:val="0000FF"/>
              </w:rPr>
              <w:t>LTIP</w:t>
            </w: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02/07/2012</w:t>
            </w:r>
          </w:p>
        </w:tc>
        <w:tc>
          <w:tcPr>
            <w:tcW w:w="1120" w:type="dxa"/>
            <w:vAlign w:val="bottom"/>
          </w:tcPr>
          <w:p>
            <w:pPr>
              <w:spacing w:after="0"/>
              <w:rPr>
                <w:sz w:val="22"/>
                <w:szCs w:val="22"/>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30,000</w:t>
            </w:r>
          </w:p>
        </w:tc>
        <w:tc>
          <w:tcPr>
            <w:tcW w:w="300" w:type="dxa"/>
            <w:vAlign w:val="bottom"/>
          </w:tcPr>
          <w:p>
            <w:pPr>
              <w:spacing w:after="0"/>
              <w:rPr>
                <w:sz w:val="22"/>
                <w:szCs w:val="22"/>
                <w:color w:val="auto"/>
              </w:rPr>
            </w:pPr>
          </w:p>
        </w:tc>
        <w:tc>
          <w:tcPr>
            <w:tcW w:w="820" w:type="dxa"/>
            <w:vAlign w:val="bottom"/>
          </w:tcPr>
          <w:p>
            <w:pPr>
              <w:ind w:left="360"/>
              <w:spacing w:after="0"/>
              <w:rPr>
                <w:sz w:val="20"/>
                <w:szCs w:val="20"/>
                <w:color w:val="auto"/>
              </w:rPr>
            </w:pPr>
            <w:r>
              <w:rPr>
                <w:rFonts w:ascii="Arial" w:cs="Arial" w:eastAsia="Arial" w:hAnsi="Arial"/>
                <w:sz w:val="11"/>
                <w:szCs w:val="11"/>
                <w:color w:val="008000"/>
              </w:rPr>
              <w:t>(1)</w:t>
            </w:r>
          </w:p>
        </w:tc>
        <w:tc>
          <w:tcPr>
            <w:tcW w:w="740" w:type="dxa"/>
            <w:vAlign w:val="bottom"/>
          </w:tcPr>
          <w:p>
            <w:pPr>
              <w:jc w:val="right"/>
              <w:ind w:right="241"/>
              <w:spacing w:after="0"/>
              <w:rPr>
                <w:sz w:val="20"/>
                <w:szCs w:val="20"/>
                <w:color w:val="auto"/>
              </w:rPr>
            </w:pPr>
            <w:r>
              <w:rPr>
                <w:rFonts w:ascii="Arial" w:cs="Arial" w:eastAsia="Arial" w:hAnsi="Arial"/>
                <w:sz w:val="11"/>
                <w:szCs w:val="11"/>
                <w:color w:val="008000"/>
              </w:rPr>
              <w:t>(1)</w:t>
            </w:r>
          </w:p>
        </w:tc>
        <w:tc>
          <w:tcPr>
            <w:tcW w:w="72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30,000</w:t>
            </w:r>
          </w:p>
        </w:tc>
        <w:tc>
          <w:tcPr>
            <w:tcW w:w="72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rPr>
                <w:sz w:val="20"/>
                <w:szCs w:val="20"/>
                <w:color w:val="auto"/>
              </w:rPr>
            </w:pPr>
            <w:r>
              <w:rPr>
                <w:rFonts w:ascii="Arial" w:cs="Arial" w:eastAsia="Arial" w:hAnsi="Arial"/>
                <w:sz w:val="13"/>
                <w:szCs w:val="13"/>
                <w:color w:val="0000FF"/>
              </w:rPr>
              <w:t>96,295</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22"/>
                <w:szCs w:val="22"/>
                <w:color w:val="auto"/>
              </w:rPr>
            </w:pPr>
          </w:p>
        </w:tc>
      </w:tr>
      <w:tr>
        <w:trPr>
          <w:trHeight w:val="172"/>
        </w:trPr>
        <w:tc>
          <w:tcPr>
            <w:tcW w:w="72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8"/>
        <w:spacing w:after="0" w:line="271"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vesting of performance-based units of limited partnership interest in The Macerich Partnership, L.P. (the "Partnership"), of which the Issuer is the general partner. These LTIP Units were issued as long-term incentive compensation and vested upon achievement of certain pre-established performance criteria. Conditioned upon minimum allocations to the capital accounts of the LTIP Units for federal income tax purposes, each LTIP Unit may be converted, at the election of the holder, into a common unit of limited partnership interest in the Partnership (the "Common Unit"). Each Common Unit may be redeemed after January 31, 2014, at the election of the holder, for cash equal to the then fair market value of a share of the Issuer's Common Stock, except that the Issuer may, at its election, acquire each Common Unit for one share of Common Stock. The rights to convert LTIP Units into Common Units and redeem Common Units do not have expiration dates.</w:t>
      </w:r>
    </w:p>
    <w:p>
      <w:pPr>
        <w:spacing w:after="0" w:line="30"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Madonna R. Shannon for</w:t>
            </w:r>
          </w:p>
        </w:tc>
        <w:tc>
          <w:tcPr>
            <w:tcW w:w="52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7"/>
                <w:szCs w:val="17"/>
                <w:color w:val="0000FF"/>
                <w:w w:val="89"/>
              </w:rPr>
              <w:t>02/09/2012</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RICHARD A. BAYER</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20" w:type="dxa"/>
            <w:vAlign w:val="bottom"/>
            <w:shd w:val="clear" w:color="auto" w:fill="000000"/>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080" w:type="dxa"/>
            <w:vAlign w:val="bottom"/>
            <w:gridSpan w:val="4"/>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22057" TargetMode="External"/><Relationship Id="rId13" Type="http://schemas.openxmlformats.org/officeDocument/2006/relationships/hyperlink" Target="http://www.sec.gov/cgi-bin/browse-edgar?action=getcompany&amp;CIK=00009122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2019-12-17T10:23:27Z</dcterms:created>
  <dcterms:modified xsi:type="dcterms:W3CDTF">2019-12-17T10:23:27Z</dcterms:modified>
</cp:coreProperties>
</file>