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1392555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9"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44" w:lineRule="exact"/>
        <w:rPr>
          <w:rFonts w:ascii="MS PGothic" w:cs="MS PGothic" w:eastAsia="MS PGothic" w:hAnsi="MS PGothic"/>
          <w:sz w:val="20"/>
          <w:szCs w:val="20"/>
          <w:color w:val="auto"/>
        </w:rPr>
      </w:pPr>
    </w:p>
    <w:p>
      <w:pPr>
        <w:ind w:left="64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90"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00" w:lineRule="exact"/>
        <w:rPr>
          <w:sz w:val="24"/>
          <w:szCs w:val="24"/>
          <w:color w:val="auto"/>
        </w:rPr>
      </w:pPr>
    </w:p>
    <w:p>
      <w:pPr>
        <w:spacing w:after="0" w:line="28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No.: 1-12504</w:t>
      </w:r>
    </w:p>
    <w:p>
      <w:pPr>
        <w:spacing w:after="0" w:line="14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1440" w:right="459" w:bottom="1440" w:gutter="0" w:footer="0" w:header="0"/>
        </w:sectPr>
      </w:pPr>
    </w:p>
    <w:p>
      <w:pPr>
        <w:spacing w:after="0" w:line="30"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5"/>
          <w:szCs w:val="15"/>
          <w:color w:val="auto"/>
        </w:rPr>
        <w:t>Maryland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95-4448705</w:t>
      </w:r>
    </w:p>
    <w:p>
      <w:pPr>
        <w:spacing w:after="0" w:line="30" w:lineRule="exact"/>
        <w:rPr>
          <w:sz w:val="24"/>
          <w:szCs w:val="24"/>
          <w:color w:val="auto"/>
        </w:rPr>
      </w:pPr>
    </w:p>
    <w:p>
      <w:pPr>
        <w:sectPr>
          <w:pgSz w:w="11900" w:h="16838" w:orient="portrait"/>
          <w:cols w:equalWidth="0" w:num="2">
            <w:col w:w="7320" w:space="720"/>
            <w:col w:w="3080"/>
          </w:cols>
          <w:pgMar w:left="320" w:top="1440" w:right="45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92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Number)</w:t>
      </w:r>
    </w:p>
    <w:p>
      <w:pPr>
        <w:spacing w:after="0" w:line="195" w:lineRule="exact"/>
        <w:rPr>
          <w:sz w:val="24"/>
          <w:szCs w:val="24"/>
          <w:color w:val="auto"/>
        </w:rPr>
      </w:pPr>
    </w:p>
    <w:p>
      <w:pPr>
        <w:sectPr>
          <w:pgSz w:w="11900" w:h="16838" w:orient="portrait"/>
          <w:cols w:equalWidth="0" w:num="2">
            <w:col w:w="6420" w:space="720"/>
            <w:col w:w="3980"/>
          </w:cols>
          <w:pgMar w:left="320" w:top="1440" w:right="459" w:bottom="1440" w:gutter="0" w:footer="0" w:header="0"/>
          <w:type w:val="continuous"/>
        </w:sectPr>
      </w:pPr>
    </w:p>
    <w:p>
      <w:pPr>
        <w:jc w:val="center"/>
        <w:ind w:left="420"/>
        <w:spacing w:after="0"/>
        <w:rPr>
          <w:sz w:val="20"/>
          <w:szCs w:val="20"/>
          <w:color w:val="auto"/>
        </w:rPr>
      </w:pPr>
      <w:r>
        <w:rPr>
          <w:rFonts w:ascii="Times New Roman" w:cs="Times New Roman" w:eastAsia="Times New Roman" w:hAnsi="Times New Roman"/>
          <w:sz w:val="15"/>
          <w:szCs w:val="15"/>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90401</w:t>
      </w:r>
    </w:p>
    <w:p>
      <w:pPr>
        <w:spacing w:after="0" w:line="27" w:lineRule="exact"/>
        <w:rPr>
          <w:sz w:val="24"/>
          <w:szCs w:val="24"/>
          <w:color w:val="auto"/>
        </w:rPr>
      </w:pPr>
    </w:p>
    <w:p>
      <w:pPr>
        <w:sectPr>
          <w:pgSz w:w="11900" w:h="16838" w:orient="portrait"/>
          <w:cols w:equalWidth="0" w:num="5">
            <w:col w:w="1980" w:space="440"/>
            <w:col w:w="640" w:space="360"/>
            <w:col w:w="920" w:space="420"/>
            <w:col w:w="2740" w:space="720"/>
            <w:col w:w="2900"/>
          </w:cols>
          <w:pgMar w:left="320" w:top="1440" w:right="45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(Zip Code)</w:t>
      </w:r>
    </w:p>
    <w:p>
      <w:pPr>
        <w:spacing w:after="0" w:line="38" w:lineRule="exact"/>
        <w:rPr>
          <w:sz w:val="24"/>
          <w:szCs w:val="24"/>
          <w:color w:val="auto"/>
        </w:rPr>
      </w:pPr>
    </w:p>
    <w:p>
      <w:pPr>
        <w:sectPr>
          <w:pgSz w:w="11900" w:h="16838" w:orient="portrait"/>
          <w:cols w:equalWidth="0" w:num="2">
            <w:col w:w="7360" w:space="720"/>
            <w:col w:w="3040"/>
          </w:cols>
          <w:pgMar w:left="320" w:top="1440" w:right="45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color w:val="auto"/>
        </w:rPr>
        <w:t>(310) 394-6000</w:t>
      </w:r>
    </w:p>
    <w:p>
      <w:pPr>
        <w:sectPr>
          <w:pgSz w:w="11900" w:h="16838" w:orient="portrait"/>
          <w:cols w:equalWidth="0" w:num="1">
            <w:col w:w="11120"/>
          </w:cols>
          <w:pgMar w:left="320" w:top="1440" w:right="459" w:bottom="1440" w:gutter="0" w:footer="0" w:header="0"/>
          <w:type w:val="continuous"/>
        </w:sectPr>
      </w:pP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color w:val="auto"/>
        </w:rPr>
        <w:t>N/A</w:t>
      </w:r>
    </w:p>
    <w:p>
      <w:pPr>
        <w:ind w:left="3060"/>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Act:</w:t>
      </w:r>
    </w:p>
    <w:p>
      <w:pPr>
        <w:sectPr>
          <w:pgSz w:w="11900" w:h="16838" w:orient="portrait"/>
          <w:cols w:equalWidth="0" w:num="1">
            <w:col w:w="11120"/>
          </w:cols>
          <w:pgMar w:left="320" w:top="1440" w:right="459" w:bottom="1440" w:gutter="0" w:footer="0" w:header="0"/>
          <w:type w:val="continuous"/>
        </w:sectPr>
      </w:pPr>
    </w:p>
    <w:p>
      <w:pPr>
        <w:spacing w:after="0" w:line="4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color w:val="auto"/>
        </w:rPr>
        <w:t>Trading symbol</w:t>
      </w:r>
    </w:p>
    <w:p>
      <w:pPr>
        <w:spacing w:after="0" w:line="4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MAC</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4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0" w:lineRule="exact"/>
        <w:rPr>
          <w:sz w:val="24"/>
          <w:szCs w:val="24"/>
          <w:color w:val="auto"/>
        </w:rPr>
      </w:pPr>
    </w:p>
    <w:p>
      <w:pPr>
        <w:sectPr>
          <w:pgSz w:w="11900" w:h="16838" w:orient="portrait"/>
          <w:cols w:equalWidth="0" w:num="3">
            <w:col w:w="4060" w:space="720"/>
            <w:col w:w="2040" w:space="720"/>
            <w:col w:w="3580"/>
          </w:cols>
          <w:pgMar w:left="320" w:top="1440" w:right="459" w:bottom="1440" w:gutter="0" w:footer="0" w:header="0"/>
          <w:type w:val="continuous"/>
        </w:sectPr>
      </w:pPr>
    </w:p>
    <w:p>
      <w:pPr>
        <w:spacing w:after="0" w:line="40" w:lineRule="exact"/>
        <w:rPr>
          <w:sz w:val="24"/>
          <w:szCs w:val="24"/>
          <w:color w:val="auto"/>
        </w:rPr>
      </w:pPr>
    </w:p>
    <w:p>
      <w:pPr>
        <w:ind w:right="160" w:firstLine="434"/>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6" w:lineRule="exact"/>
        <w:rPr>
          <w:sz w:val="24"/>
          <w:szCs w:val="24"/>
          <w:color w:val="auto"/>
        </w:rPr>
      </w:pPr>
    </w:p>
    <w:p>
      <w:pPr>
        <w:ind w:right="120" w:firstLine="434"/>
        <w:spacing w:after="0" w:line="22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12" w:lineRule="exact"/>
        <w:rPr>
          <w:sz w:val="24"/>
          <w:szCs w:val="24"/>
          <w:color w:val="auto"/>
        </w:rPr>
      </w:pPr>
    </w:p>
    <w:p>
      <w:pPr>
        <w:ind w:firstLine="434"/>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20"/>
          </w:cols>
          <w:pgMar w:left="320" w:top="1440" w:right="459" w:bottom="1440" w:gutter="0" w:footer="0" w:header="0"/>
          <w:type w:val="continuous"/>
        </w:sectPr>
      </w:pPr>
    </w:p>
    <w:p>
      <w:pPr>
        <w:spacing w:after="0" w:line="1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both"/>
        <w:ind w:hanging="19"/>
        <w:spacing w:after="0" w:line="340" w:lineRule="auto"/>
        <w:rPr>
          <w:sz w:val="20"/>
          <w:szCs w:val="20"/>
          <w:color w:val="auto"/>
        </w:rPr>
      </w:pPr>
      <w:r>
        <w:rPr>
          <w:rFonts w:ascii="Times New Roman" w:cs="Times New Roman" w:eastAsia="Times New Roman" w:hAnsi="Times New Roman"/>
          <w:sz w:val="15"/>
          <w:szCs w:val="15"/>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4"/>
          <w:szCs w:val="24"/>
          <w:color w:val="auto"/>
        </w:rPr>
      </w:pPr>
    </w:p>
    <w:p>
      <w:pPr>
        <w:sectPr>
          <w:pgSz w:w="11900" w:h="16838" w:orient="portrait"/>
          <w:cols w:equalWidth="0" w:num="8">
            <w:col w:w="1900" w:space="480"/>
            <w:col w:w="80" w:space="540"/>
            <w:col w:w="1100" w:space="460"/>
            <w:col w:w="140" w:space="580"/>
            <w:col w:w="1400" w:space="580"/>
            <w:col w:w="600" w:space="720"/>
            <w:col w:w="1800" w:space="140"/>
            <w:col w:w="600"/>
          </w:cols>
          <w:pgMar w:left="320" w:top="1440" w:right="459" w:bottom="1440" w:gutter="0" w:footer="0" w:header="0"/>
          <w:type w:val="continuous"/>
        </w:sectPr>
      </w:pPr>
    </w:p>
    <w:p>
      <w:pPr>
        <w:ind w:right="300" w:firstLine="434"/>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2" w:lineRule="exact"/>
        <w:rPr>
          <w:sz w:val="24"/>
          <w:szCs w:val="24"/>
          <w:color w:val="auto"/>
        </w:rPr>
      </w:pPr>
    </w:p>
    <w:p>
      <w:pPr>
        <w:ind w:left="440"/>
        <w:spacing w:after="0" w:line="196" w:lineRule="exact"/>
        <w:tabs>
          <w:tab w:leader="none" w:pos="83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5"/>
          <w:szCs w:val="15"/>
          <w:color w:val="auto"/>
        </w:rPr>
        <w:t>☒</w:t>
      </w:r>
    </w:p>
    <w:p>
      <w:pPr>
        <w:spacing w:after="0" w:line="19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Number of shares outstanding as of August 5, 2022 of the registrant's common stock, par value $0.01 per share: 214,775,995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739775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7"/>
              </w:rPr>
              <w:t>THE MACERICH COMPANY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 (Unaudited)</w:t>
            </w:r>
          </w:p>
        </w:tc>
        <w:tc>
          <w:tcPr>
            <w:tcW w:w="6460" w:type="dxa"/>
            <w:vAlign w:val="bottom"/>
            <w:gridSpan w:val="9"/>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Consolidated Balance Sheets as of June 30, 2022 and December 31, 2021</w:t>
            </w:r>
          </w:p>
        </w:tc>
        <w:tc>
          <w:tcPr>
            <w:tcW w:w="3660" w:type="dxa"/>
            <w:vAlign w:val="bottom"/>
            <w:gridSpan w:val="5"/>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2022 and 2021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 and six months ended June 30, 2022 and 2021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three and six months ended June 30, 2022 and 2021</w:t>
            </w:r>
          </w:p>
        </w:tc>
        <w:tc>
          <w:tcPr>
            <w:tcW w:w="120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 for the six months ended June 30, 2022 and 2021</w:t>
            </w:r>
          </w:p>
        </w:tc>
        <w:tc>
          <w:tcPr>
            <w:tcW w:w="320" w:type="dxa"/>
            <w:vAlign w:val="bottom"/>
          </w:tcPr>
          <w:p>
            <w:pPr>
              <w:spacing w:after="0"/>
              <w:rPr>
                <w:sz w:val="22"/>
                <w:szCs w:val="22"/>
                <w:color w:val="auto"/>
              </w:rPr>
            </w:pPr>
          </w:p>
        </w:tc>
        <w:tc>
          <w:tcPr>
            <w:tcW w:w="2200" w:type="dxa"/>
            <w:vAlign w:val="bottom"/>
            <w:gridSpan w:val="3"/>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2"/>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520" w:type="dxa"/>
            <w:vAlign w:val="bottom"/>
            <w:gridSpan w:val="4"/>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520" w:type="dxa"/>
            <w:vAlign w:val="bottom"/>
            <w:gridSpan w:val="3"/>
          </w:tcPr>
          <w:p>
            <w:pPr>
              <w:spacing w:after="0"/>
              <w:rPr>
                <w:sz w:val="22"/>
                <w:szCs w:val="22"/>
                <w:color w:val="auto"/>
              </w:rPr>
            </w:pPr>
          </w:p>
        </w:tc>
        <w:tc>
          <w:tcPr>
            <w:tcW w:w="63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520" w:type="dxa"/>
            <w:vAlign w:val="bottom"/>
            <w:gridSpan w:val="4"/>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56"/>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4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560" w:type="dxa"/>
            <w:vAlign w:val="bottom"/>
            <w:gridSpan w:val="6"/>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520" w:type="dxa"/>
            <w:vAlign w:val="bottom"/>
            <w:gridSpan w:val="3"/>
          </w:tcPr>
          <w:p>
            <w:pPr>
              <w:spacing w:after="0"/>
              <w:rPr>
                <w:sz w:val="22"/>
                <w:szCs w:val="22"/>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520" w:type="dxa"/>
            <w:vAlign w:val="bottom"/>
            <w:gridSpan w:val="3"/>
          </w:tcPr>
          <w:p>
            <w:pPr>
              <w:spacing w:after="0"/>
              <w:rPr>
                <w:sz w:val="20"/>
                <w:szCs w:val="20"/>
                <w:color w:val="auto"/>
              </w:rPr>
            </w:pP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20" w:type="dxa"/>
            <w:vAlign w:val="bottom"/>
            <w:gridSpan w:val="12"/>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56"/>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580" w:type="dxa"/>
            <w:vAlign w:val="bottom"/>
            <w:gridSpan w:val="7"/>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520" w:type="dxa"/>
            <w:vAlign w:val="bottom"/>
            <w:gridSpan w:val="3"/>
          </w:tcPr>
          <w:p>
            <w:pPr>
              <w:spacing w:after="0"/>
              <w:rPr>
                <w:sz w:val="22"/>
                <w:szCs w:val="22"/>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r>
      <w:tr>
        <w:trPr>
          <w:trHeight w:val="256"/>
        </w:trPr>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60" w:type="dxa"/>
            <w:vAlign w:val="bottom"/>
            <w:gridSpan w:val="10"/>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56"/>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tcBorders>
              <w:top w:val="single" w:sz="8" w:color="0000FF"/>
            </w:tcBorders>
            <w:gridSpan w:val="2"/>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Borders>
              <w:top w:val="single" w:sz="8" w:color="0000FF"/>
            </w:tcBorders>
            <w:gridSpan w:val="2"/>
          </w:tcPr>
          <w:p>
            <w:pPr>
              <w:spacing w:after="0"/>
              <w:rPr>
                <w:sz w:val="22"/>
                <w:szCs w:val="22"/>
                <w:color w:val="auto"/>
              </w:rPr>
            </w:pPr>
          </w:p>
        </w:tc>
        <w:tc>
          <w:tcPr>
            <w:tcW w:w="7100" w:type="dxa"/>
            <w:vAlign w:val="bottom"/>
            <w:gridSpan w:val="11"/>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520" w:type="dxa"/>
            <w:vAlign w:val="bottom"/>
            <w:gridSpan w:val="3"/>
          </w:tcPr>
          <w:p>
            <w:pPr>
              <w:spacing w:after="0"/>
              <w:rPr>
                <w:sz w:val="22"/>
                <w:szCs w:val="22"/>
                <w:color w:val="auto"/>
              </w:rPr>
            </w:pPr>
          </w:p>
        </w:tc>
        <w:tc>
          <w:tcPr>
            <w:tcW w:w="8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Signature</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6,175,685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6,284,206</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54,517</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211,361</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110,638</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254,908</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1,317,571</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8,114,386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8,345,655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4,361,131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4,423,554</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104,811</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59,228</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80,711</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254,279</w:t>
            </w: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127,608</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118,988</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5,057,993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5,169,506</w:t>
            </w:r>
          </w:p>
        </w:tc>
      </w:tr>
      <w:tr>
        <w:trPr>
          <w:trHeight w:val="204"/>
        </w:trPr>
        <w:tc>
          <w:tcPr>
            <w:tcW w:w="82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w w:val="99"/>
              </w:rPr>
              <w:t>Common stock, $0.01 par value, 500,000,000 shares authorized at June 30, 2022 and December 31, 2021, and</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24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215,113,342 and 214,797,057 shares issued and outstanding at June 30, 2022 and December 31, 2021,</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5,488,440</w:t>
            </w:r>
          </w:p>
        </w:tc>
      </w:tr>
      <w:tr>
        <w:trPr>
          <w:trHeight w:val="224"/>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(2,443,696)</w:t>
            </w:r>
          </w:p>
        </w:tc>
      </w:tr>
      <w:tr>
        <w:trPr>
          <w:trHeight w:val="224"/>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7"/>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3,046,867</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129,282</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3,056,393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3,176,149</w:t>
            </w:r>
          </w:p>
        </w:tc>
      </w:tr>
      <w:tr>
        <w:trPr>
          <w:trHeight w:val="242"/>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8,114,386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8,345,655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80" w:type="dxa"/>
            <w:vAlign w:val="bottom"/>
          </w:tcPr>
          <w:p>
            <w:pPr>
              <w:spacing w:after="0"/>
              <w:rPr>
                <w:sz w:val="13"/>
                <w:szCs w:val="13"/>
                <w:color w:val="auto"/>
              </w:rPr>
            </w:pPr>
          </w:p>
        </w:tc>
        <w:tc>
          <w:tcPr>
            <w:tcW w:w="20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188,590</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196,987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392,002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376,522</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11,855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17,176</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6,631</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12,199</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204,091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215,473</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420,235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405,897</w:t>
            </w:r>
          </w:p>
        </w:tc>
        <w:tc>
          <w:tcPr>
            <w:tcW w:w="0" w:type="dxa"/>
            <w:vAlign w:val="bottom"/>
          </w:tcPr>
          <w:p>
            <w:pPr>
              <w:spacing w:after="0"/>
              <w:rPr>
                <w:sz w:val="1"/>
                <w:szCs w:val="1"/>
                <w:color w:val="auto"/>
              </w:rPr>
            </w:pPr>
          </w:p>
        </w:tc>
      </w:tr>
      <w:tr>
        <w:trPr>
          <w:trHeight w:val="16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67,655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143,810</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11,803</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29,864</w:t>
            </w:r>
          </w:p>
        </w:tc>
        <w:tc>
          <w:tcPr>
            <w:tcW w:w="0" w:type="dxa"/>
            <w:vAlign w:val="bottom"/>
          </w:tcPr>
          <w:p>
            <w:pPr>
              <w:spacing w:after="0"/>
              <w:rPr>
                <w:sz w:val="1"/>
                <w:szCs w:val="1"/>
                <w:color w:val="auto"/>
              </w:rPr>
            </w:pPr>
          </w:p>
        </w:tc>
      </w:tr>
      <w:tr>
        <w:trPr>
          <w:trHeight w:val="19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14,766</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77,630</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145,314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156,026</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173,622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356,269</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Related parties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4,273</w:t>
            </w:r>
          </w:p>
        </w:tc>
        <w:tc>
          <w:tcPr>
            <w:tcW w:w="0" w:type="dxa"/>
            <w:vAlign w:val="bottom"/>
          </w:tcPr>
          <w:p>
            <w:pPr>
              <w:spacing w:after="0"/>
              <w:rPr>
                <w:sz w:val="1"/>
                <w:szCs w:val="1"/>
                <w:color w:val="auto"/>
              </w:rPr>
            </w:pPr>
          </w:p>
        </w:tc>
      </w:tr>
      <w:tr>
        <w:trPr>
          <w:trHeight w:val="198"/>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51,960</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88,155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104,537</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54,914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108,810</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228,536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465,079</w:t>
            </w:r>
          </w:p>
        </w:tc>
        <w:tc>
          <w:tcPr>
            <w:tcW w:w="0" w:type="dxa"/>
            <w:vAlign w:val="bottom"/>
          </w:tcPr>
          <w:p>
            <w:pPr>
              <w:spacing w:after="0"/>
              <w:rPr>
                <w:sz w:val="1"/>
                <w:szCs w:val="1"/>
                <w:color w:val="auto"/>
              </w:rPr>
            </w:pPr>
          </w:p>
        </w:tc>
      </w:tr>
      <w:tr>
        <w:trPr>
          <w:trHeight w:val="19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(loss) of unconsolidated joint ventures</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21,945</w:t>
            </w: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(25,210)</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(71,792)</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7,703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3,577</w:t>
            </w:r>
          </w:p>
        </w:tc>
        <w:tc>
          <w:tcPr>
            <w:tcW w:w="0" w:type="dxa"/>
            <w:vAlign w:val="bottom"/>
          </w:tcPr>
          <w:p>
            <w:pPr>
              <w:spacing w:after="0"/>
              <w:rPr>
                <w:sz w:val="1"/>
                <w:szCs w:val="1"/>
                <w:color w:val="auto"/>
              </w:rPr>
            </w:pP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(75,369)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common share—attributable to common stockholders: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214,990,000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205,757,000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214,905,000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182,299,000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214,990,000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205,757,000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214,905,000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182,299,000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00" w:type="dxa"/>
            <w:vAlign w:val="bottom"/>
          </w:tcPr>
          <w:p>
            <w:pPr>
              <w:spacing w:after="0"/>
              <w:rPr>
                <w:sz w:val="13"/>
                <w:szCs w:val="13"/>
                <w:color w:val="auto"/>
              </w:rPr>
            </w:pPr>
          </w:p>
        </w:tc>
        <w:tc>
          <w:tcPr>
            <w:tcW w:w="20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r>
      <w:tr>
        <w:trPr>
          <w:trHeight w:val="190"/>
        </w:trPr>
        <w:tc>
          <w:tcPr>
            <w:tcW w:w="5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0"/>
        </w:trPr>
        <w:tc>
          <w:tcPr>
            <w:tcW w:w="57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(4,062)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(71,792)</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w:t>
            </w:r>
          </w:p>
        </w:tc>
      </w:tr>
      <w:tr>
        <w:trPr>
          <w:trHeight w:val="183"/>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left="330"/>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(66,359)</w:t>
            </w:r>
          </w:p>
        </w:tc>
      </w:tr>
      <w:tr>
        <w:trPr>
          <w:trHeight w:val="198"/>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4"/>
                <w:szCs w:val="14"/>
                <w:color w:val="auto"/>
              </w:rPr>
              <w:t>7,703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r>
      <w:tr>
        <w:trPr>
          <w:trHeight w:val="197"/>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the Company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color w:val="auto"/>
              </w:rPr>
              <w:t>(9,026)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(52,526)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(69,936)</w:t>
            </w: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18"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June 30, 2022 and 2021</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3"/>
                <w:szCs w:val="3"/>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April 1, 2022</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214,901,377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5,493,662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(2,513,179)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2,982,638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120,866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3,103,504</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(17,687)</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80,472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5,384</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96,942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($0.15 per share)</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(32,230)</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(3,169)</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34,551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Redemption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2022</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215,113,342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5,500,101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(2,560,793)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2,941,474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114,919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3,056,393</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60"/>
              <w:spacing w:after="0" w:line="73"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tcPr>
          <w:p>
            <w:pPr>
              <w:jc w:val="center"/>
              <w:ind w:right="300"/>
              <w:spacing w:after="0" w:line="73"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6"/>
                <w:szCs w:val="6"/>
                <w:color w:val="auto"/>
              </w:rPr>
            </w:pPr>
          </w:p>
        </w:tc>
        <w:tc>
          <w:tcPr>
            <w:tcW w:w="1140" w:type="dxa"/>
            <w:vAlign w:val="bottom"/>
            <w:gridSpan w:val="2"/>
          </w:tcPr>
          <w:p>
            <w:pPr>
              <w:jc w:val="center"/>
              <w:ind w:right="280"/>
              <w:spacing w:after="0" w:line="73"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line="132"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April 1, 2021</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197,036,176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5,263,994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(2,426,555)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2,833,896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163,409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2,997,305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7,703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(4,062)</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2,739</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129,928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4,332</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88,107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13,915,443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167,771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167,910</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($0.15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(31,016)</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(10,856)</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Contributions from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2021</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211,169,654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5,438,493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(2,469,336)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2,968,494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158,452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3,126,946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21"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69"/>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2022</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214,797,057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5,488,440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(2,443,696)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3,046,867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129,282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3,176,149</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(55,041)</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184,792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11,446</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96,942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($0.30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(64,531)</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Contributions from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34,551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auto"/>
              </w:rPr>
              <w:t>Redemption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0" w:type="dxa"/>
            <w:vAlign w:val="bottom"/>
          </w:tcPr>
          <w:p>
            <w:pPr>
              <w:spacing w:after="0"/>
              <w:rPr>
                <w:sz w:val="1"/>
                <w:szCs w:val="1"/>
                <w:color w:val="auto"/>
              </w:rPr>
            </w:pPr>
          </w:p>
        </w:tc>
      </w:tr>
      <w:tr>
        <w:trPr>
          <w:trHeight w:val="127"/>
        </w:trPr>
        <w:tc>
          <w:tcPr>
            <w:tcW w:w="190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2,877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2022</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215,113,342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5,500,101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(2,560,793)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2,941,474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114,919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3,056,393</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tcPr>
          <w:p>
            <w:pPr>
              <w:jc w:val="center"/>
              <w:ind w:right="30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40" w:type="dxa"/>
            <w:vAlign w:val="bottom"/>
          </w:tcPr>
          <w:p>
            <w:pPr>
              <w:spacing w:after="0"/>
              <w:rPr>
                <w:sz w:val="4"/>
                <w:szCs w:val="4"/>
                <w:color w:val="auto"/>
              </w:rPr>
            </w:pPr>
          </w:p>
        </w:tc>
        <w:tc>
          <w:tcPr>
            <w:tcW w:w="114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2021</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149,770,575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4,603,378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(2,339,619)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2,257,049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188,211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2,445,260</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3,577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(71,792)</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5,433</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224,681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9,363</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88,107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59,907,761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805,455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806,054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806,054</w:t>
            </w:r>
          </w:p>
        </w:tc>
        <w:tc>
          <w:tcPr>
            <w:tcW w:w="0" w:type="dxa"/>
            <w:vAlign w:val="bottom"/>
          </w:tcPr>
          <w:p>
            <w:pPr>
              <w:spacing w:after="0"/>
              <w:rPr>
                <w:sz w:val="1"/>
                <w:szCs w:val="1"/>
                <w:color w:val="auto"/>
              </w:rPr>
            </w:pPr>
          </w:p>
        </w:tc>
      </w:tr>
      <w:tr>
        <w:trPr>
          <w:trHeight w:val="17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paid ($0.30 per share)</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(54,348)</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(14,194)</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Contributions from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to common shares</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1,178,530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Redemption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2,501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June 30, 2021</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211,169,654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5,438,493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(2,469,336)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2,968,494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158,452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3,126,946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8240" w:type="dxa"/>
            <w:vAlign w:val="bottom"/>
          </w:tcPr>
          <w:p>
            <w:pPr>
              <w:jc w:val="center"/>
              <w:ind w:left="24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26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2740" w:type="dxa"/>
            <w:vAlign w:val="bottom"/>
            <w:gridSpan w:val="6"/>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For the Six Months Ended June</w:t>
            </w:r>
          </w:p>
        </w:tc>
      </w:tr>
      <w:tr>
        <w:trPr>
          <w:trHeight w:val="234"/>
        </w:trPr>
        <w:tc>
          <w:tcPr>
            <w:tcW w:w="26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0"/>
        </w:trPr>
        <w:tc>
          <w:tcPr>
            <w:tcW w:w="260" w:type="dxa"/>
            <w:vAlign w:val="bottom"/>
          </w:tcPr>
          <w:p>
            <w:pPr>
              <w:spacing w:after="0"/>
              <w:rPr>
                <w:sz w:val="19"/>
                <w:szCs w:val="19"/>
                <w:color w:val="auto"/>
              </w:rPr>
            </w:pPr>
          </w:p>
        </w:tc>
        <w:tc>
          <w:tcPr>
            <w:tcW w:w="8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sale or write down of assets,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162,603</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share and unit-based plans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and amortization of above and below market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Recovery of doubtful accounts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loss (income) of unconsolidated joint ventures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of income from unconsolidated joint ventures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financing arrangement obligation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Tenant and other receivables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81,168</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Due from affiliates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(50,349)</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113,027</w:t>
            </w:r>
          </w:p>
        </w:tc>
        <w:tc>
          <w:tcPr>
            <w:tcW w:w="240" w:type="dxa"/>
            <w:vAlign w:val="bottom"/>
          </w:tcPr>
          <w:p>
            <w:pPr>
              <w:spacing w:after="0"/>
              <w:rPr>
                <w:sz w:val="18"/>
                <w:szCs w:val="18"/>
                <w:color w:val="auto"/>
              </w:rPr>
            </w:pPr>
          </w:p>
        </w:tc>
      </w:tr>
      <w:tr>
        <w:trPr>
          <w:trHeight w:val="217"/>
        </w:trPr>
        <w:tc>
          <w:tcPr>
            <w:tcW w:w="26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redevelopment, expansion and renovation of properties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improvements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repayment of notes receivable</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leasing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joint ventures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45,978</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Contributions to unconsolidated joint ventures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collection of receivable in connection with sale of joint venture property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149,993</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104,941</w:t>
            </w:r>
          </w:p>
        </w:tc>
        <w:tc>
          <w:tcPr>
            <w:tcW w:w="240" w:type="dxa"/>
            <w:vAlign w:val="bottom"/>
          </w:tcPr>
          <w:p>
            <w:pPr>
              <w:spacing w:after="0"/>
              <w:rPr>
                <w:sz w:val="18"/>
                <w:szCs w:val="18"/>
                <w:color w:val="auto"/>
              </w:rPr>
            </w:pPr>
          </w:p>
        </w:tc>
      </w:tr>
      <w:tr>
        <w:trPr>
          <w:trHeight w:val="874"/>
        </w:trPr>
        <w:tc>
          <w:tcPr>
            <w:tcW w:w="8500" w:type="dxa"/>
            <w:vAlign w:val="bottom"/>
            <w:gridSpan w:val="2"/>
          </w:tcPr>
          <w:p>
            <w:pPr>
              <w:jc w:val="right"/>
              <w:ind w:right="2752"/>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2"/>
        </w:trPr>
        <w:tc>
          <w:tcPr>
            <w:tcW w:w="260" w:type="dxa"/>
            <w:vAlign w:val="bottom"/>
            <w:tcBorders>
              <w:bottom w:val="single" w:sz="8" w:color="9A9A9A"/>
            </w:tcBorders>
          </w:tcPr>
          <w:p>
            <w:pPr>
              <w:spacing w:after="0"/>
              <w:rPr>
                <w:sz w:val="9"/>
                <w:szCs w:val="9"/>
                <w:color w:val="auto"/>
              </w:rPr>
            </w:pPr>
          </w:p>
        </w:tc>
        <w:tc>
          <w:tcPr>
            <w:tcW w:w="8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8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824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85"/>
        </w:trPr>
        <w:tc>
          <w:tcPr>
            <w:tcW w:w="8240" w:type="dxa"/>
            <w:vAlign w:val="bottom"/>
          </w:tcPr>
          <w:p>
            <w:pPr>
              <w:spacing w:after="0"/>
              <w:rPr>
                <w:sz w:val="16"/>
                <w:szCs w:val="16"/>
                <w:color w:val="auto"/>
              </w:rPr>
            </w:pPr>
          </w:p>
        </w:tc>
        <w:tc>
          <w:tcPr>
            <w:tcW w:w="250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w w:val="98"/>
              </w:rPr>
              <w:t>For the Six Months Ended June</w:t>
            </w:r>
          </w:p>
        </w:tc>
      </w:tr>
      <w:tr>
        <w:trPr>
          <w:trHeight w:val="234"/>
        </w:trPr>
        <w:tc>
          <w:tcPr>
            <w:tcW w:w="8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0"/>
        </w:trPr>
        <w:tc>
          <w:tcPr>
            <w:tcW w:w="8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7"/>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mortgages, bank and other notes payable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495,000</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mortgages, bank and other notes payable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(1,632,572)</w:t>
            </w: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(costs) proceeds from stock offerings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791,425</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share and unit-based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of noncontrolling interests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(68,542)</w:t>
            </w:r>
          </w:p>
        </w:tc>
      </w:tr>
      <w:tr>
        <w:trPr>
          <w:trHeight w:val="217"/>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(437,301)</w:t>
            </w:r>
          </w:p>
        </w:tc>
      </w:tr>
      <w:tr>
        <w:trPr>
          <w:trHeight w:val="21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(219,333)</w:t>
            </w: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482,659</w:t>
            </w: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263,326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for interest, net of amounts capitalized</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7"/>
        </w:trPr>
        <w:tc>
          <w:tcPr>
            <w:tcW w:w="824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Accrued development costs included in accounts payable and accrued expenses and other accrued liabilities</w:t>
            </w:r>
          </w:p>
        </w:tc>
        <w:tc>
          <w:tcPr>
            <w:tcW w:w="260" w:type="dxa"/>
            <w:vAlign w:val="bottom"/>
            <w:tcBorders>
              <w:bottom w:val="single" w:sz="8" w:color="auto"/>
            </w:tcBorders>
          </w:tcPr>
          <w:p>
            <w:pPr>
              <w:jc w:val="right"/>
              <w:ind w:right="7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23,340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22,378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Operating Partnership Units to common stock</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96"/>
        </w:trPr>
        <w:tc>
          <w:tcPr>
            <w:tcW w:w="82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Accrued receivable of net proceeds from stock offering</w:t>
            </w:r>
          </w:p>
        </w:tc>
        <w:tc>
          <w:tcPr>
            <w:tcW w:w="260" w:type="dxa"/>
            <w:vAlign w:val="bottom"/>
            <w:tcBorders>
              <w:top w:val="single" w:sz="8" w:color="auto"/>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14,629</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town centers and community/power shopping centers (the "Centers") located throughout the United States.</w:t>
      </w:r>
    </w:p>
    <w:p>
      <w:pPr>
        <w:spacing w:after="0" w:line="90"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June 30, 2022,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14"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19"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88" w:lineRule="exact"/>
        <w:rPr>
          <w:sz w:val="20"/>
          <w:szCs w:val="20"/>
          <w:color w:val="auto"/>
        </w:rPr>
      </w:pPr>
    </w:p>
    <w:p>
      <w:pPr>
        <w:ind w:left="400" w:right="7660" w:hanging="395"/>
        <w:spacing w:after="0" w:line="413" w:lineRule="auto"/>
        <w:tabs>
          <w:tab w:leader="none" w:pos="1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04"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consolidated VIEs included the following assets and liabilities: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458,964</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83,685</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542,649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413,971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413,925</w:t>
            </w:r>
          </w:p>
        </w:tc>
      </w:tr>
      <w:tr>
        <w:trPr>
          <w:trHeight w:val="224"/>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56,947</w:t>
            </w:r>
          </w:p>
        </w:tc>
      </w:tr>
      <w:tr>
        <w:trPr>
          <w:trHeight w:val="217"/>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470,872</w:t>
            </w: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63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42" w:lineRule="exact"/>
        <w:rPr>
          <w:sz w:val="20"/>
          <w:szCs w:val="20"/>
          <w:color w:val="auto"/>
        </w:rPr>
      </w:pPr>
    </w:p>
    <w:p>
      <w:pPr>
        <w:ind w:right="80" w:firstLine="434"/>
        <w:spacing w:after="0" w:line="247"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Company's audited consolidated financial statements and notes thereto included in the Company's Annual Report on Form 10-K for the year ended December 31, 2021.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2021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8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465,297</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482,659</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85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End of period</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106,384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194,028</w:t>
            </w: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69,298</w:t>
            </w:r>
          </w:p>
        </w:tc>
      </w:tr>
      <w:tr>
        <w:trPr>
          <w:trHeight w:val="217"/>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263,326</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37" w:lineRule="exact"/>
        <w:rPr>
          <w:sz w:val="20"/>
          <w:szCs w:val="20"/>
          <w:color w:val="auto"/>
        </w:rPr>
      </w:pPr>
    </w:p>
    <w:p>
      <w:pPr>
        <w:ind w:right="160" w:firstLine="434"/>
        <w:spacing w:after="0" w:line="252"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and government-imposed capacity restrictions resulting from COVID-19 have been essentially eliminated across the Company’s markets.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COVID-19 Lease Accounting:</w:t>
      </w:r>
    </w:p>
    <w:p>
      <w:pPr>
        <w:spacing w:after="0" w:line="15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50" w:lineRule="exact"/>
        <w:rPr>
          <w:sz w:val="20"/>
          <w:szCs w:val="20"/>
          <w:color w:val="auto"/>
        </w:rPr>
      </w:pPr>
    </w:p>
    <w:p>
      <w:pPr>
        <w:ind w:right="26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EPS for the three and six months ended June 30, 2022 and 2021 (shares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320" w:type="dxa"/>
            <w:vAlign w:val="bottom"/>
            <w:gridSpan w:val="5"/>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6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(71,792)</w:t>
            </w: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(75,369)</w:t>
            </w: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EPS—net loss attributable to common stockholders</w:t>
            </w:r>
          </w:p>
        </w:tc>
        <w:tc>
          <w:tcPr>
            <w:tcW w:w="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(52,997)</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(75,798)</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Denominator for basic and diluted EPS—weighted average number of common shares</w:t>
            </w: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214,990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205,757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214,905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182,299</w:t>
            </w:r>
          </w:p>
        </w:tc>
        <w:tc>
          <w:tcPr>
            <w:tcW w:w="0" w:type="dxa"/>
            <w:vAlign w:val="bottom"/>
          </w:tcPr>
          <w:p>
            <w:pPr>
              <w:spacing w:after="0"/>
              <w:rPr>
                <w:sz w:val="1"/>
                <w:szCs w:val="1"/>
                <w:color w:val="auto"/>
              </w:rPr>
            </w:pPr>
          </w:p>
        </w:tc>
      </w:tr>
      <w:tr>
        <w:trPr>
          <w:trHeight w:val="21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outstanding(1)</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attributable to common stockholders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40" w:hanging="319"/>
        <w:spacing w:after="0" w:line="265" w:lineRule="auto"/>
        <w:tabs>
          <w:tab w:leader="none" w:pos="663"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EPS excludes 99,565 and 103,235 convertible preferred partnership units for the three months ended June 30, 2022 and 2021, respectively, and 99,565 and 103,235 convertible preferred partnership units for the six months ended June 30, 2022 and 2021, respectively, as their impact was antidilutive. Diluted EPS also excludes 8,658,193 and 9,818,495 Operating Partnership units ("OP Units") for the three months ended June 30, 2022 and 2021, respectively, and 8,669,907 and 10,334,235 OP Units for the six months ended June 30, 2022 and 2021, respectively, as their impact was antidilutive.</w:t>
      </w:r>
    </w:p>
    <w:p>
      <w:pPr>
        <w:spacing w:after="0" w:line="304"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Joint Ventures: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made the following recent financings or other events of its unconsolidated joint ventures:</w:t>
      </w:r>
    </w:p>
    <w:p>
      <w:pPr>
        <w:spacing w:after="0" w:line="148" w:lineRule="exact"/>
        <w:rPr>
          <w:sz w:val="20"/>
          <w:szCs w:val="20"/>
          <w:color w:val="auto"/>
        </w:rPr>
      </w:pPr>
    </w:p>
    <w:p>
      <w:pPr>
        <w:ind w:right="420" w:firstLine="434"/>
        <w:spacing w:after="0" w:line="268" w:lineRule="auto"/>
        <w:rPr>
          <w:sz w:val="20"/>
          <w:szCs w:val="20"/>
          <w:color w:val="auto"/>
        </w:rPr>
      </w:pPr>
      <w:r>
        <w:rPr>
          <w:rFonts w:ascii="Times New Roman" w:cs="Times New Roman" w:eastAsia="Times New Roman" w:hAnsi="Times New Roman"/>
          <w:sz w:val="18"/>
          <w:szCs w:val="18"/>
          <w:color w:val="auto"/>
        </w:rPr>
        <w:t>On March 29, 2021, concurrent with the sale of Paradise Valley Mall (see Note 15 – Dispositions), the Company elected to reinvest into the newly formed joint venture at a 5% ownership interest for $3,819 in cash that is accounted for under the equity method of accounting.</w:t>
      </w:r>
    </w:p>
    <w:p>
      <w:pPr>
        <w:spacing w:after="0" w:line="90"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On October 26, 2021, the Company's joint venture in The Shops at Atlas Park replaced the existing loan on the property with a new $65,000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114" w:lineRule="exact"/>
        <w:rPr>
          <w:sz w:val="20"/>
          <w:szCs w:val="20"/>
          <w:color w:val="auto"/>
        </w:rPr>
      </w:pPr>
    </w:p>
    <w:p>
      <w:pPr>
        <w:jc w:val="both"/>
        <w:ind w:right="440" w:firstLine="434"/>
        <w:spacing w:after="0" w:line="256" w:lineRule="auto"/>
        <w:rPr>
          <w:sz w:val="20"/>
          <w:szCs w:val="20"/>
          <w:color w:val="auto"/>
        </w:rPr>
      </w:pPr>
      <w:r>
        <w:rPr>
          <w:rFonts w:ascii="Times New Roman" w:cs="Times New Roman" w:eastAsia="Times New Roman" w:hAnsi="Times New Roman"/>
          <w:sz w:val="18"/>
          <w:szCs w:val="18"/>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$28,276 in connection with the assignment.</w:t>
      </w:r>
    </w:p>
    <w:p>
      <w:pPr>
        <w:spacing w:after="0" w:line="114"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On December 31, 2021, the Company sold its joint venture interest in the undeveloped property at 443 North Wabash Avenue in Chicago, Illinois to its partner in the joint venture for $21,000. The Company recognized an immaterial gain in connection with the sale.</w:t>
      </w:r>
    </w:p>
    <w:p>
      <w:pPr>
        <w:spacing w:after="0" w:line="90" w:lineRule="exact"/>
        <w:rPr>
          <w:sz w:val="20"/>
          <w:szCs w:val="20"/>
          <w:color w:val="auto"/>
        </w:rPr>
      </w:pPr>
    </w:p>
    <w:p>
      <w:pPr>
        <w:jc w:val="both"/>
        <w:ind w:right="160" w:firstLine="434"/>
        <w:spacing w:after="0" w:line="25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$197,011 loan on the property with a new $175,000 loan that bears interest at the Secured Overnight Financing Rate ("SOFR") plus 3.70% and matures on February 9, 2025, including extension options. The loan is covered by an interest rate cap agreement that effectively prevents SOFR from exceeding 4.0% through February 15,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26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06" w:lineRule="exact"/>
        <w:rPr>
          <w:sz w:val="20"/>
          <w:szCs w:val="20"/>
          <w:color w:val="auto"/>
        </w:rPr>
      </w:pPr>
    </w:p>
    <w:p>
      <w:pPr>
        <w:ind w:right="260" w:firstLine="434"/>
        <w:spacing w:after="0" w:line="332" w:lineRule="auto"/>
        <w:rPr>
          <w:sz w:val="20"/>
          <w:szCs w:val="20"/>
          <w:color w:val="auto"/>
        </w:rPr>
      </w:pPr>
      <w:r>
        <w:rPr>
          <w:rFonts w:ascii="Times New Roman" w:cs="Times New Roman" w:eastAsia="Times New Roman" w:hAnsi="Times New Roman"/>
          <w:sz w:val="16"/>
          <w:szCs w:val="16"/>
          <w:color w:val="auto"/>
        </w:rPr>
        <w:t>For the six months ended June 30, 2022, the Company’s joint venture with Seritage Growth Properties (“MS Portfolio LLC”) recorded an impairment loss as a result of shortening the holding periods on certain assets in the joint venture. The Company’s share of the impairment loss was $30,426.</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8,215,389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8,289,412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750,629</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8,986,844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5,634,189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5,686,500</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325,115</w:t>
            </w: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1,638,112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1,390,314</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8,986,844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1,558,737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1,638,112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(448,149)</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1,120,371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1,246,730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1,317,571</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(127,608)</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1,120,371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1,189,963</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Borders>
              <w:bottom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41" w:lineRule="exact"/>
        <w:rPr>
          <w:sz w:val="20"/>
          <w:szCs w:val="20"/>
          <w:color w:val="auto"/>
        </w:rPr>
      </w:pPr>
    </w:p>
    <w:p>
      <w:pPr>
        <w:ind w:left="400" w:right="320" w:hanging="395"/>
        <w:spacing w:after="0" w:line="287" w:lineRule="auto"/>
        <w:tabs>
          <w:tab w:leader="none" w:pos="34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assets of $2,722,667 and $2,789,568 of Pacific Premier Retail LLC (the "PPR Portfolio") as of June 30, 2022 and December 31, 2021, respectively, and liabilities of $1,642,822 and $1,661,110 of the PPR Portfolio as of June 30, 2022 and December 31, 2021, respectively.</w:t>
      </w:r>
    </w:p>
    <w:p>
      <w:pPr>
        <w:spacing w:after="0" w:line="101" w:lineRule="exact"/>
        <w:rPr>
          <w:rFonts w:ascii="Times New Roman" w:cs="Times New Roman" w:eastAsia="Times New Roman" w:hAnsi="Times New Roman"/>
          <w:sz w:val="14"/>
          <w:szCs w:val="14"/>
          <w:color w:val="auto"/>
        </w:rPr>
      </w:pPr>
    </w:p>
    <w:p>
      <w:pPr>
        <w:ind w:left="400" w:right="180" w:hanging="395"/>
        <w:spacing w:after="0" w:line="261" w:lineRule="auto"/>
        <w:tabs>
          <w:tab w:leader="none" w:pos="34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$2,295 and $2,420 for the three months ended June 30, 2022 and 2021, respectively, and $4,870 and $4,663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13" w:name="page14"/>
    <w:bookmarkEnd w:id="1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00" w:lineRule="exact"/>
        <w:rPr>
          <w:sz w:val="20"/>
          <w:szCs w:val="20"/>
          <w:color w:val="auto"/>
        </w:rPr>
      </w:pPr>
    </w:p>
    <w:p>
      <w:pPr>
        <w:spacing w:after="0" w:line="29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300" w:type="dxa"/>
            <w:vAlign w:val="bottom"/>
          </w:tcPr>
          <w:p>
            <w:pPr>
              <w:spacing w:after="0"/>
              <w:rPr>
                <w:sz w:val="11"/>
                <w:szCs w:val="11"/>
                <w:color w:val="auto"/>
              </w:rPr>
            </w:pPr>
          </w:p>
        </w:tc>
        <w:tc>
          <w:tcPr>
            <w:tcW w:w="126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340" w:type="dxa"/>
            <w:vAlign w:val="bottom"/>
          </w:tcPr>
          <w:p>
            <w:pPr>
              <w:spacing w:after="0"/>
              <w:rPr>
                <w:sz w:val="11"/>
                <w:szCs w:val="11"/>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2022</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48,339</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219,987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51,960</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90,444</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209,473</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or write down of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income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191,699</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32,921</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66,442</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88,456</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209,100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ectPr>
          <w:pgSz w:w="11900" w:h="16838" w:orient="portrait"/>
          <w:cols w:equalWidth="0" w:num="1">
            <w:col w:w="10700"/>
          </w:cols>
          <w:pgMar w:left="320" w:top="264"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4" w:right="8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Joint</w:t>
            </w:r>
          </w:p>
        </w:tc>
        <w:tc>
          <w:tcPr>
            <w:tcW w:w="340" w:type="dxa"/>
            <w:vAlign w:val="bottom"/>
          </w:tcPr>
          <w:p>
            <w:pPr>
              <w:spacing w:after="0"/>
              <w:rPr>
                <w:sz w:val="11"/>
                <w:szCs w:val="11"/>
                <w:color w:val="auto"/>
              </w:rPr>
            </w:pPr>
          </w:p>
        </w:tc>
        <w:tc>
          <w:tcPr>
            <w:tcW w:w="2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34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0" w:type="dxa"/>
            <w:vAlign w:val="bottom"/>
          </w:tcPr>
          <w:p>
            <w:pPr>
              <w:spacing w:after="0"/>
              <w:rPr>
                <w:sz w:val="2"/>
                <w:szCs w:val="2"/>
                <w:color w:val="auto"/>
              </w:rPr>
            </w:pPr>
          </w:p>
        </w:tc>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2022</w:t>
            </w:r>
          </w:p>
        </w:tc>
        <w:tc>
          <w:tcPr>
            <w:tcW w:w="1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416,182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426,406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420,419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Six Months Ended June 30, 2021</w:t>
            </w: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revenue</w:t>
            </w:r>
          </w:p>
        </w:tc>
        <w:tc>
          <w:tcPr>
            <w:tcW w:w="1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377,789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Shopping center and operating expenses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Leasing expenses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179,303</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422,925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or write down of assets, net</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equity in net (loss) income</w:t>
            </w: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50" w:lineRule="exact"/>
        <w:rPr>
          <w:sz w:val="20"/>
          <w:szCs w:val="20"/>
          <w:color w:val="auto"/>
        </w:rPr>
      </w:pPr>
    </w:p>
    <w:p>
      <w:pPr>
        <w:ind w:right="520" w:firstLine="434"/>
        <w:spacing w:after="0" w:line="256" w:lineRule="auto"/>
        <w:rPr>
          <w:sz w:val="20"/>
          <w:szCs w:val="20"/>
          <w:color w:val="auto"/>
        </w:rPr>
      </w:pPr>
      <w:r>
        <w:rPr>
          <w:rFonts w:ascii="Times New Roman" w:cs="Times New Roman" w:eastAsia="Times New Roman" w:hAnsi="Times New Roman"/>
          <w:sz w:val="18"/>
          <w:szCs w:val="18"/>
          <w:color w:val="auto"/>
        </w:rPr>
        <w:t>The Company uses an interest rate cap agreement to manage the interest rate risk on certain floating rate debt. The Company recorded other comprehensive income related to the marking-to-market of derivative instruments of $9 and $2,739 for the three months ended June 30, 2022 and 2021, respectively, and $40 and $5,433 for the six months ended June 30, 2022 and 2021, respectively.</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derivative was outstanding at June 30,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LIBOR Rate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00" w:type="dxa"/>
            <w:vAlign w:val="bottom"/>
          </w:tcPr>
          <w:p>
            <w:pPr>
              <w:jc w:val="center"/>
              <w:ind w:left="20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0"/>
                <w:szCs w:val="10"/>
                <w:color w:val="auto"/>
              </w:rPr>
            </w:pPr>
          </w:p>
        </w:tc>
        <w:tc>
          <w:tcPr>
            <w:tcW w:w="1140" w:type="dxa"/>
            <w:vAlign w:val="bottom"/>
          </w:tcPr>
          <w:p>
            <w:pPr>
              <w:jc w:val="center"/>
              <w:ind w:left="167"/>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5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tcPr>
          <w:p>
            <w:pPr>
              <w:jc w:val="right"/>
              <w:ind w:right="8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140" w:type="dxa"/>
            <w:vAlign w:val="bottom"/>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12/9/2022</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29</w:t>
            </w:r>
          </w:p>
        </w:tc>
        <w:tc>
          <w:tcPr>
            <w:tcW w:w="1140" w:type="dxa"/>
            <w:vAlign w:val="bottom"/>
            <w:tcBorders>
              <w:top w:val="single" w:sz="8" w:color="auto"/>
            </w:tcBorders>
            <w:shd w:val="clear" w:color="auto" w:fill="CCEEFF"/>
          </w:tcPr>
          <w:p>
            <w:pPr>
              <w:jc w:val="right"/>
              <w:ind w:right="88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The above derivative was valued with an aggregate fair value (Level 2 measurement) and was included in other accrued liabilities. The fair value of the Company's interest rate derivative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19"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valuation in its entirety is classified in Level 2 of the fair value hierarchy.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consists of the following:</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6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1,441,858</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6,306,764</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685,242</w:t>
            </w:r>
          </w:p>
        </w:tc>
      </w:tr>
      <w:tr>
        <w:trPr>
          <w:trHeight w:val="22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191,266</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222,420</w:t>
            </w:r>
          </w:p>
        </w:tc>
      </w:tr>
      <w:tr>
        <w:trPr>
          <w:trHeight w:val="217"/>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8,847,550</w:t>
            </w:r>
          </w:p>
        </w:tc>
      </w:tr>
      <w:tr>
        <w:trPr>
          <w:trHeight w:val="22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(2,563,344)</w:t>
            </w:r>
          </w:p>
        </w:tc>
      </w:tr>
      <w:tr>
        <w:trPr>
          <w:trHeight w:val="217"/>
        </w:trPr>
        <w:tc>
          <w:tcPr>
            <w:tcW w:w="66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6,175,685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6,284,206</w:t>
            </w: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1120" w:right="360" w:hanging="483"/>
        <w:spacing w:after="0" w:line="287"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and furnishings and accumulated depreciation include the cost and accumulated amortization of ROU assets in connection with finance leases at June 30, 2022 and December 31, 2021 (See Note 8—Leases).</w:t>
      </w:r>
    </w:p>
    <w:p>
      <w:pPr>
        <w:spacing w:after="0" w:line="93" w:lineRule="exact"/>
        <w:rPr>
          <w:sz w:val="20"/>
          <w:szCs w:val="20"/>
          <w:color w:val="auto"/>
        </w:rPr>
      </w:pPr>
    </w:p>
    <w:p>
      <w:pPr>
        <w:ind w:right="20" w:firstLine="434"/>
        <w:spacing w:after="0" w:line="268" w:lineRule="auto"/>
        <w:rPr>
          <w:sz w:val="20"/>
          <w:szCs w:val="20"/>
          <w:color w:val="auto"/>
        </w:rPr>
      </w:pPr>
      <w:r>
        <w:rPr>
          <w:rFonts w:ascii="Times New Roman" w:cs="Times New Roman" w:eastAsia="Times New Roman" w:hAnsi="Times New Roman"/>
          <w:sz w:val="18"/>
          <w:szCs w:val="18"/>
          <w:color w:val="auto"/>
        </w:rPr>
        <w:t>Depreciation expense was $67,394 and $70,762 for the three months ended June 30, 2022 and 2021, respectively, and $135,179 and $142,426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gain on sale or write-down of assets, net for the three and six months ended June 30, 2022 and 2021 consist of the following:</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24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 30,</w:t>
            </w:r>
          </w:p>
        </w:tc>
      </w:tr>
      <w:tr>
        <w:trPr>
          <w:trHeight w:val="24"/>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5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property sales, net(1)</w:t>
            </w:r>
          </w:p>
        </w:tc>
        <w:tc>
          <w:tcPr>
            <w:tcW w:w="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r>
      <w:tr>
        <w:trPr>
          <w:trHeight w:val="22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write-down of assets(2)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(38,362)</w:t>
            </w: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land sales,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17"/>
        </w:trPr>
        <w:tc>
          <w:tcPr>
            <w:tcW w:w="5360" w:type="dxa"/>
            <w:vAlign w:val="bottom"/>
          </w:tcPr>
          <w:p>
            <w:pPr>
              <w:spacing w:after="0"/>
              <w:rPr>
                <w:sz w:val="18"/>
                <w:szCs w:val="18"/>
                <w:color w:val="auto"/>
              </w:rPr>
            </w:pPr>
          </w:p>
        </w:tc>
        <w:tc>
          <w:tcPr>
            <w:tcW w:w="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(25,210)</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940" w:hanging="303"/>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$4,229 of gain related to the sale of Paradise Valley Mall during the six months ended June 30, 2021 (See Note 15-Dispositions).</w:t>
      </w:r>
    </w:p>
    <w:p>
      <w:pPr>
        <w:spacing w:after="0" w:line="12" w:lineRule="exact"/>
        <w:rPr>
          <w:rFonts w:ascii="Times New Roman" w:cs="Times New Roman" w:eastAsia="Times New Roman" w:hAnsi="Times New Roman"/>
          <w:sz w:val="14"/>
          <w:szCs w:val="14"/>
          <w:color w:val="auto"/>
        </w:rPr>
      </w:pPr>
    </w:p>
    <w:p>
      <w:pPr>
        <w:ind w:left="940" w:hanging="303"/>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loss of $5,492 relating to the Company's investment in MS Portfolio LLC (See Note 4-Investments in Unconsolidated Joint Ventures) during the six months</w:t>
      </w:r>
    </w:p>
    <w:p>
      <w:pPr>
        <w:spacing w:after="0" w:line="6" w:lineRule="exact"/>
        <w:rPr>
          <w:sz w:val="20"/>
          <w:szCs w:val="20"/>
          <w:color w:val="auto"/>
        </w:rPr>
      </w:pPr>
    </w:p>
    <w:p>
      <w:pPr>
        <w:ind w:left="1040" w:right="80"/>
        <w:spacing w:after="0" w:line="270" w:lineRule="auto"/>
        <w:rPr>
          <w:sz w:val="20"/>
          <w:szCs w:val="20"/>
          <w:color w:val="auto"/>
        </w:rPr>
      </w:pPr>
      <w:r>
        <w:rPr>
          <w:rFonts w:ascii="Times New Roman" w:cs="Times New Roman" w:eastAsia="Times New Roman" w:hAnsi="Times New Roman"/>
          <w:sz w:val="14"/>
          <w:szCs w:val="14"/>
          <w:color w:val="auto"/>
        </w:rPr>
        <w:t>ended June 30, 2022 and impairment loss of $27,281 on Estrella Falls during the six months ended June 30, 2021. The impairment losses were due to the reduction of the estimated holding periods of the properties. The remaining amounts for the three and six months ended June 30, 2022 and 2021 mainly pertain to the write off of development costs.</w:t>
      </w:r>
    </w:p>
    <w:p>
      <w:pPr>
        <w:spacing w:after="0" w:line="354" w:lineRule="exact"/>
        <w:rPr>
          <w:sz w:val="20"/>
          <w:szCs w:val="20"/>
          <w:color w:val="auto"/>
        </w:rPr>
      </w:pPr>
    </w:p>
    <w:p>
      <w:pPr>
        <w:ind w:right="460" w:firstLine="632"/>
        <w:spacing w:after="0" w:line="268"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the impairment losses recorded for the six months ended June 30, 2021, as described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3"/>
          </w:tcPr>
          <w:p>
            <w:pPr>
              <w:jc w:val="center"/>
              <w:ind w:right="352"/>
              <w:spacing w:after="0"/>
              <w:rPr>
                <w:sz w:val="20"/>
                <w:szCs w:val="20"/>
                <w:color w:val="auto"/>
              </w:rPr>
            </w:pPr>
            <w:r>
              <w:rPr>
                <w:rFonts w:ascii="Times New Roman" w:cs="Times New Roman" w:eastAsia="Times New Roman" w:hAnsi="Times New Roman"/>
                <w:sz w:val="18"/>
                <w:szCs w:val="18"/>
                <w:color w:val="auto"/>
                <w:w w:val="96"/>
              </w:rPr>
              <w:t>Quoted Prices in</w:t>
            </w: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7"/>
              </w:rPr>
              <w:t>Significant Other</w:t>
            </w:r>
          </w:p>
        </w:tc>
        <w:tc>
          <w:tcPr>
            <w:tcW w:w="120" w:type="dxa"/>
            <w:vAlign w:val="bottom"/>
          </w:tcPr>
          <w:p>
            <w:pPr>
              <w:spacing w:after="0"/>
              <w:rPr>
                <w:sz w:val="18"/>
                <w:szCs w:val="18"/>
                <w:color w:val="auto"/>
              </w:rPr>
            </w:pPr>
          </w:p>
        </w:tc>
        <w:tc>
          <w:tcPr>
            <w:tcW w:w="16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ind w:right="352"/>
              <w:spacing w:after="0" w:line="171" w:lineRule="exact"/>
              <w:rPr>
                <w:sz w:val="20"/>
                <w:szCs w:val="20"/>
                <w:color w:val="auto"/>
              </w:rPr>
            </w:pPr>
            <w:r>
              <w:rPr>
                <w:rFonts w:ascii="Times New Roman" w:cs="Times New Roman" w:eastAsia="Times New Roman" w:hAnsi="Times New Roman"/>
                <w:sz w:val="18"/>
                <w:szCs w:val="18"/>
                <w:color w:val="auto"/>
                <w:w w:val="96"/>
              </w:rPr>
              <w:t>Active Markets for</w:t>
            </w:r>
          </w:p>
        </w:tc>
        <w:tc>
          <w:tcPr>
            <w:tcW w:w="1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5"/>
              </w:rPr>
              <w:t>Total Fair Value</w:t>
            </w:r>
          </w:p>
        </w:tc>
        <w:tc>
          <w:tcPr>
            <w:tcW w:w="160" w:type="dxa"/>
            <w:vAlign w:val="bottom"/>
          </w:tcPr>
          <w:p>
            <w:pPr>
              <w:spacing w:after="0"/>
              <w:rPr>
                <w:sz w:val="19"/>
                <w:szCs w:val="19"/>
                <w:color w:val="auto"/>
              </w:rPr>
            </w:pPr>
          </w:p>
        </w:tc>
        <w:tc>
          <w:tcPr>
            <w:tcW w:w="1840" w:type="dxa"/>
            <w:vAlign w:val="bottom"/>
            <w:gridSpan w:val="3"/>
          </w:tcPr>
          <w:p>
            <w:pPr>
              <w:jc w:val="center"/>
              <w:ind w:right="352"/>
              <w:spacing w:after="0"/>
              <w:rPr>
                <w:sz w:val="20"/>
                <w:szCs w:val="20"/>
                <w:color w:val="auto"/>
              </w:rPr>
            </w:pPr>
            <w:r>
              <w:rPr>
                <w:rFonts w:ascii="Times New Roman" w:cs="Times New Roman" w:eastAsia="Times New Roman" w:hAnsi="Times New Roman"/>
                <w:sz w:val="18"/>
                <w:szCs w:val="18"/>
                <w:color w:val="auto"/>
                <w:w w:val="97"/>
              </w:rPr>
              <w:t>Identical Assets</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Unobservable Inputs</w:t>
            </w:r>
          </w:p>
        </w:tc>
        <w:tc>
          <w:tcPr>
            <w:tcW w:w="120" w:type="dxa"/>
            <w:vAlign w:val="bottom"/>
          </w:tcPr>
          <w:p>
            <w:pPr>
              <w:spacing w:after="0"/>
              <w:rPr>
                <w:sz w:val="19"/>
                <w:szCs w:val="19"/>
                <w:color w:val="auto"/>
              </w:rPr>
            </w:pP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Unobservable Inputs</w:t>
            </w:r>
          </w:p>
        </w:tc>
        <w:tc>
          <w:tcPr>
            <w:tcW w:w="0" w:type="dxa"/>
            <w:vAlign w:val="bottom"/>
          </w:tcPr>
          <w:p>
            <w:pPr>
              <w:spacing w:after="0"/>
              <w:rPr>
                <w:sz w:val="1"/>
                <w:szCs w:val="1"/>
                <w:color w:val="auto"/>
              </w:rPr>
            </w:pPr>
          </w:p>
        </w:tc>
      </w:tr>
      <w:tr>
        <w:trPr>
          <w:trHeight w:val="35"/>
        </w:trPr>
        <w:tc>
          <w:tcPr>
            <w:tcW w:w="3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Measurement</w:t>
            </w:r>
          </w:p>
        </w:tc>
        <w:tc>
          <w:tcPr>
            <w:tcW w:w="160" w:type="dxa"/>
            <w:vAlign w:val="bottom"/>
          </w:tcPr>
          <w:p>
            <w:pPr>
              <w:spacing w:after="0"/>
              <w:rPr>
                <w:sz w:val="20"/>
                <w:szCs w:val="20"/>
                <w:color w:val="auto"/>
              </w:rPr>
            </w:pPr>
          </w:p>
        </w:tc>
        <w:tc>
          <w:tcPr>
            <w:tcW w:w="1840" w:type="dxa"/>
            <w:vAlign w:val="bottom"/>
            <w:gridSpan w:val="3"/>
          </w:tcPr>
          <w:p>
            <w:pPr>
              <w:jc w:val="center"/>
              <w:ind w:right="352"/>
              <w:spacing w:after="0"/>
              <w:rPr>
                <w:sz w:val="20"/>
                <w:szCs w:val="20"/>
                <w:color w:val="auto"/>
              </w:rPr>
            </w:pPr>
            <w:r>
              <w:rPr>
                <w:rFonts w:ascii="Times New Roman" w:cs="Times New Roman" w:eastAsia="Times New Roman" w:hAnsi="Times New Roman"/>
                <w:sz w:val="18"/>
                <w:szCs w:val="18"/>
                <w:color w:val="auto"/>
                <w:w w:val="96"/>
              </w:rPr>
              <w:t>(Level 1)</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The fair values relating to a portion of the 2021 impairments were based on sales contracts and are classified within Level 2 of the fair value hierarchy. The fair value (Level 3 measurement) related to the 2021 impairment was based upon an income approach, using an estimated terminal capitalization rate, discount rate, and in-place contractual rent and other income. The fair value is sensitive to these significant unobservable inputs.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50" w:lineRule="exact"/>
        <w:rPr>
          <w:sz w:val="20"/>
          <w:szCs w:val="20"/>
          <w:color w:val="auto"/>
        </w:rPr>
      </w:pPr>
    </w:p>
    <w:p>
      <w:pPr>
        <w:ind w:right="180" w:firstLine="434"/>
        <w:spacing w:after="0" w:line="252"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$12,286 and $14,917 at June 30, 2022 and December 31, 2021, respectively. Also included in tenant and other receivables, net are accrued percentage rents of $3,066 and $19,907 at June 30, 2022 and December 31, 2021, respectively, and a deferred rent receivable due to straight-line rent adjustments of $108,398 and $110,969 at June 30, 2022 and December 31, 2021,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5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is not considered probable, lease income is recognized on a cash basis and all previously recognized tenant accounts receivables,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straight-line rent, are fully reserved in the period in which the lease income is determined not to be probable of collection.</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three and six months ended June 30, 2022 and 2021:</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3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For the Six Months Ended June</w:t>
            </w:r>
          </w:p>
        </w:tc>
      </w:tr>
      <w:tr>
        <w:trPr>
          <w:trHeight w:val="190"/>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revenue—fixed payments</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131,512</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263,007</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revenue—variable payments</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107,608</w:t>
            </w: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Recovery of doubtful accounts, net</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5,907</w:t>
            </w:r>
          </w:p>
        </w:tc>
      </w:tr>
      <w:tr>
        <w:trPr>
          <w:trHeight w:val="217"/>
        </w:trPr>
        <w:tc>
          <w:tcPr>
            <w:tcW w:w="444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196,987</w:t>
            </w:r>
          </w:p>
        </w:tc>
        <w:tc>
          <w:tcPr>
            <w:tcW w:w="14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392,002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376,522</w:t>
            </w:r>
          </w:p>
        </w:tc>
      </w:tr>
      <w:tr>
        <w:trPr>
          <w:trHeight w:val="20"/>
        </w:trPr>
        <w:tc>
          <w:tcPr>
            <w:tcW w:w="44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43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The following table summarizes the future rental payments to the Company: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ending June 30,</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369,308</w:t>
            </w:r>
          </w:p>
        </w:tc>
        <w:tc>
          <w:tcPr>
            <w:tcW w:w="160" w:type="dxa"/>
            <w:vAlign w:val="bottom"/>
          </w:tcPr>
          <w:p>
            <w:pPr>
              <w:spacing w:after="0"/>
              <w:rPr>
                <w:sz w:val="18"/>
                <w:szCs w:val="18"/>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320,103</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260,120</w:t>
            </w:r>
          </w:p>
        </w:tc>
        <w:tc>
          <w:tcPr>
            <w:tcW w:w="160" w:type="dxa"/>
            <w:vAlign w:val="bottom"/>
          </w:tcPr>
          <w:p>
            <w:pPr>
              <w:spacing w:after="0"/>
              <w:rPr>
                <w:sz w:val="19"/>
                <w:szCs w:val="19"/>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207,837</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159,357</w:t>
            </w:r>
          </w:p>
        </w:tc>
        <w:tc>
          <w:tcPr>
            <w:tcW w:w="160" w:type="dxa"/>
            <w:vAlign w:val="bottom"/>
          </w:tcPr>
          <w:p>
            <w:pPr>
              <w:spacing w:after="0"/>
              <w:rPr>
                <w:sz w:val="19"/>
                <w:szCs w:val="19"/>
                <w:color w:val="auto"/>
              </w:rPr>
            </w:pPr>
          </w:p>
        </w:tc>
      </w:tr>
      <w:tr>
        <w:trPr>
          <w:trHeight w:val="224"/>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461,006</w:t>
            </w:r>
          </w:p>
        </w:tc>
        <w:tc>
          <w:tcPr>
            <w:tcW w:w="160" w:type="dxa"/>
            <w:vAlign w:val="bottom"/>
          </w:tcPr>
          <w:p>
            <w:pPr>
              <w:spacing w:after="0"/>
              <w:rPr>
                <w:sz w:val="19"/>
                <w:szCs w:val="19"/>
                <w:color w:val="auto"/>
              </w:rPr>
            </w:pP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1,777,731</w:t>
            </w:r>
          </w:p>
        </w:tc>
        <w:tc>
          <w:tcPr>
            <w:tcW w:w="160" w:type="dxa"/>
            <w:vAlign w:val="bottom"/>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5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three and six months ended June 30, 2022 and 2021:</w:t>
      </w:r>
    </w:p>
    <w:p>
      <w:pPr>
        <w:spacing w:after="0" w:line="15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2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100" w:type="dxa"/>
            <w:vAlign w:val="bottom"/>
          </w:tcPr>
          <w:p>
            <w:pPr>
              <w:spacing w:after="0"/>
              <w:rPr>
                <w:sz w:val="13"/>
                <w:szCs w:val="13"/>
                <w:color w:val="auto"/>
              </w:rPr>
            </w:pPr>
          </w:p>
        </w:tc>
        <w:tc>
          <w:tcPr>
            <w:tcW w:w="204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r>
      <w:tr>
        <w:trPr>
          <w:trHeight w:val="190"/>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4"/>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2"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274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1"/>
                <w:szCs w:val="11"/>
                <w:color w:val="auto"/>
              </w:rPr>
            </w:pPr>
          </w:p>
        </w:tc>
        <w:tc>
          <w:tcPr>
            <w:tcW w:w="134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3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Pr>
          <w:p>
            <w:pPr>
              <w:spacing w:after="0"/>
              <w:rPr>
                <w:sz w:val="11"/>
                <w:szCs w:val="11"/>
                <w:color w:val="auto"/>
              </w:rPr>
            </w:pPr>
          </w:p>
        </w:tc>
        <w:tc>
          <w:tcPr>
            <w:tcW w:w="1240" w:type="dxa"/>
            <w:vAlign w:val="bottom"/>
            <w:gridSpan w:val="4"/>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4,461</w:t>
            </w: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9,072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120,534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173,774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15,576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151,566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(88,729)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(85,383)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85,045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color w:val="auto"/>
              </w:rPr>
              <w:t>66,183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term</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years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7.8 %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0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Deferred charges and other assets, net consist of the following:</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640"/>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In-place lease values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Leasing commissions and legal costs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Above-market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amortization(1)</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(154,103)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254,908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960" w:hanging="323"/>
        <w:spacing w:after="0" w:line="261" w:lineRule="auto"/>
        <w:tabs>
          <w:tab w:leader="none" w:pos="90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includes $43,294 and $43,978 relating to in-place lease values, leasing commissions and legal costs at June 30, 2022 and December 31, 2021, respectively. Amortization expense of in-place lease values, leasing commissions and legal costs was $1,664 and $2,403 for the three months ended June 30, 2022 and 2021, respectively, and $3,331 and $4,606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26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3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5"/>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70,101</w:t>
            </w:r>
          </w:p>
        </w:tc>
        <w:tc>
          <w:tcPr>
            <w:tcW w:w="480" w:type="dxa"/>
            <w:vAlign w:val="bottom"/>
            <w:gridSpan w:val="3"/>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72,289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7"/>
              </w:rPr>
              <w:t>(32,484)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36,667</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6"/>
              </w:rPr>
              <w:t>39,805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45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96,054</w:t>
            </w:r>
          </w:p>
        </w:tc>
        <w:tc>
          <w:tcPr>
            <w:tcW w:w="480" w:type="dxa"/>
            <w:vAlign w:val="bottom"/>
            <w:gridSpan w:val="3"/>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6"/>
              </w:rPr>
              <w:t>99,332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7"/>
              </w:rPr>
              <w:t>(37,122)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57,863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6"/>
              </w:rPr>
              <w:t>62,210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0" w:type="dxa"/>
            <w:vAlign w:val="bottom"/>
          </w:tcPr>
          <w:p>
            <w:pPr>
              <w:spacing w:after="0"/>
              <w:rPr>
                <w:sz w:val="14"/>
                <w:szCs w:val="14"/>
                <w:color w:val="auto"/>
              </w:rPr>
            </w:pPr>
          </w:p>
        </w:tc>
        <w:tc>
          <w:tcPr>
            <w:tcW w:w="3400" w:type="dxa"/>
            <w:vAlign w:val="bottom"/>
            <w:tcBorders>
              <w:bottom w:val="single" w:sz="8" w:color="auto"/>
            </w:tcBorders>
            <w:gridSpan w:val="2"/>
          </w:tcPr>
          <w:p>
            <w:pPr>
              <w:spacing w:after="0"/>
              <w:rPr>
                <w:sz w:val="14"/>
                <w:szCs w:val="14"/>
                <w:color w:val="auto"/>
              </w:rPr>
            </w:pPr>
          </w:p>
        </w:tc>
        <w:tc>
          <w:tcPr>
            <w:tcW w:w="134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340" w:type="dxa"/>
            <w:vAlign w:val="bottom"/>
          </w:tcPr>
          <w:p>
            <w:pPr>
              <w:spacing w:after="0"/>
              <w:rPr>
                <w:sz w:val="24"/>
                <w:szCs w:val="24"/>
                <w:color w:val="auto"/>
              </w:rPr>
            </w:pPr>
          </w:p>
        </w:tc>
        <w:tc>
          <w:tcPr>
            <w:tcW w:w="4840" w:type="dxa"/>
            <w:vAlign w:val="bottom"/>
            <w:gridSpan w:val="6"/>
          </w:tcPr>
          <w:p>
            <w:pPr>
              <w:ind w:left="300"/>
              <w:spacing w:after="0"/>
              <w:rPr>
                <w:sz w:val="20"/>
                <w:szCs w:val="20"/>
                <w:color w:val="auto"/>
              </w:rPr>
            </w:pPr>
            <w:r>
              <w:rPr>
                <w:rFonts w:ascii="Times New Roman" w:cs="Times New Roman" w:eastAsia="Times New Roman" w:hAnsi="Times New Roman"/>
                <w:sz w:val="14"/>
                <w:szCs w:val="14"/>
                <w:color w:val="auto"/>
              </w:rPr>
              <w:t>(1)  Below-market leases are included in other accrued liabilities.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4"/>
        </w:trPr>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7380" w:type="dxa"/>
            <w:vAlign w:val="bottom"/>
            <w:gridSpan w:val="12"/>
          </w:tcPr>
          <w:p>
            <w:pPr>
              <w:jc w:val="right"/>
              <w:ind w:right="838"/>
              <w:spacing w:after="0"/>
              <w:rPr>
                <w:sz w:val="20"/>
                <w:szCs w:val="20"/>
                <w:color w:val="auto"/>
              </w:rPr>
            </w:pPr>
            <w:r>
              <w:rPr>
                <w:rFonts w:ascii="Times New Roman" w:cs="Times New Roman" w:eastAsia="Times New Roman" w:hAnsi="Times New Roman"/>
                <w:sz w:val="18"/>
                <w:szCs w:val="18"/>
                <w:color w:val="auto"/>
                <w:w w:val="98"/>
              </w:rPr>
              <w:t>Mortgage notes payable at June 30, 2022 and December 31, 2021 consist of the following: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 of Mortgage Notes(1)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20" w:type="dxa"/>
            <w:vAlign w:val="bottom"/>
          </w:tcPr>
          <w:p>
            <w:pPr>
              <w:spacing w:after="0"/>
              <w:rPr>
                <w:sz w:val="2"/>
                <w:szCs w:val="2"/>
                <w:color w:val="auto"/>
              </w:rPr>
            </w:pPr>
          </w:p>
        </w:tc>
        <w:tc>
          <w:tcPr>
            <w:tcW w:w="1100" w:type="dxa"/>
            <w:vAlign w:val="bottom"/>
            <w:gridSpan w:val="5"/>
            <w:vMerge w:val="restart"/>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Monthly</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13"/>
        </w:trPr>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20" w:type="dxa"/>
            <w:vAlign w:val="bottom"/>
          </w:tcPr>
          <w:p>
            <w:pPr>
              <w:spacing w:after="0"/>
              <w:rPr>
                <w:sz w:val="12"/>
                <w:szCs w:val="12"/>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Rate(2)</w:t>
            </w:r>
          </w:p>
        </w:tc>
        <w:tc>
          <w:tcPr>
            <w:tcW w:w="120" w:type="dxa"/>
            <w:vAlign w:val="bottom"/>
          </w:tcPr>
          <w:p>
            <w:pPr>
              <w:spacing w:after="0"/>
              <w:rPr>
                <w:sz w:val="16"/>
                <w:szCs w:val="16"/>
                <w:color w:val="auto"/>
              </w:rPr>
            </w:pPr>
          </w:p>
        </w:tc>
        <w:tc>
          <w:tcPr>
            <w:tcW w:w="11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0" w:type="dxa"/>
            <w:vAlign w:val="bottom"/>
          </w:tcPr>
          <w:p>
            <w:pPr>
              <w:spacing w:after="0"/>
              <w:rPr>
                <w:sz w:val="1"/>
                <w:szCs w:val="1"/>
                <w:color w:val="auto"/>
              </w:rPr>
            </w:pPr>
          </w:p>
        </w:tc>
      </w:tr>
      <w:tr>
        <w:trPr>
          <w:trHeight w:val="222"/>
        </w:trPr>
        <w:tc>
          <w:tcPr>
            <w:tcW w:w="37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255,643</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Pr>
          <w:p>
            <w:pPr>
              <w:spacing w:after="0"/>
              <w:rPr>
                <w:sz w:val="19"/>
                <w:szCs w:val="19"/>
                <w:color w:val="auto"/>
              </w:rPr>
            </w:pP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168,037</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1,538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194,602</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299,274</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95,329</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398,711</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1,300</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324,056</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Commons(7)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124,875</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Green Acres Mall(8)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246,061</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1,447</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535,928</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1,629</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Oaks, The(9)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176,721</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1,138</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View(10)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111,481</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1,744</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Monica Place(11)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299,314</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219,323</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Towne Mall</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19,320</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4"/>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114,850</w:t>
            </w:r>
          </w:p>
        </w:tc>
        <w:tc>
          <w:tcPr>
            <w:tcW w:w="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240,124</w:t>
            </w:r>
          </w:p>
        </w:tc>
        <w:tc>
          <w:tcPr>
            <w:tcW w:w="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1,256</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4,361,131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4,423,554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800" w:hanging="400"/>
        <w:spacing w:after="0" w:line="287" w:lineRule="auto"/>
        <w:tabs>
          <w:tab w:leader="none" w:pos="7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$11,575 and $11,946 at June 30, 2022 and December 31, 2021, respectively.</w:t>
      </w:r>
    </w:p>
    <w:p>
      <w:pPr>
        <w:spacing w:after="0" w:line="101"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ectPr>
          <w:pgSz w:w="11900" w:h="16838" w:orient="portrait"/>
          <w:cols w:equalWidth="0" w:num="1">
            <w:col w:w="10700"/>
          </w:cols>
          <w:pgMar w:left="320" w:top="26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2" w:right="8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301" w:lineRule="exact"/>
        <w:rPr>
          <w:rFonts w:ascii="Times New Roman" w:cs="Times New Roman" w:eastAsia="Times New Roman" w:hAnsi="Times New Roman"/>
          <w:sz w:val="18"/>
          <w:szCs w:val="18"/>
          <w:b w:val="1"/>
          <w:bCs w:val="1"/>
          <w:color w:val="auto"/>
        </w:rPr>
      </w:pPr>
    </w:p>
    <w:p>
      <w:pPr>
        <w:ind w:left="780" w:hanging="380"/>
        <w:spacing w:after="0"/>
        <w:tabs>
          <w:tab w:leader="none" w:pos="7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54" w:lineRule="exact"/>
        <w:rPr>
          <w:rFonts w:ascii="Times New Roman" w:cs="Times New Roman" w:eastAsia="Times New Roman" w:hAnsi="Times New Roman"/>
          <w:sz w:val="14"/>
          <w:szCs w:val="14"/>
          <w:color w:val="auto"/>
        </w:rPr>
      </w:pPr>
    </w:p>
    <w:p>
      <w:pPr>
        <w:ind w:left="800" w:right="200" w:hanging="400"/>
        <w:spacing w:after="0" w:line="287" w:lineRule="auto"/>
        <w:tabs>
          <w:tab w:leader="none" w:pos="79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8" w:lineRule="exact"/>
        <w:rPr>
          <w:rFonts w:ascii="Times New Roman" w:cs="Times New Roman" w:eastAsia="Times New Roman" w:hAnsi="Times New Roman"/>
          <w:sz w:val="14"/>
          <w:szCs w:val="14"/>
          <w:color w:val="auto"/>
        </w:rPr>
      </w:pPr>
    </w:p>
    <w:p>
      <w:pPr>
        <w:ind w:left="780" w:hanging="380"/>
        <w:spacing w:after="0"/>
        <w:tabs>
          <w:tab w:leader="none" w:pos="7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w:t>
      </w:r>
    </w:p>
    <w:p>
      <w:pPr>
        <w:spacing w:after="0" w:line="141" w:lineRule="exact"/>
        <w:rPr>
          <w:rFonts w:ascii="Times New Roman" w:cs="Times New Roman" w:eastAsia="Times New Roman" w:hAnsi="Times New Roman"/>
          <w:sz w:val="14"/>
          <w:szCs w:val="14"/>
          <w:color w:val="auto"/>
        </w:rPr>
      </w:pPr>
    </w:p>
    <w:p>
      <w:pPr>
        <w:ind w:left="800" w:right="20" w:hanging="400"/>
        <w:spacing w:after="0" w:line="263" w:lineRule="auto"/>
        <w:tabs>
          <w:tab w:leader="none" w:pos="79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 On July 1, 2022, the Company further extended the loan maturity to July 1, 2023. The interest rate remained unchanged at 5.5%, and the Company repaid $10,000 of the outstanding loan balance at closing.</w:t>
      </w:r>
    </w:p>
    <w:p>
      <w:pPr>
        <w:spacing w:after="0" w:line="104" w:lineRule="exact"/>
        <w:rPr>
          <w:rFonts w:ascii="Times New Roman" w:cs="Times New Roman" w:eastAsia="Times New Roman" w:hAnsi="Times New Roman"/>
          <w:sz w:val="14"/>
          <w:szCs w:val="14"/>
          <w:color w:val="auto"/>
        </w:rPr>
      </w:pPr>
    </w:p>
    <w:p>
      <w:pPr>
        <w:ind w:left="800" w:right="640" w:hanging="400"/>
        <w:spacing w:after="0" w:line="287" w:lineRule="auto"/>
        <w:tabs>
          <w:tab w:leader="none" w:pos="79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the Company closed on a two-year extension of the loan to March 29, 2023. The interest rate is LIBOR plus 2.75% and the Company repaid $4,680 of the outstanding loan balance at closing.</w:t>
      </w:r>
    </w:p>
    <w:p>
      <w:pPr>
        <w:spacing w:after="0" w:line="88" w:lineRule="exact"/>
        <w:rPr>
          <w:rFonts w:ascii="Times New Roman" w:cs="Times New Roman" w:eastAsia="Times New Roman" w:hAnsi="Times New Roman"/>
          <w:sz w:val="14"/>
          <w:szCs w:val="14"/>
          <w:color w:val="auto"/>
        </w:rPr>
      </w:pPr>
    </w:p>
    <w:p>
      <w:pPr>
        <w:ind w:left="800" w:right="100" w:hanging="400"/>
        <w:spacing w:after="0" w:line="287" w:lineRule="auto"/>
        <w:tabs>
          <w:tab w:leader="none" w:pos="79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w:t>
      </w:r>
    </w:p>
    <w:p>
      <w:pPr>
        <w:spacing w:after="0" w:line="101" w:lineRule="exact"/>
        <w:rPr>
          <w:rFonts w:ascii="Times New Roman" w:cs="Times New Roman" w:eastAsia="Times New Roman" w:hAnsi="Times New Roman"/>
          <w:sz w:val="14"/>
          <w:szCs w:val="14"/>
          <w:color w:val="auto"/>
        </w:rPr>
      </w:pPr>
    </w:p>
    <w:p>
      <w:pPr>
        <w:ind w:left="800" w:right="340" w:hanging="400"/>
        <w:spacing w:after="0" w:line="268" w:lineRule="auto"/>
        <w:tabs>
          <w:tab w:leader="none" w:pos="79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w:t>
      </w:r>
    </w:p>
    <w:p>
      <w:pPr>
        <w:spacing w:after="0" w:line="114" w:lineRule="exact"/>
        <w:rPr>
          <w:rFonts w:ascii="Times New Roman" w:cs="Times New Roman" w:eastAsia="Times New Roman" w:hAnsi="Times New Roman"/>
          <w:sz w:val="14"/>
          <w:szCs w:val="14"/>
          <w:color w:val="auto"/>
        </w:rPr>
      </w:pPr>
    </w:p>
    <w:p>
      <w:pPr>
        <w:ind w:left="800" w:hanging="400"/>
        <w:spacing w:after="0"/>
        <w:tabs>
          <w:tab w:leader="none" w:pos="8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29, 2022, the Company closed on a new $72,000 loan with a fixed rate of 5.29% that matures on May 6, 2032.</w:t>
      </w:r>
    </w:p>
    <w:p>
      <w:pPr>
        <w:spacing w:after="0" w:line="141" w:lineRule="exact"/>
        <w:rPr>
          <w:rFonts w:ascii="Times New Roman" w:cs="Times New Roman" w:eastAsia="Times New Roman" w:hAnsi="Times New Roman"/>
          <w:sz w:val="14"/>
          <w:szCs w:val="14"/>
          <w:color w:val="auto"/>
        </w:rPr>
      </w:pPr>
    </w:p>
    <w:p>
      <w:pPr>
        <w:ind w:left="800" w:right="360" w:hanging="400"/>
        <w:spacing w:after="0" w:line="268" w:lineRule="auto"/>
        <w:tabs>
          <w:tab w:leader="none" w:pos="791"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LIBOR plus 1.48%. The loan is covered by an interest rate cap agreement that effectively prevents LIBOR from exceeding 4.0% during the period ending December 9, 2022.</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mortgage notes payable are secured by the properties on which they are placed and are non-recourse to the Company.</w:t>
      </w:r>
    </w:p>
    <w:p>
      <w:pPr>
        <w:spacing w:after="0" w:line="135" w:lineRule="exact"/>
        <w:rPr>
          <w:sz w:val="20"/>
          <w:szCs w:val="20"/>
          <w:color w:val="auto"/>
        </w:rPr>
      </w:pPr>
    </w:p>
    <w:p>
      <w:pPr>
        <w:ind w:right="760" w:firstLine="434"/>
        <w:spacing w:after="0" w:line="268" w:lineRule="auto"/>
        <w:rPr>
          <w:sz w:val="20"/>
          <w:szCs w:val="20"/>
          <w:color w:val="auto"/>
        </w:rPr>
      </w:pPr>
      <w:r>
        <w:rPr>
          <w:rFonts w:ascii="Times New Roman" w:cs="Times New Roman" w:eastAsia="Times New Roman" w:hAnsi="Times New Roman"/>
          <w:sz w:val="18"/>
          <w:szCs w:val="18"/>
          <w:color w:val="auto"/>
        </w:rPr>
        <w:t>The Company expects that all loan maturities during the next twelve months will be refinanced, restructured, extended and/or paid off from the Company's line of credit or with cash on hand.</w:t>
      </w:r>
    </w:p>
    <w:p>
      <w:pPr>
        <w:spacing w:after="0" w:line="104"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Total interest expense capitalized was $2,441 and $2,247 for the three months ended June 30, 2022 and 2021, respectively, and $4,292 and $3,709 for the six months ended June 30, 2022 and 2021, respectively.</w:t>
      </w:r>
    </w:p>
    <w:p>
      <w:pPr>
        <w:spacing w:after="0" w:line="90" w:lineRule="exact"/>
        <w:rPr>
          <w:sz w:val="20"/>
          <w:szCs w:val="20"/>
          <w:color w:val="auto"/>
        </w:rPr>
      </w:pPr>
    </w:p>
    <w:p>
      <w:pPr>
        <w:jc w:val="both"/>
        <w:ind w:right="300" w:firstLine="434"/>
        <w:spacing w:after="0" w:line="25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June 30, 2022 and December 31, 2021 was $4,025,925 and $4,261,429,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Bank and other notes payable consist of the following:</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50"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On April 14, 2021, the Company terminated its existing credit facility and entered into a new credit agreement, which provides for an aggregate $700,000 facility, including a $525,000 revolving loan facility that matures on April 14, 2023, with a one-year extension option, and a $175,000 term loan facility that matures on April 14, 2024. The revolving loan facility can be expanded up to $800,000, subject to receipt of lender commitments and other conditions. Concurrently with entering into the new credit agreement, the Company drew the $175,000 term loan facility in its entirety and drew $320,000 of the amount available under the revolving loan facility. Simultaneously with entering into the new credit agreement, the Company repaid $985,000 of debt, which included terminating and repaying all amounts outstanding under its prior revolving line of credit facility. All obligations under the facility are guaranteed unconditionally by the Company and are secured in the form of mortgages on certain wholly-owned assets and pledges of equity interests held by certain of the Company’s subsidiaries. The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 (Continued)</w:t>
      </w:r>
    </w:p>
    <w:p>
      <w:pPr>
        <w:spacing w:after="0" w:line="200" w:lineRule="exact"/>
        <w:rPr>
          <w:sz w:val="20"/>
          <w:szCs w:val="20"/>
          <w:color w:val="auto"/>
        </w:rPr>
      </w:pPr>
    </w:p>
    <w:p>
      <w:pPr>
        <w:spacing w:after="0" w:line="3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credit facility bears interest at LIBOR plus a spread of 2.25% to 3.25% depending on the Company’s overall leverage level. As of June 30, 2022, the borrowing rate was LIBOR plus 2.25%. As of June 30, 2022, borrowings under the facility were $86,000, less unamortized deferred finance costs of $11,036, for the revolving loan facility at a total interest rate of 5.21%. As of June 30, 2022, the Company's availability under the revolving loan facility for additional borrowings was $438,719. On September 20, 2021, the Company paid off the remaining balance outstanding on the term loan facility with proceeds from the sale of Tucson La Encantada (See Note 15—Dispositions). The estimated fair value (Level 2 measurement) of borrowings under the credit facility at June 30, 2022 was $84,900 for the revolving loan facility based on a present value model using a credit interest rate spread offered to the Company for comparable debt.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2022 and December 31, 2021, the Company was in compliance with all applicable financial loan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37" w:lineRule="exact"/>
        <w:rPr>
          <w:sz w:val="20"/>
          <w:szCs w:val="20"/>
          <w:color w:val="auto"/>
        </w:rPr>
      </w:pPr>
    </w:p>
    <w:p>
      <w:pPr>
        <w:ind w:firstLine="434"/>
        <w:spacing w:after="0" w:line="246"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1,319,000 square foot regional shopping center in Chandler, Arizona, and Freehold Raceway Mall, a 1,553,000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June 30, 2022 and December 31, 2021 was based upon a terminal capitalization rate of approximately 5.75%, a discount rate at June 30, 2022 and December 31, 2021 of 7.75% and 7.25%, respectively, and market rents per square foot of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29" w:lineRule="exact"/>
        <w:rPr>
          <w:sz w:val="20"/>
          <w:szCs w:val="20"/>
          <w:color w:val="auto"/>
        </w:rPr>
      </w:pPr>
    </w:p>
    <w:p>
      <w:pPr>
        <w:ind w:right="180" w:firstLine="434"/>
        <w:spacing w:after="0" w:line="268"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recognized interest expense in the Company's consolidated statements of operations in connection with the financing arrangement as follows:</w:t>
      </w:r>
    </w:p>
    <w:p>
      <w:pPr>
        <w:spacing w:after="0" w:line="200" w:lineRule="exact"/>
        <w:rPr>
          <w:sz w:val="20"/>
          <w:szCs w:val="20"/>
          <w:color w:val="auto"/>
        </w:rPr>
      </w:pPr>
    </w:p>
    <w:p>
      <w:pPr>
        <w:spacing w:after="0" w:line="28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0"/>
        </w:trPr>
        <w:tc>
          <w:tcPr>
            <w:tcW w:w="6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equal to the partner's share of 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5"/>
              </w:rPr>
              <w:t>(1,193)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5"/>
              </w:rPr>
              <w:t>(2,425)</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8"/>
              </w:rPr>
              <w:t>5,586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center"/>
              <w:ind w:left="136"/>
              <w:spacing w:after="0"/>
              <w:rPr>
                <w:sz w:val="20"/>
                <w:szCs w:val="20"/>
                <w:color w:val="auto"/>
              </w:rPr>
            </w:pPr>
            <w:r>
              <w:rPr>
                <w:rFonts w:ascii="Times New Roman" w:cs="Times New Roman" w:eastAsia="Times New Roman" w:hAnsi="Times New Roman"/>
                <w:sz w:val="18"/>
                <w:szCs w:val="18"/>
                <w:color w:val="auto"/>
                <w:w w:val="98"/>
              </w:rPr>
              <w:t>9,000</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w w:val="95"/>
              </w:rPr>
              <w:t>(1,439)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w w:val="95"/>
              </w:rPr>
              <w:t>(2,302)</w:t>
            </w:r>
          </w:p>
        </w:tc>
      </w:tr>
      <w:tr>
        <w:trPr>
          <w:trHeight w:val="217"/>
        </w:trPr>
        <w:tc>
          <w:tcPr>
            <w:tcW w:w="6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8"/>
              </w:rPr>
              <w:t>2,954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8"/>
                <w:szCs w:val="18"/>
                <w:color w:val="auto"/>
                <w:w w:val="98"/>
              </w:rPr>
              <w:t>4,273</w:t>
            </w: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37"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June 30, 2022 and December 31, 2021. The remaining 4% limited partnership interest as of June 30, 2022 and December 31, 2021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June 30, 2022 and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 (Continued)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2021, the aggregate redemption value of the then-outstanding OP Units not owned by the Company was $78,019 and $147,259, respectively.</w:t>
      </w:r>
    </w:p>
    <w:p>
      <w:pPr>
        <w:spacing w:after="0" w:line="171"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4"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Offerings</w:t>
      </w:r>
    </w:p>
    <w:p>
      <w:pPr>
        <w:spacing w:after="0" w:line="150" w:lineRule="exact"/>
        <w:rPr>
          <w:sz w:val="20"/>
          <w:szCs w:val="20"/>
          <w:color w:val="auto"/>
        </w:rPr>
      </w:pPr>
    </w:p>
    <w:p>
      <w:pPr>
        <w:ind w:right="160" w:firstLine="434"/>
        <w:spacing w:after="0" w:line="289" w:lineRule="auto"/>
        <w:rPr>
          <w:sz w:val="20"/>
          <w:szCs w:val="20"/>
          <w:color w:val="auto"/>
        </w:rPr>
      </w:pPr>
      <w:r>
        <w:rPr>
          <w:rFonts w:ascii="Times New Roman" w:cs="Times New Roman" w:eastAsia="Times New Roman" w:hAnsi="Times New Roman"/>
          <w:sz w:val="16"/>
          <w:szCs w:val="16"/>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 The February 2021 ATM Program was fully utilized as of June 30, 2021 and is no longer active.</w:t>
      </w:r>
    </w:p>
    <w:p>
      <w:pPr>
        <w:spacing w:after="0" w:line="77"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2022, the Company did not issue any shares of common stock under the March 2021 ATM Program. As of June 30, 2022, $151,699 remained available to be sold under the March 2021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March 2021 ATM Program.</w:t>
      </w:r>
    </w:p>
    <w:p>
      <w:pPr>
        <w:spacing w:after="0" w:line="118"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2021, the Company issued 59,907,761 shares of common stock under the ATM Programs for aggregate gross proceeds of $808,492 and net proceeds of $791,425 after commissions and other transaction costs. In addition, under the ATM Programs, the Company sold additional common shares at the end of the quarter ending June 30, 2021 for aggregate gross proceeds of $14,927 and net proceeds of $14,629 after commissions, of which the shares settled and the proceeds were received in July 2021.</w:t>
      </w:r>
    </w:p>
    <w:p>
      <w:pPr>
        <w:spacing w:after="0" w:line="1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37" w:lineRule="exact"/>
        <w:rPr>
          <w:sz w:val="20"/>
          <w:szCs w:val="20"/>
          <w:color w:val="auto"/>
        </w:rPr>
      </w:pPr>
    </w:p>
    <w:p>
      <w:pPr>
        <w:ind w:right="300" w:firstLine="434"/>
        <w:spacing w:after="0" w:line="252"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six months ended June 30, 2022 or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Dispositions:</w:t>
      </w:r>
    </w:p>
    <w:p>
      <w:pPr>
        <w:spacing w:after="0" w:line="137"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118"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On September 17, 2021, the Company sold Tucson La Encantada in Tucson, Arizona for $165,250, resulting in a gain on sale of assets of approximately $117,242. The Company used the net cash proceeds of $100,142 to pay down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Dispositions: (Continued)</w:t>
      </w:r>
    </w:p>
    <w:p>
      <w:pPr>
        <w:spacing w:after="0" w:line="200" w:lineRule="exact"/>
        <w:rPr>
          <w:sz w:val="20"/>
          <w:szCs w:val="20"/>
          <w:color w:val="auto"/>
        </w:rPr>
      </w:pPr>
    </w:p>
    <w:p>
      <w:pPr>
        <w:spacing w:after="0" w:line="213"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sold various land parcels in separate transactions, resulting in gains on sale of land of $66 and $15,147, respectively. For the three and six months ended June 30, 2021, the Company sold various land parcels in separate transactions, resulting in gains on sale of land of $15,722 and $19,818, respectively. The Company used its share of the proceeds from these sales to pay down debt and for other general corporate purposes.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0" w:lineRule="exact"/>
        <w:rPr>
          <w:sz w:val="20"/>
          <w:szCs w:val="20"/>
          <w:color w:val="auto"/>
        </w:rPr>
      </w:pPr>
    </w:p>
    <w:p>
      <w:pPr>
        <w:ind w:right="180" w:firstLine="434"/>
        <w:spacing w:after="0" w:line="256" w:lineRule="auto"/>
        <w:rPr>
          <w:sz w:val="20"/>
          <w:szCs w:val="20"/>
          <w:color w:val="auto"/>
        </w:rPr>
      </w:pPr>
      <w:r>
        <w:rPr>
          <w:rFonts w:ascii="Times New Roman" w:cs="Times New Roman" w:eastAsia="Times New Roman" w:hAnsi="Times New Roman"/>
          <w:sz w:val="18"/>
          <w:szCs w:val="18"/>
          <w:color w:val="auto"/>
        </w:rPr>
        <w:t>As of June 30, 2022, the Company was contingently liable for $40,997 in letters of credit guaranteeing performance by the Company of certain obligations relating to the Centers. As of June 30, 2022, $40,680 of these letters of credit were secured by restricted cash. The Company does not believe that these letters of credit will result in a liability to the Company.</w:t>
      </w:r>
    </w:p>
    <w:p>
      <w:pPr>
        <w:spacing w:after="0" w:line="101" w:lineRule="exact"/>
        <w:rPr>
          <w:sz w:val="20"/>
          <w:szCs w:val="20"/>
          <w:color w:val="auto"/>
        </w:rPr>
      </w:pPr>
    </w:p>
    <w:p>
      <w:pPr>
        <w:ind w:right="200" w:firstLine="434"/>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June 30, 2022, the Company had $6,443 in outstanding obligations, which it believes will be settled in the next twelve months.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50"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are fees charged to unconsolidated joint ventures:</w:t>
      </w:r>
    </w:p>
    <w:p>
      <w:pPr>
        <w:spacing w:after="0" w:line="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3"/>
                <w:szCs w:val="13"/>
                <w:color w:val="auto"/>
              </w:rPr>
            </w:pPr>
          </w:p>
        </w:tc>
        <w:tc>
          <w:tcPr>
            <w:tcW w:w="2040" w:type="dxa"/>
            <w:vAlign w:val="bottom"/>
            <w:gridSpan w:val="5"/>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9"/>
              </w:rPr>
              <w:t>For the Six Months Ended June</w:t>
            </w:r>
          </w:p>
        </w:tc>
      </w:tr>
      <w:tr>
        <w:trPr>
          <w:trHeight w:val="190"/>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0"/>
        </w:trPr>
        <w:tc>
          <w:tcPr>
            <w:tcW w:w="3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r>
      <w:tr>
        <w:trPr>
          <w:trHeight w:val="224"/>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42"/>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expense from related party transactions includes $8,892 and $2,954 for the three months ended June 30, 2022 and 2021, respectively,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$16,895 and $4,273 for the six months ended June 30, 2022 and 2021, respectively, in connection with the financing arrangement (See Note 12—Financing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w:t>
      </w:r>
    </w:p>
    <w:p>
      <w:pPr>
        <w:spacing w:after="0" w:line="131" w:lineRule="exact"/>
        <w:rPr>
          <w:sz w:val="20"/>
          <w:szCs w:val="20"/>
          <w:color w:val="auto"/>
        </w:rPr>
      </w:pPr>
    </w:p>
    <w:p>
      <w:pPr>
        <w:ind w:right="560" w:firstLine="434"/>
        <w:spacing w:after="0" w:line="268" w:lineRule="auto"/>
        <w:rPr>
          <w:sz w:val="20"/>
          <w:szCs w:val="20"/>
          <w:color w:val="auto"/>
        </w:rPr>
      </w:pPr>
      <w:r>
        <w:rPr>
          <w:rFonts w:ascii="Times New Roman" w:cs="Times New Roman" w:eastAsia="Times New Roman" w:hAnsi="Times New Roman"/>
          <w:sz w:val="18"/>
          <w:szCs w:val="18"/>
          <w:color w:val="auto"/>
        </w:rPr>
        <w:t>Due from (to) affiliates includes $3,209 and $(327) of unreimbursed (prepaid) costs and fees from unconsolidated joint ventures due to (from) the Management Companies at June 30, 2022 and December 31, 2021,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 and Unit-Based Plans:</w:t>
      </w:r>
    </w:p>
    <w:p>
      <w:pPr>
        <w:spacing w:after="0" w:line="137"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19"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 and Unit-Based Plans: (Continued)</w:t>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six months ended June 30, 2022, the Company granted the following LTI Units: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per LTI</w:t>
            </w:r>
          </w:p>
        </w:tc>
        <w:tc>
          <w:tcPr>
            <w:tcW w:w="130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0"/>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376,153</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716,545</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grant. The fair value (Level 3 measurement) of the performance-based LTI Units granted on January 1, 2022 was estimated on the date of grant using a Monte Carlo Simulation model that assumed a risk-free interest rate of 0.97% and an expected volatility of 70.83%.</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phantom stock units and stock units: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20" w:type="dxa"/>
            <w:vAlign w:val="bottom"/>
          </w:tcPr>
          <w:p>
            <w:pPr>
              <w:spacing w:after="0"/>
              <w:rPr>
                <w:sz w:val="18"/>
                <w:szCs w:val="18"/>
                <w:color w:val="auto"/>
              </w:rPr>
            </w:pPr>
          </w:p>
        </w:tc>
        <w:tc>
          <w:tcPr>
            <w:tcW w:w="22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LTI Units</w:t>
            </w: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Phantom Stock Units</w:t>
            </w:r>
          </w:p>
        </w:tc>
        <w:tc>
          <w:tcPr>
            <w:tcW w:w="216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05"/>
        </w:trPr>
        <w:tc>
          <w:tcPr>
            <w:tcW w:w="2720" w:type="dxa"/>
            <w:vAlign w:val="bottom"/>
          </w:tcPr>
          <w:p>
            <w:pPr>
              <w:spacing w:after="0"/>
              <w:rPr>
                <w:sz w:val="17"/>
                <w:szCs w:val="17"/>
                <w:color w:val="auto"/>
              </w:rPr>
            </w:pPr>
          </w:p>
        </w:tc>
        <w:tc>
          <w:tcPr>
            <w:tcW w:w="116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100" w:type="dxa"/>
            <w:vAlign w:val="bottom"/>
          </w:tcPr>
          <w:p>
            <w:pPr>
              <w:spacing w:after="0"/>
              <w:rPr>
                <w:sz w:val="17"/>
                <w:szCs w:val="17"/>
                <w:color w:val="auto"/>
              </w:rPr>
            </w:pPr>
          </w:p>
        </w:tc>
        <w:tc>
          <w:tcPr>
            <w:tcW w:w="106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1,837,691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4"/>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(162,969)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2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42,358</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303,816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57"/>
        </w:trPr>
        <w:tc>
          <w:tcPr>
            <w:tcW w:w="27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Value represents the weighted average grant date fair value.</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activity of the stock options outstanding:</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05"/>
        </w:trPr>
        <w:tc>
          <w:tcPr>
            <w:tcW w:w="3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Value(1)</w:t>
            </w: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24"/>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0"/>
        </w:trPr>
        <w:tc>
          <w:tcPr>
            <w:tcW w:w="3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150495</wp:posOffset>
            </wp:positionV>
            <wp:extent cx="19215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 Value represents the weighted average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60"/>
          </w:cols>
          <w:pgMar w:left="320" w:top="262" w:right="6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 and Unit-Based Plans: (Continued)</w:t>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2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10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r>
      <w:tr>
        <w:trPr>
          <w:trHeight w:val="190"/>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760" w:type="dxa"/>
            <w:vAlign w:val="bottom"/>
            <w:tcBorders>
              <w:bottom w:val="single" w:sz="8" w:color="auto"/>
            </w:tcBorders>
          </w:tcPr>
          <w:p>
            <w:pPr>
              <w:spacing w:after="0"/>
              <w:rPr>
                <w:sz w:val="16"/>
                <w:szCs w:val="16"/>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2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2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7"/>
        </w:trPr>
        <w:tc>
          <w:tcPr>
            <w:tcW w:w="51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$1,101 and $902 for the three months ended June 30, 2022 and 2021, respectively, and $2,294 and $1,903 for the six months ended June 30, 2022 and 2021, respectively. Unrecognized compensation costs of share and unit-based plans at June 30, 2022 consisted of $13,007 from LTI Units, $2,377 from stock units and $0 from phantom stock units.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50" w:lineRule="exact"/>
        <w:rPr>
          <w:sz w:val="20"/>
          <w:szCs w:val="20"/>
          <w:color w:val="auto"/>
        </w:rPr>
      </w:pPr>
    </w:p>
    <w:p>
      <w:pPr>
        <w:ind w:right="20" w:firstLine="434"/>
        <w:spacing w:after="0" w:line="252"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34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4"/>
        </w:trPr>
        <w:tc>
          <w:tcPr>
            <w:tcW w:w="4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43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42"/>
        </w:trPr>
        <w:tc>
          <w:tcPr>
            <w:tcW w:w="4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benefit (expense)</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firstLine="434"/>
        <w:spacing w:after="0" w:line="293" w:lineRule="auto"/>
        <w:rPr>
          <w:sz w:val="20"/>
          <w:szCs w:val="20"/>
          <w:color w:val="auto"/>
        </w:rPr>
      </w:pPr>
      <w:r>
        <w:rPr>
          <w:rFonts w:ascii="Times New Roman" w:cs="Times New Roman" w:eastAsia="Times New Roman" w:hAnsi="Times New Roman"/>
          <w:sz w:val="16"/>
          <w:szCs w:val="16"/>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$22,690 and $23,406 were included in deferred charges and other assets, net at June 30, 2022 and December 31, 2021, respectively.</w:t>
      </w:r>
    </w:p>
    <w:p>
      <w:pPr>
        <w:spacing w:after="0" w:line="88"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June 30, 2022, the Company had no valuation allowance recorded.</w:t>
      </w:r>
    </w:p>
    <w:p>
      <w:pPr>
        <w:spacing w:after="0" w:line="10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tax years 2018 through 2020 remain open to examination by the taxing jurisdictions to which the Company is subject. The Company does not expect that the total amount of unrecognized tax benefit will materially change within the next twelve months.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50" w:lineRule="exact"/>
        <w:rPr>
          <w:sz w:val="20"/>
          <w:szCs w:val="20"/>
          <w:color w:val="auto"/>
        </w:rPr>
      </w:pPr>
    </w:p>
    <w:p>
      <w:pPr>
        <w:ind w:right="600" w:firstLine="434"/>
        <w:spacing w:after="0" w:line="253" w:lineRule="auto"/>
        <w:rPr>
          <w:sz w:val="20"/>
          <w:szCs w:val="20"/>
          <w:color w:val="auto"/>
        </w:rPr>
      </w:pPr>
      <w:r>
        <w:rPr>
          <w:rFonts w:ascii="Times New Roman" w:cs="Times New Roman" w:eastAsia="Times New Roman" w:hAnsi="Times New Roman"/>
          <w:sz w:val="18"/>
          <w:szCs w:val="18"/>
          <w:color w:val="auto"/>
        </w:rPr>
        <w:t>On July 20, 2022, the Company announced a dividend/distribution of $0.15 per share for common stockholders and OP Unitholders of record on August 19, 2022. All dividends/distributions will be paid 100% in cash on September 8, 2022.</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2"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880"/>
        <w:spacing w:after="0" w:line="456"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 IMPORTANT INFORMATION RELATED TO FORWARD-LOOKING STATEMENTS</w:t>
      </w:r>
    </w:p>
    <w:p>
      <w:pPr>
        <w:ind w:firstLine="434"/>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19" w:lineRule="exact"/>
        <w:rPr>
          <w:sz w:val="20"/>
          <w:szCs w:val="20"/>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56" w:lineRule="exact"/>
        <w:rPr>
          <w:rFonts w:ascii="Times New Roman" w:cs="Times New Roman" w:eastAsia="Times New Roman" w:hAnsi="Times New Roman"/>
          <w:sz w:val="18"/>
          <w:szCs w:val="18"/>
          <w:color w:val="auto"/>
        </w:rPr>
      </w:pPr>
    </w:p>
    <w:p>
      <w:pPr>
        <w:ind w:left="1260" w:right="160" w:hanging="623"/>
        <w:spacing w:after="0" w:line="268"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56"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56" w:lineRule="exact"/>
        <w:rPr>
          <w:rFonts w:ascii="Times New Roman" w:cs="Times New Roman" w:eastAsia="Times New Roman" w:hAnsi="Times New Roman"/>
          <w:sz w:val="18"/>
          <w:szCs w:val="18"/>
          <w:color w:val="auto"/>
        </w:rPr>
      </w:pPr>
    </w:p>
    <w:p>
      <w:pPr>
        <w:ind w:left="1260" w:right="460" w:hanging="623"/>
        <w:spacing w:after="0" w:line="268"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Stockholders are cautioned that any such forward-looking statements are not guarantees of future performance and involve risks, uncertainties and other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cause actual results, performance or achievements of the Company or the industry to differ materially from the Company's future results,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 or achievements, or those of the industry, expressed or implied in such forward-looking statements. Such factors include, among others, general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as well as global, national, regional and local economic and business conditions, which will, among other things, affect demand for retail space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goods, availability and creditworthiness of current and prospective tenants, anchor or tenant bankruptcies, closures, mergers or consolidations, lease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payments, rising interest rates and inflation and its impact on the financial condition and results of operation of the Company and its tenants,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availability, terms and cost of financing and operating expenses; adverse changes in the real estate markets including, among other things, competition from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companies, retail formats and technology, risks of real estate development and redevelopment (including rising inflation, supply chain disruptions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delays), acquisitions and dispositions; the continuing adverse impact of the novel coronavirus ("COVID-19") on the U.S., regional and global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economies and the financial condition and results of operations of the Company and its tenants; the liquidity of real estate investments, governmental 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initiatives (including legislative and regulatory changes); environmental and safety requirements; and terrorist activities or other acts of violence which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adversely affect all of the above factors. You are urged to carefully review the disclosures we make concerning these risks and other factors that may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our business and operating results, including those made in "Item 1A. Risk Factors" in our Annual Report on Form 10-K for the year 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2021, as well as our other reports filed with the Securities and Exchange Commission (the "SEC"), which disclosures are incorporated herein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reference. You are cautioned not to place undue reliance on these forward-looking statements, which speak only as of the date of this document.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does not intend, and undertakes no obligation, to update any forward-looking information to reflect events or circumstances after the date of this document or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occurrence of unanticipated events, unless required by law to do so.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50" w:lineRule="exact"/>
        <w:rPr>
          <w:sz w:val="20"/>
          <w:szCs w:val="20"/>
          <w:color w:val="auto"/>
        </w:rPr>
      </w:pPr>
    </w:p>
    <w:p>
      <w:pPr>
        <w:ind w:right="120" w:firstLine="434"/>
        <w:spacing w:after="0" w:line="247"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June 30, 2022, the Operating Partnership owned or had an ownership interest in 44 regional town centers, five community/power shopping centers and two redevelopment properties. These 51 regional town centers, community/power shopping centers and redevelopment properties (which include any adjoining mixed-use improvements) consist of approximately 48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 referred to herein as the "Management Companies").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is a self-administered and self-managed real estate investment trust ("REIT") and conducts all of its operations through the Operating Partnership and the Management Companies.</w:t>
      </w:r>
    </w:p>
    <w:p>
      <w:pPr>
        <w:spacing w:after="0" w:line="90" w:lineRule="exact"/>
        <w:rPr>
          <w:sz w:val="20"/>
          <w:szCs w:val="20"/>
          <w:color w:val="auto"/>
        </w:rPr>
      </w:pPr>
    </w:p>
    <w:p>
      <w:pPr>
        <w:ind w:right="120" w:firstLine="434"/>
        <w:spacing w:after="0" w:line="252"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three and six months ended June 30, 2022 and 2021. It compares the results of operations for the three months ended June 30, 2022 to the results of operations for the three months ended June 30, 2021. It also compares the results of operations and cash flows for the six months ended June 30, 2022 to the results of operations and cash flows for the six months ended June 30, 2021.</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should be read in conjunction with the accompanying consolidated financial statements and notes thereto.</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37"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On March 29, 2021, the Company sold Paradise Valley Mall in Phoenix, Arizona to a newly formed joint venture for $100.0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"—Liquidity and Capital Resources").</w:t>
      </w:r>
    </w:p>
    <w:p>
      <w:pPr>
        <w:spacing w:after="0" w:line="80" w:lineRule="exact"/>
        <w:rPr>
          <w:sz w:val="20"/>
          <w:szCs w:val="20"/>
          <w:color w:val="auto"/>
        </w:rPr>
      </w:pPr>
    </w:p>
    <w:p>
      <w:pPr>
        <w:ind w:right="440" w:firstLine="434"/>
        <w:spacing w:after="0" w:line="256" w:lineRule="auto"/>
        <w:rPr>
          <w:sz w:val="20"/>
          <w:szCs w:val="20"/>
          <w:color w:val="auto"/>
        </w:rPr>
      </w:pPr>
      <w:r>
        <w:rPr>
          <w:rFonts w:ascii="Times New Roman" w:cs="Times New Roman" w:eastAsia="Times New Roman" w:hAnsi="Times New Roman"/>
          <w:sz w:val="18"/>
          <w:szCs w:val="18"/>
          <w:color w:val="auto"/>
        </w:rPr>
        <w:t>On September 17, 2021, the Company sold Tucson La Encantada in Tucson, Arizona for $165.3 million, resulting in a gain on sale of assets of approximately $117.2 million. The Company used the net cash proceeds of approximately $100.1 million to pay down debt (See "—Liquidity and Capital Resources").</w:t>
      </w:r>
    </w:p>
    <w:p>
      <w:pPr>
        <w:spacing w:after="0" w:line="114" w:lineRule="exact"/>
        <w:rPr>
          <w:sz w:val="20"/>
          <w:szCs w:val="20"/>
          <w:color w:val="auto"/>
        </w:rPr>
      </w:pPr>
    </w:p>
    <w:p>
      <w:pPr>
        <w:jc w:val="both"/>
        <w:ind w:right="540" w:firstLine="434"/>
        <w:spacing w:after="0" w:line="303" w:lineRule="auto"/>
        <w:rPr>
          <w:sz w:val="20"/>
          <w:szCs w:val="20"/>
          <w:color w:val="auto"/>
        </w:rPr>
      </w:pPr>
      <w:r>
        <w:rPr>
          <w:rFonts w:ascii="Times New Roman" w:cs="Times New Roman" w:eastAsia="Times New Roman" w:hAnsi="Times New Roman"/>
          <w:sz w:val="16"/>
          <w:szCs w:val="16"/>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66"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104" w:lineRule="exact"/>
        <w:rPr>
          <w:sz w:val="20"/>
          <w:szCs w:val="20"/>
          <w:color w:val="auto"/>
        </w:rPr>
      </w:pPr>
    </w:p>
    <w:p>
      <w:pPr>
        <w:ind w:right="160" w:firstLine="434"/>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2021, the Company and certain joint venture partners sold various land parcels in separate transactions, resulting in the Company’s share of the gain on sale of land of $19.6 million. The Company used its share of the proceeds from these sales of $46.5 million to pay down debt and for other general corporate purposes.</w:t>
      </w:r>
    </w:p>
    <w:p>
      <w:pPr>
        <w:spacing w:after="0" w:line="114" w:lineRule="exact"/>
        <w:rPr>
          <w:sz w:val="20"/>
          <w:szCs w:val="20"/>
          <w:color w:val="auto"/>
        </w:rPr>
      </w:pPr>
    </w:p>
    <w:p>
      <w:pPr>
        <w:ind w:right="260" w:firstLine="434"/>
        <w:spacing w:after="0" w:line="252"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and certain joint venture partners sold various land parcels in separate transactions, resulting in the Company’s share of the gain on sale of land of $1.0 million and $12.3 million, respectively. The Company’s proceeds from these sales in the three and six months ended June 30, 2022 were $6.9 million and $27.3 million, respectively. The Company used its share of the proceeds from these sales to pay down debt and for other general corporate purposes.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0"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On January 22, 2021, the Company closed on a one-year extension for the Green Acres Mall $258.2 million loan to February 3, 2022, which also included a one-year extension option to February 3, 2023 that has been exercised. The interest rate remained unchanged, and the Company repaid $9 million of the outstanding loan balance at closing.</w:t>
      </w:r>
    </w:p>
    <w:p>
      <w:pPr>
        <w:spacing w:after="0" w:line="11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March 25, 2021, the Company closed on a two-year extension for the Green Acres Commons $124.6 million loan to March 29, 2023. The interest rate is LIBOR plus 2.75% and the Company repaid $4.7 million of the outstanding loan balance at closing.</w:t>
      </w:r>
    </w:p>
    <w:p>
      <w:pPr>
        <w:spacing w:after="0" w:line="9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Company drew the $175 million term loan facility in its entirety simultaneously with entering into the new credit agreement in April 2021 and subsequently paid off the remaining balance outstanding on the term loan facility with proceeds from the sale of Tucson La Encantada in September 2021.</w:t>
      </w:r>
    </w:p>
    <w:p>
      <w:pPr>
        <w:spacing w:after="0" w:line="119" w:lineRule="exact"/>
        <w:rPr>
          <w:sz w:val="20"/>
          <w:szCs w:val="20"/>
          <w:color w:val="auto"/>
        </w:rPr>
      </w:pPr>
    </w:p>
    <w:p>
      <w:pPr>
        <w:ind w:right="100" w:firstLine="434"/>
        <w:spacing w:after="0" w:line="332" w:lineRule="auto"/>
        <w:rPr>
          <w:sz w:val="20"/>
          <w:szCs w:val="20"/>
          <w:color w:val="auto"/>
        </w:rPr>
      </w:pPr>
      <w:r>
        <w:rPr>
          <w:rFonts w:ascii="Times New Roman" w:cs="Times New Roman" w:eastAsia="Times New Roman" w:hAnsi="Times New Roman"/>
          <w:sz w:val="16"/>
          <w:szCs w:val="16"/>
          <w:color w:val="auto"/>
        </w:rPr>
        <w:t>On September 15, 2021, the Company further extended the loan maturity on Danbury Fair Mall to July 1, 2022. The interest rate remained unchanged at 5.5%, and the Company repaid $10.0 million of the outstanding loan balance at closing. The loan maturity was further extended in July 2022.</w:t>
      </w:r>
    </w:p>
    <w:p>
      <w:pPr>
        <w:spacing w:after="0" w:line="57"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On October 26, 2021, the Company's joint venture in The Shops at Atlas Park replaced the existing loan on the property with a new $65 million loan that bears interest at a floating rate of LIBOR plus 4.15% and matures on November 9, 2026,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including extension options. The loan is covered by an interest rate cap agreement that effectively prevents LIBOR from exceeding 3.0% through November 7, 2023.</w:t>
      </w:r>
    </w:p>
    <w:p>
      <w:pPr>
        <w:spacing w:after="0" w:line="90" w:lineRule="exact"/>
        <w:rPr>
          <w:sz w:val="20"/>
          <w:szCs w:val="20"/>
          <w:color w:val="auto"/>
        </w:rPr>
      </w:pPr>
    </w:p>
    <w:p>
      <w:pPr>
        <w:jc w:val="both"/>
        <w:ind w:right="260" w:firstLine="43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repaid $1.7 billion of debt then outstanding, including the $985 million repaid in connection with entering into the new credit agreement in April 2021. These repaid amounts represented an approximately 20% reduction in the debt outstanding, at the Company’s share, since December 31, 2020.</w:t>
      </w:r>
    </w:p>
    <w:p>
      <w:pPr>
        <w:spacing w:after="0" w:line="114" w:lineRule="exact"/>
        <w:rPr>
          <w:sz w:val="20"/>
          <w:szCs w:val="20"/>
          <w:color w:val="auto"/>
        </w:rPr>
      </w:pPr>
    </w:p>
    <w:p>
      <w:pPr>
        <w:ind w:right="140" w:firstLine="434"/>
        <w:spacing w:after="0" w:line="25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spacing w:after="0" w:line="114" w:lineRule="exact"/>
        <w:rPr>
          <w:sz w:val="20"/>
          <w:szCs w:val="20"/>
          <w:color w:val="auto"/>
        </w:rPr>
      </w:pPr>
    </w:p>
    <w:p>
      <w:pPr>
        <w:ind w:right="280" w:firstLine="434"/>
        <w:spacing w:after="0" w:line="268" w:lineRule="auto"/>
        <w:rPr>
          <w:sz w:val="20"/>
          <w:szCs w:val="20"/>
          <w:color w:val="auto"/>
        </w:rPr>
      </w:pPr>
      <w:r>
        <w:rPr>
          <w:rFonts w:ascii="Times New Roman" w:cs="Times New Roman" w:eastAsia="Times New Roman" w:hAnsi="Times New Roman"/>
          <w:sz w:val="18"/>
          <w:szCs w:val="18"/>
          <w:color w:val="auto"/>
        </w:rPr>
        <w:t>On April 29, 2022, the Company replaced the existing $110.6 million loan on Pacific View with a new $72.0 million loan that bears interest at a fixed rate of 5.29% and matures on May 6, 2032.</w:t>
      </w:r>
    </w:p>
    <w:p>
      <w:pPr>
        <w:spacing w:after="0" w:line="90" w:lineRule="exact"/>
        <w:rPr>
          <w:sz w:val="20"/>
          <w:szCs w:val="20"/>
          <w:color w:val="auto"/>
        </w:rPr>
      </w:pPr>
    </w:p>
    <w:p>
      <w:pPr>
        <w:ind w:right="260" w:firstLine="434"/>
        <w:spacing w:after="0" w:line="268" w:lineRule="auto"/>
        <w:rPr>
          <w:sz w:val="20"/>
          <w:szCs w:val="20"/>
          <w:color w:val="auto"/>
        </w:rPr>
      </w:pPr>
      <w:r>
        <w:rPr>
          <w:rFonts w:ascii="Times New Roman" w:cs="Times New Roman" w:eastAsia="Times New Roman" w:hAnsi="Times New Roman"/>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04"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37" w:lineRule="exact"/>
        <w:rPr>
          <w:sz w:val="20"/>
          <w:szCs w:val="20"/>
          <w:color w:val="auto"/>
        </w:rPr>
      </w:pPr>
    </w:p>
    <w:p>
      <w:pPr>
        <w:ind w:right="20" w:firstLine="434"/>
        <w:spacing w:after="0" w:line="249" w:lineRule="auto"/>
        <w:rPr>
          <w:sz w:val="20"/>
          <w:szCs w:val="20"/>
          <w:color w:val="auto"/>
        </w:rPr>
      </w:pPr>
      <w:r>
        <w:rPr>
          <w:rFonts w:ascii="Times New Roman" w:cs="Times New Roman" w:eastAsia="Times New Roman" w:hAnsi="Times New Roman"/>
          <w:sz w:val="18"/>
          <w:szCs w:val="18"/>
          <w:color w:val="auto"/>
        </w:rPr>
        <w:t>The Company's joint venture with Hudson Pacific Properties is redeveloping One Westside into 584,000 square feet of creative office space and 96,000 square feet of dining and entertainment space. The entire creative office space has been leased to Google and is expected to be completed in the third quarter of 2022. During the fourth quarter of 2021, the joint venture delivered the office space to Google for tenant improvement work, which Google has commenced. The total cost of the project is estimated to be between $500.0 million and $550.0 million, with $125.0 million to $137.5 million estimated to be the Company's pro rata share. The Company has incurred $118.7 million of the total $474.9 million incurred by the joint venture as of June 30, 2022. The joint venture expects to fund the remaining costs of the development with its $414.6 million construction loan.</w:t>
      </w:r>
    </w:p>
    <w:p>
      <w:pPr>
        <w:spacing w:after="0" w:line="119" w:lineRule="exact"/>
        <w:rPr>
          <w:sz w:val="20"/>
          <w:szCs w:val="20"/>
          <w:color w:val="auto"/>
        </w:rPr>
      </w:pPr>
    </w:p>
    <w:p>
      <w:pPr>
        <w:ind w:right="260" w:firstLine="434"/>
        <w:spacing w:after="0" w:line="332" w:lineRule="auto"/>
        <w:rPr>
          <w:sz w:val="20"/>
          <w:szCs w:val="20"/>
          <w:color w:val="auto"/>
        </w:rPr>
      </w:pPr>
      <w:r>
        <w:rPr>
          <w:rFonts w:ascii="Times New Roman" w:cs="Times New Roman" w:eastAsia="Times New Roman" w:hAnsi="Times New Roman"/>
          <w:sz w:val="16"/>
          <w:szCs w:val="16"/>
          <w:color w:val="auto"/>
        </w:rPr>
        <w:t>The Company has a 50/50 joint venture with Simon Property Group, which was initially formed to develop Los Angeles Premium Outlets, a premium outlet center in Carson, California. The Company has funded $40.6 million of the total $81.2 million incurred by the joint venture as of June 30, 2022.</w:t>
      </w:r>
    </w:p>
    <w:p>
      <w:pPr>
        <w:spacing w:after="0" w:line="57"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closures and lease rejections of several Sears stores owned or partially owned by the Company, the Company anticipates spending between $130.0 million to $160.0 million at the Company’s pro rata share to redevelop the Sears stores. The anticipated openings of such redevelopments are expected to occur over several years. The estimated range of redevelopment costs could increase if the Company or its joint venture decides to expand the scope of the redevelopments. The Company has funded $42.7 million at its pro rata share as of June 30, 2022.</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50"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As of the date of this Quarterly Report on Form 10-Q, government-imposed capacity restrictions resulting from COVID-19 have been essentially eliminated across the Company's markets. Although overall fundamentals at the Centers continued to improve during 2021 and into the first half of 2022, the Company expects that its results will continue to be negatively impacted for the remainder of 2022 due, in part, to the continued impact of the COVID-19 pandemic, which has resulted in reduced occupancy relative to pre-COVID levels and additional Anchor closures, among other factors.</w:t>
      </w:r>
    </w:p>
    <w:p>
      <w:pPr>
        <w:spacing w:after="0" w:line="121"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declared a cash dividend of $0.15 per share of its common stock for each quarter in the year ended December 31, 2021 and for the first and second quarters of 2022. On July 20, 2022, the Company declared a third quarter cash dividend of $0.15 per share of its common stock, which will be paid on September 8, 2022 to stockholders of record on August 19, 2022. The dividend amount will be reviewed by the Board on a quarterly basis.</w:t>
      </w:r>
    </w:p>
    <w:p>
      <w:pPr>
        <w:spacing w:after="0" w:line="101"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price of up to $500 million under each of the February 2021 ATM Program and the March 2021 ATM Program, or a total of $1 billion under the ATM Programs. As of June 30, 2022, the Company had approximately $151.7 million of gross sales of its common stock available under the March 2021 ATM Program. The February 2021 ATM Program was fully utilized as of June 30, 2021 and is no longer active.</w:t>
      </w:r>
    </w:p>
    <w:p>
      <w:pPr>
        <w:spacing w:after="0" w:line="101"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See “—Liquidity and Capital Resources” for a further discussion of the Company’s anticipated liquidity needs, and the measures taken by the Company to meet those needs.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50" w:lineRule="exact"/>
        <w:rPr>
          <w:sz w:val="20"/>
          <w:szCs w:val="20"/>
          <w:color w:val="auto"/>
        </w:rPr>
      </w:pPr>
    </w:p>
    <w:p>
      <w:pPr>
        <w:ind w:firstLine="434"/>
        <w:spacing w:after="0" w:line="286" w:lineRule="auto"/>
        <w:rPr>
          <w:sz w:val="20"/>
          <w:szCs w:val="20"/>
          <w:color w:val="auto"/>
        </w:rPr>
      </w:pPr>
      <w:r>
        <w:rPr>
          <w:rFonts w:ascii="Times New Roman" w:cs="Times New Roman" w:eastAsia="Times New Roman" w:hAnsi="Times New Roman"/>
          <w:sz w:val="16"/>
          <w:szCs w:val="16"/>
          <w:color w:val="auto"/>
        </w:rPr>
        <w:t>In the last five years, inflation has not had a significant impact on the Company. 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firstLine="434"/>
        <w:spacing w:after="0" w:line="303"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80" w:lineRule="exact"/>
        <w:rPr>
          <w:sz w:val="20"/>
          <w:szCs w:val="20"/>
          <w:color w:val="auto"/>
        </w:rPr>
      </w:pPr>
    </w:p>
    <w:p>
      <w:pPr>
        <w:ind w:right="20" w:firstLine="434"/>
        <w:spacing w:after="0" w:line="293" w:lineRule="auto"/>
        <w:rPr>
          <w:sz w:val="20"/>
          <w:szCs w:val="20"/>
          <w:color w:val="auto"/>
        </w:rPr>
      </w:pPr>
      <w:r>
        <w:rPr>
          <w:rFonts w:ascii="Times New Roman" w:cs="Times New Roman" w:eastAsia="Times New Roman" w:hAnsi="Times New Roman"/>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0" w:lineRule="exact"/>
        <w:rPr>
          <w:sz w:val="20"/>
          <w:szCs w:val="20"/>
          <w:color w:val="auto"/>
        </w:rPr>
      </w:pPr>
    </w:p>
    <w:p>
      <w:pPr>
        <w:ind w:right="40" w:firstLine="434"/>
        <w:spacing w:after="0" w:line="277"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50"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125" w:lineRule="exact"/>
        <w:rPr>
          <w:sz w:val="20"/>
          <w:szCs w:val="20"/>
          <w:color w:val="auto"/>
        </w:rPr>
      </w:pPr>
    </w:p>
    <w:p>
      <w:pPr>
        <w:ind w:firstLine="434"/>
        <w:spacing w:after="0" w:line="256" w:lineRule="auto"/>
        <w:rPr>
          <w:sz w:val="20"/>
          <w:szCs w:val="20"/>
          <w:color w:val="auto"/>
        </w:rPr>
      </w:pPr>
      <w:r>
        <w:rPr>
          <w:rFonts w:ascii="Times New Roman" w:cs="Times New Roman" w:eastAsia="Times New Roman" w:hAnsi="Times New Roman"/>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50" w:lineRule="exact"/>
        <w:rPr>
          <w:sz w:val="20"/>
          <w:szCs w:val="20"/>
          <w:color w:val="auto"/>
        </w:rPr>
      </w:pPr>
    </w:p>
    <w:p>
      <w:pPr>
        <w:ind w:right="40" w:firstLine="434"/>
        <w:spacing w:after="0" w:line="246"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29" w:lineRule="exact"/>
        <w:rPr>
          <w:sz w:val="20"/>
          <w:szCs w:val="20"/>
          <w:color w:val="auto"/>
        </w:rPr>
      </w:pPr>
    </w:p>
    <w:p>
      <w:pPr>
        <w:ind w:right="340" w:firstLine="434"/>
        <w:spacing w:after="0" w:line="25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01"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90" w:lineRule="exact"/>
        <w:rPr>
          <w:sz w:val="20"/>
          <w:szCs w:val="20"/>
          <w:color w:val="auto"/>
        </w:rPr>
      </w:pPr>
    </w:p>
    <w:p>
      <w:pPr>
        <w:ind w:right="80" w:firstLine="434"/>
        <w:spacing w:after="0" w:line="293" w:lineRule="auto"/>
        <w:rPr>
          <w:sz w:val="20"/>
          <w:szCs w:val="20"/>
          <w:color w:val="auto"/>
        </w:rPr>
      </w:pPr>
      <w:r>
        <w:rPr>
          <w:rFonts w:ascii="Times New Roman" w:cs="Times New Roman" w:eastAsia="Times New Roman" w:hAnsi="Times New Roman"/>
          <w:sz w:val="16"/>
          <w:szCs w:val="16"/>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and properties that have been disposed of (“Disposition Properties”). The Company moves a Center in and out of Same Centers based on whether the Center is substantially complete and in operation for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entirety of both periods of the comparison. Accordingly, the Same Centers consist of all consolidated Centers, excluding the Redevelopment Properties and the Disposition Properties, for the periods of comparison.</w:t>
      </w:r>
    </w:p>
    <w:p>
      <w:pPr>
        <w:spacing w:after="0" w:line="90" w:lineRule="exact"/>
        <w:rPr>
          <w:sz w:val="20"/>
          <w:szCs w:val="20"/>
          <w:color w:val="auto"/>
        </w:rPr>
      </w:pPr>
    </w:p>
    <w:p>
      <w:pPr>
        <w:ind w:right="420" w:firstLine="434"/>
        <w:spacing w:after="0" w:line="268" w:lineRule="auto"/>
        <w:rPr>
          <w:sz w:val="20"/>
          <w:szCs w:val="20"/>
          <w:color w:val="auto"/>
        </w:rPr>
      </w:pPr>
      <w:r>
        <w:rPr>
          <w:rFonts w:ascii="Times New Roman" w:cs="Times New Roman" w:eastAsia="Times New Roman" w:hAnsi="Times New Roman"/>
          <w:sz w:val="18"/>
          <w:szCs w:val="18"/>
          <w:color w:val="auto"/>
        </w:rPr>
        <w:t>For the comparison of the three and six months ended June 30, 2022 to the three and six months ended June 30, 2021, the Disposition Properties are Paradise Valley Mall and Tucson La Encantada.</w:t>
      </w:r>
    </w:p>
    <w:p>
      <w:pPr>
        <w:spacing w:after="0" w:line="104" w:lineRule="exact"/>
        <w:rPr>
          <w:sz w:val="20"/>
          <w:szCs w:val="20"/>
          <w:color w:val="auto"/>
        </w:rPr>
      </w:pPr>
    </w:p>
    <w:p>
      <w:pPr>
        <w:ind w:right="360" w:firstLine="434"/>
        <w:spacing w:after="0" w:line="268"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(loss) income of unconsolidated joint ventures.</w:t>
      </w:r>
    </w:p>
    <w:p>
      <w:pPr>
        <w:spacing w:after="0" w:line="104" w:lineRule="exact"/>
        <w:rPr>
          <w:sz w:val="20"/>
          <w:szCs w:val="20"/>
          <w:color w:val="auto"/>
        </w:rPr>
      </w:pPr>
    </w:p>
    <w:p>
      <w:pPr>
        <w:ind w:right="300" w:firstLine="434"/>
        <w:spacing w:after="0" w:line="252"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04" w:lineRule="exact"/>
        <w:rPr>
          <w:sz w:val="20"/>
          <w:szCs w:val="20"/>
          <w:color w:val="auto"/>
        </w:rPr>
      </w:pPr>
    </w:p>
    <w:p>
      <w:pPr>
        <w:ind w:right="120" w:firstLine="434"/>
        <w:spacing w:after="0" w:line="250" w:lineRule="auto"/>
        <w:rPr>
          <w:sz w:val="20"/>
          <w:szCs w:val="20"/>
          <w:color w:val="auto"/>
        </w:rPr>
      </w:pPr>
      <w:r>
        <w:rPr>
          <w:rFonts w:ascii="Times New Roman" w:cs="Times New Roman" w:eastAsia="Times New Roman" w:hAnsi="Times New Roman"/>
          <w:sz w:val="18"/>
          <w:szCs w:val="18"/>
          <w:color w:val="auto"/>
        </w:rPr>
        <w:t>During the second quarter of 2022, comparable tenant sales for spaces less than 10,000 square feet across the portfolio increased by 2.2% relative to the second quarter of 2021 and 16.8% relative to pre-COVID sales during the second quarter of 2019. The leased occupancy rate of 91.8% at June 30, 2022 represented a 2.4% increase from 89.4% at June 30, 2021 and a 0.5% sequential increase compared to the 91.3% occupancy rate at March 31, 2022. Releasing spreads increased as the Company executed leases at an average rent of $57.58 for new and renewal leases executed compared to $57.23 on leases expiring, resulting in a releasing spread increase of $0.35 per square foot, or 0.6%, for the trailing twelve months ended June 30, 2022.</w:t>
      </w:r>
    </w:p>
    <w:p>
      <w:pPr>
        <w:spacing w:after="0" w:line="119"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The Company continues to renew or replace leases that are scheduled to expire in 2022, however, for a variety of factors, the Company cannot be certain of its ability to sign, renew or replace leases expiring in 2022 or beyond. The remaining 2022 lease expirations continue to be an important focal point for the Company. As of June 30, 2022, the Company has executed leases or commitments from retailers that are in lease documentation for 71% of the leased space expiring in 2022, and another 22% of such expiring space is in the letter of intent stage. Excluding those leases, the remaining leases expiring in 2022, which represent approximately 145,000 square feet of the Centers, are in the prospecting stage.</w:t>
      </w:r>
    </w:p>
    <w:p>
      <w:pPr>
        <w:spacing w:after="0" w:line="119" w:lineRule="exact"/>
        <w:rPr>
          <w:sz w:val="20"/>
          <w:szCs w:val="20"/>
          <w:color w:val="auto"/>
        </w:rPr>
      </w:pPr>
    </w:p>
    <w:p>
      <w:pPr>
        <w:jc w:val="both"/>
        <w:ind w:right="100" w:firstLine="434"/>
        <w:spacing w:after="0" w:line="268" w:lineRule="auto"/>
        <w:rPr>
          <w:sz w:val="20"/>
          <w:szCs w:val="20"/>
          <w:color w:val="auto"/>
        </w:rPr>
      </w:pPr>
      <w:r>
        <w:rPr>
          <w:rFonts w:ascii="Times New Roman" w:cs="Times New Roman" w:eastAsia="Times New Roman" w:hAnsi="Times New Roman"/>
          <w:sz w:val="18"/>
          <w:szCs w:val="18"/>
          <w:color w:val="auto"/>
        </w:rPr>
        <w:t>During the quarter ended June 30, 2022, the Company signed 94 new leases and 180 renewal leases comprising approximately 1.2 million square feet of GLA. The average tenant allowance was $18.79 per square foot.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50" w:lineRule="exact"/>
        <w:rPr>
          <w:sz w:val="20"/>
          <w:szCs w:val="20"/>
          <w:color w:val="auto"/>
        </w:rPr>
      </w:pPr>
    </w:p>
    <w:p>
      <w:pPr>
        <w:jc w:val="both"/>
        <w:ind w:right="100" w:firstLine="434"/>
        <w:spacing w:after="0" w:line="252"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town centers. Although fundamentals at the Centers continued to improve during 2021 and into the first half of 2022, the Company expects that its results will continue to be negatively impacted for the remainder of 2022 due, in part, to the continued impact of the COVID-19 pandemic, which has resulted in reduced occupancy relative to pre-COVID levels and additional Anchor closures, among other factors.</w:t>
      </w:r>
    </w:p>
    <w:p>
      <w:pPr>
        <w:spacing w:after="0" w:line="118"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All Centers have been open and operating since October 7, 2020. As of the date of this Quarterly Report on Form 10-Q, government-imposed capacity restrictions resulting from COVID-19 have been essentially eliminated across the Company’s markets. The Company experienced a positive impact to its leasing revenue during the three months ended June 30, 2022 as leasing revenue increased by approximately 4.15% compared to the three months ended June 30, 2021. This increase includes the joint ventures at the Company’s share and excludes the Disposition Properties and The Shops at Northbridge, at the Company’s share (See “Dispositions” above). This increase was primarily due to decreases in retroactive rent abatements incurred in the second quarter of 2022 compared to the second quarter of 2021 and increases in lease termination income, which were partially offset by decreases in straight-line rent revenue and lower recovery from bad debt reserves compared to the second quarter of 2021.</w:t>
      </w:r>
    </w:p>
    <w:p>
      <w:pPr>
        <w:spacing w:after="0" w:line="108"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Sales and traffic at the Company’s Centers continued to improve during the second quarter of 2022. Traffic levels during the second quarter of 2022 continued to range in the mid 90%’s relative to the pre-pandemic second quarter of 2019 and although the Company experienced high customer conversion rates, sales increased at a more modest pace than the double-digit tenant sales growth from 2021 and early 2022. Comparable tenant sales from spaces less than 10,000 square feet across the portfolio increased by 2.2% and 16.8% relative to the second quarter of 2021 and the pre-COVID sales during the second quarter of 2019, respectively. Portfolio tenant sales per square foot for spaces less than 10,000 square feet for the trailing twelve months ended June 30, 2022 were $860, which represents a record high for the Company for the second quarter in a row.</w:t>
      </w:r>
    </w:p>
    <w:p>
      <w:pPr>
        <w:spacing w:after="0" w:line="119" w:lineRule="exact"/>
        <w:rPr>
          <w:sz w:val="20"/>
          <w:szCs w:val="20"/>
          <w:color w:val="auto"/>
        </w:rPr>
      </w:pPr>
    </w:p>
    <w:p>
      <w:pPr>
        <w:ind w:right="200" w:firstLine="434"/>
        <w:spacing w:after="0" w:line="268" w:lineRule="auto"/>
        <w:rPr>
          <w:sz w:val="20"/>
          <w:szCs w:val="20"/>
          <w:color w:val="auto"/>
        </w:rPr>
      </w:pPr>
      <w:r>
        <w:rPr>
          <w:rFonts w:ascii="Times New Roman" w:cs="Times New Roman" w:eastAsia="Times New Roman" w:hAnsi="Times New Roman"/>
          <w:sz w:val="18"/>
          <w:szCs w:val="18"/>
          <w:color w:val="auto"/>
        </w:rPr>
        <w:t>During the second quarter of 2022, the Company signed 274 new and renewal leases for approximately 1.2 million square feet, compared to 216 leases and 686,000 square feet signed during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140" w:firstLine="434"/>
        <w:spacing w:after="0" w:line="252"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quarter ended June 30, 2022, the Company signed deals for new stores with new-to-Macerich portfolio uses for over 82,000 square feet, with another 279,000 square feet of such new-to-Macerich portfolio leases currently in negotiation as of the date of this Quarterly Report on Form 10-Q.</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2022, the leased occupancy rate was 91.8%, a 2.4% increase compared to the leased occupancy rate at June 30, 2021 of 89.4%.</w:t>
      </w:r>
    </w:p>
    <w:p>
      <w:pPr>
        <w:spacing w:after="0" w:line="148" w:lineRule="exact"/>
        <w:rPr>
          <w:sz w:val="20"/>
          <w:szCs w:val="20"/>
          <w:color w:val="auto"/>
        </w:rPr>
      </w:pPr>
    </w:p>
    <w:p>
      <w:pPr>
        <w:ind w:right="40" w:firstLine="434"/>
        <w:spacing w:after="0" w:line="289" w:lineRule="auto"/>
        <w:rPr>
          <w:sz w:val="20"/>
          <w:szCs w:val="20"/>
          <w:color w:val="auto"/>
        </w:rPr>
      </w:pPr>
      <w:r>
        <w:rPr>
          <w:rFonts w:ascii="Times New Roman" w:cs="Times New Roman" w:eastAsia="Times New Roman" w:hAnsi="Times New Roman"/>
          <w:sz w:val="16"/>
          <w:szCs w:val="16"/>
          <w:color w:val="auto"/>
        </w:rPr>
        <w:t>The Company’s rent collections for the first half of 2022 have been comparable to pre-COVID-19 levels for the same period. The Company previously completed its negotiations with national and local tenants to secure rental payments. Those negotiations resulted in the Company entering into lease amendments which granted significant rental assistance in the form of rent deferral and/or rent reduction. 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90" w:lineRule="exact"/>
        <w:rPr>
          <w:sz w:val="20"/>
          <w:szCs w:val="20"/>
          <w:color w:val="auto"/>
        </w:rPr>
      </w:pPr>
    </w:p>
    <w:p>
      <w:pPr>
        <w:ind w:right="40" w:firstLine="434"/>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$47.6 million of rent abatements at the Company’s share relating primarily to 2020 rents as a result of COVID-19 and negotiated $4.6 million of rent deferrals during the year ended December 31, 2021 at the Company’s share. During the six months ended June 30, 2022, the Company incurred less than $1.1 million of rent abatements at the Company’s share compared to $44.3 million for the six months ended June 30, 2021 which related primarily to 2020 rents as a result of COVID-19. The Company negotiated $4.3 million of rent deferrals during the three months ended June 30, 2021 at the Company’s share compared to less than $0.1 million of rent deferrals during the three months ended June 30, 2022. As of June 30, 2022, $3.4 million of the rent deferrals remain outstanding, with $1.2 million scheduled to be repaid during the remainder of 2022 and the balance scheduled for repayment in 2023 and thereafter.</w:t>
      </w:r>
    </w:p>
    <w:p>
      <w:pPr>
        <w:spacing w:after="0" w:line="108"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During 2021, the pace of bankruptcy filings involving the Company’s tenants decreased substantially as compared to 2020, with ten bankruptcy filings, totaling 62 leases and involving approximately 369,000 square feet and $11.9 million of annual leasing revenue at the Company’s share. This included two leases totaling 139,000 square feet with a single department store retailer that quickly emerged from bankruptcy and assumed both of its leases with the Company. Excluding this department store retailer, bankruptcy filings during 2021 only involved approximately 230,000 square feet. The Company continues to expect that the pace of bankruptcy filings in 2022 will be low. Year-to-date in 2022, there has only been one bankruptcy filing involving a single tenant of the Company involving approximately 3,000 square feet of leased space.</w:t>
      </w:r>
    </w:p>
    <w:p>
      <w:pPr>
        <w:spacing w:after="0" w:line="119" w:lineRule="exact"/>
        <w:rPr>
          <w:sz w:val="20"/>
          <w:szCs w:val="20"/>
          <w:color w:val="auto"/>
        </w:rPr>
      </w:pPr>
    </w:p>
    <w:p>
      <w:pPr>
        <w:ind w:right="60" w:firstLine="434"/>
        <w:spacing w:after="0" w:line="252" w:lineRule="auto"/>
        <w:rPr>
          <w:sz w:val="20"/>
          <w:szCs w:val="20"/>
          <w:color w:val="auto"/>
        </w:rPr>
      </w:pPr>
      <w:r>
        <w:rPr>
          <w:rFonts w:ascii="Times New Roman" w:cs="Times New Roman" w:eastAsia="Times New Roman" w:hAnsi="Times New Roman"/>
          <w:sz w:val="18"/>
          <w:szCs w:val="18"/>
          <w:color w:val="auto"/>
        </w:rPr>
        <w:t>During 2022,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and redevelopment pipeline.</w:t>
      </w:r>
    </w:p>
    <w:p>
      <w:pPr>
        <w:spacing w:after="0" w:line="118" w:lineRule="exact"/>
        <w:rPr>
          <w:sz w:val="20"/>
          <w:szCs w:val="20"/>
          <w:color w:val="auto"/>
        </w:rPr>
      </w:pPr>
    </w:p>
    <w:p>
      <w:pPr>
        <w:ind w:right="100" w:firstLine="434"/>
        <w:spacing w:after="0" w:line="282" w:lineRule="auto"/>
        <w:rPr>
          <w:sz w:val="20"/>
          <w:szCs w:val="20"/>
          <w:color w:val="auto"/>
        </w:rPr>
      </w:pPr>
      <w:r>
        <w:rPr>
          <w:rFonts w:ascii="Times New Roman" w:cs="Times New Roman" w:eastAsia="Times New Roman" w:hAnsi="Times New Roman"/>
          <w:sz w:val="16"/>
          <w:szCs w:val="16"/>
          <w:color w:val="auto"/>
        </w:rPr>
        <w:t>The Company has successfully secured all requested extensions from both balance sheet lenders and CMBS lenders/servicers spanning nine loan extensions totaling over $1.6 billion of debt since September 2020, including the following refinancing and extensions in 2022. On February 2, 2022, the Company’s joint venture in FlatIron Crossing replaced the existing $197 million loan on the property with a new $175 million loan that bears interest at SOFR plus 3.70% and matures on February 9, 2025, including extension options. On April 29, 2022, the Company closed on a new $72 million loan at Pacific View with a fixed rate of 5.29% that matures on May 6, 2032. On May 6, 2022, the Company closed on a two-year extension of the loan on The Oaks to June 5, 2024. The loan will now bear a fixed interest rate of 5.25%, and the Company repaid $5.0 million of the outstanding loan balance at closing. Additionally, on July 1, 2022, the Company extended the loan maturity on Danbury Fair Mall to July 1, 2023. The interest rate remained unchanged at 5.5%, and the Company repaid $10.0 million of the outstanding loan balance at closing (See “—Financing Activities” in Management’s Overview and Summary).</w:t>
      </w:r>
    </w:p>
    <w:p>
      <w:pPr>
        <w:spacing w:after="0" w:line="86"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Rising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 For example, the Company’s prior swap agreements, which expired on September 30, 2021, resulted in increases in interest expense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2022 and 2021</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0"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Leasing revenue decreased by $8.4 million, or 4.3%, from 2021 to 2022. The decrease in leasing revenue is attributed to decreases of $5.5 million from the Same Centers and $2.9 million from the Disposition Properties. Leasing revenue includes the amortization of above and below-market leases, the amortization of straight-line rents, lease termination income, percentage rent and the recovery of bad debts. The amortization of above and below-market leases was $0.6 million for both 2021 and 2022. The amortization of straight-line rents decreased from $6.0 million in 2021 to $(0.5) million in 2022. Lease termination income decreased from $5.2 million in 2021 to $0.6 million in 2022. Percentage rent decreased from $10.3 million in 2021 to $6.9 million in 2022. Recovery of bad debts decreased from $9.1 million in 2021 to $1.4 million in 2022.</w:t>
      </w:r>
    </w:p>
    <w:p>
      <w:pPr>
        <w:spacing w:after="0" w:line="119" w:lineRule="exact"/>
        <w:rPr>
          <w:sz w:val="20"/>
          <w:szCs w:val="20"/>
          <w:color w:val="auto"/>
        </w:rPr>
      </w:pPr>
    </w:p>
    <w:p>
      <w:pPr>
        <w:ind w:left="440" w:right="1220" w:hanging="39"/>
        <w:spacing w:after="0" w:line="406" w:lineRule="auto"/>
        <w:rPr>
          <w:sz w:val="20"/>
          <w:szCs w:val="20"/>
          <w:color w:val="auto"/>
        </w:rPr>
      </w:pPr>
      <w:r>
        <w:rPr>
          <w:rFonts w:ascii="Times New Roman" w:cs="Times New Roman" w:eastAsia="Times New Roman" w:hAnsi="Times New Roman"/>
          <w:sz w:val="18"/>
          <w:szCs w:val="18"/>
          <w:color w:val="auto"/>
        </w:rPr>
        <w:t xml:space="preserve">Other income decreased from $11.9 million in 2021 to $8.1 million in 2022. This decrease is primarily due to the Disposition Properties. Management Companies' revenue increased from $6.6 million in 2021 to $7.4 million in 2022. </w:t>
      </w:r>
      <w:r>
        <w:rPr>
          <w:rFonts w:ascii="Times New Roman" w:cs="Times New Roman" w:eastAsia="Times New Roman" w:hAnsi="Times New Roman"/>
          <w:sz w:val="18"/>
          <w:szCs w:val="18"/>
          <w:i w:val="1"/>
          <w:iCs w:val="1"/>
          <w:color w:val="auto"/>
        </w:rPr>
        <w:t>Shopping Center and Operating Expenses:</w:t>
      </w:r>
    </w:p>
    <w:p>
      <w:pPr>
        <w:spacing w:after="0" w:line="2"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Shopping center and operating expenses increased $2.1 million, or 3.1%, from 2021 to 2022. The increase in shopping center and operating expenses is attributed to increases of $3.2 million from the Same Centers offset in part by a decrease of $1.1 million from the Disposition Properties.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$6.6 million in 2021 to $8.1 million in 2022 due to an increase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operating expenses increased $2.7 million from 2021 to 2022 due to an increase in compensation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$0.2 million from 2021 to 2022 primarily due to a decrease in consulting expense.</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0"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Depreciation and amortization decreased $5.2 million from 2021 to 2022. The decrease in depreciation and amortization is attributed to a decrease of $3.8 million from the Same Centers and $1.4 million from the Disposition Properties.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37"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Interest expense decreased $1.7 million from 2021 to 2022. The decrease in interest expense is attributed to decreases of $6.5 million from lower outstanding balances on the Company's revolving line of credit, $0.4 million from the Same Centers and $0.7 million from the Disposition Properties offset in part by an increase of $5.9 million from the financing arrangement (See Note 12—Financing Arrangement in the Company's Notes to the Consolidated Financial Statements). The increase in interest expense from the financing arrangement is primarily due to the change in fair value of the underlying properties and the mortgage notes payable on the underlying properties.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Equity in Income of Unconsolidated Joint Ventures:</w:t>
      </w:r>
    </w:p>
    <w:p>
      <w:pPr>
        <w:spacing w:after="0" w:line="137" w:lineRule="exact"/>
        <w:rPr>
          <w:sz w:val="20"/>
          <w:szCs w:val="20"/>
          <w:color w:val="auto"/>
        </w:rPr>
      </w:pPr>
    </w:p>
    <w:p>
      <w:pPr>
        <w:ind w:right="100" w:firstLine="434"/>
        <w:spacing w:after="0" w:line="268" w:lineRule="auto"/>
        <w:rPr>
          <w:sz w:val="20"/>
          <w:szCs w:val="20"/>
          <w:color w:val="auto"/>
        </w:rPr>
      </w:pPr>
      <w:r>
        <w:rPr>
          <w:rFonts w:ascii="Times New Roman" w:cs="Times New Roman" w:eastAsia="Times New Roman" w:hAnsi="Times New Roman"/>
          <w:sz w:val="18"/>
          <w:szCs w:val="18"/>
          <w:color w:val="auto"/>
        </w:rPr>
        <w:t>Equity in income of unconsolidated joint ventures decreased $13.7 million from 2021 to 2022. The decrease in equity in income of unconsolidated joint ventures is primarily due to a decrease in other income related to mark-to-market valuation adjustments on investments in 2021 compared to 2022.</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Loss on Sale or Write Down of Assets, net:</w:t>
      </w:r>
    </w:p>
    <w:p>
      <w:pPr>
        <w:spacing w:after="0" w:line="150" w:lineRule="exact"/>
        <w:rPr>
          <w:sz w:val="20"/>
          <w:szCs w:val="20"/>
          <w:color w:val="auto"/>
        </w:rPr>
      </w:pPr>
    </w:p>
    <w:p>
      <w:pPr>
        <w:ind w:right="140" w:firstLine="434"/>
        <w:spacing w:after="0" w:line="268" w:lineRule="auto"/>
        <w:rPr>
          <w:sz w:val="20"/>
          <w:szCs w:val="20"/>
          <w:color w:val="auto"/>
        </w:rPr>
      </w:pPr>
      <w:r>
        <w:rPr>
          <w:rFonts w:ascii="Times New Roman" w:cs="Times New Roman" w:eastAsia="Times New Roman" w:hAnsi="Times New Roman"/>
          <w:sz w:val="18"/>
          <w:szCs w:val="18"/>
          <w:color w:val="auto"/>
        </w:rPr>
        <w:t>The loss on sale or write down of assets, net decreased $2.8 million from 2021 to 2022 primarily due to lower impairment charges in 2022 compared to 2021 and a decrease in gains from land sales in 2022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loss increased $13.6 million from 2021 to 2022. The increase in net loss is primarily due to the variances noted above.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50"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decreased 19.4% from $127.6 million in 2021 to $102.9 million in 2022. For a reconciliation of net loss attributable to the Company, the most directly comparable GAAP financial measure, to FFO attributable to common stockholders and unit holders—diluted, and FFO attributable to common stockholders and unit holders, excluding financing expense in connection with Chandler Freehold—diluted, see "Funds From Operations ("FFO")"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2022 and 2021</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0" w:lineRule="exact"/>
        <w:rPr>
          <w:sz w:val="20"/>
          <w:szCs w:val="20"/>
          <w:color w:val="auto"/>
        </w:rPr>
      </w:pPr>
    </w:p>
    <w:p>
      <w:pPr>
        <w:ind w:firstLine="434"/>
        <w:spacing w:after="0" w:line="249" w:lineRule="auto"/>
        <w:rPr>
          <w:sz w:val="20"/>
          <w:szCs w:val="20"/>
          <w:color w:val="auto"/>
        </w:rPr>
      </w:pPr>
      <w:r>
        <w:rPr>
          <w:rFonts w:ascii="Times New Roman" w:cs="Times New Roman" w:eastAsia="Times New Roman" w:hAnsi="Times New Roman"/>
          <w:sz w:val="18"/>
          <w:szCs w:val="18"/>
          <w:color w:val="auto"/>
        </w:rPr>
        <w:t>Leasing revenue increased by $15.5 million, or 4.1%, from 2021 to 2022. The increase in leasing revenue is attributed to an increase of $22.8 million from the Same Centers offset in part by a decrease of $7.3 million from the Disposition Properties. Leasing revenue includes the amortization of above and below-market leases, the amortization of straight-line rents, lease termination income, percentage rent and the recovery of bad debts. The amortization of above and below-market leases increased from $1.0 million in 2021 to $1.2 million in 2022. Straight-line rents decreased from $10.8 million in 2021 to $(2.5) million in 2022. Lease termination income increased from $8.1 million in 2021 to $12.4 million in 2022. Percentage rent decreased from $17.2 million in 2021 to $15.5 million in 2022. Recovery of bad debts decreased from $5.9 million in 2021 to $0.9 million in 2022.</w:t>
      </w:r>
    </w:p>
    <w:p>
      <w:pPr>
        <w:spacing w:after="0" w:line="106"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Other revenue decreased from $17.2 million in 2021 to $14.4 million in 2022. This decrease is primarily due to income related to the Disposition Properties.</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revenue increased from $12.2 million in 2021 to $13.8 million in 2022 due to an increase in management fees.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37"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Shopping center and operating expenses decreased $1.2 million, or 0.8%, from 2021 to 2022. The decrease in shopping center and operating expenses is attributed to a decrease of $2.8 million from the Disposition Properties offset in part by an increase of $1.6 million from the Same Centers.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$11.8 million in 2021 to $15.8 million in 2022 due to an increase in compensation expense.</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operating expenses increased $4.8 million from 2021 to 2022 due to an increase in compensation expense.</w:t>
      </w:r>
    </w:p>
    <w:p>
      <w:pPr>
        <w:spacing w:after="0" w:line="1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decreased $1.5 million from 2021 to 2022 primarily due to a decrease in consulting expense.</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37"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Depreciation and amortization decreased $10.7 million from 2021 to 2022. The decrease in depreciation and amortization is attributed to decreases of $6.2 million from the Same Centers and $4.5 million from the Disposition Properties.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50"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Interest expense decreased $3.8 million from 2021 to 2022. The decrease in interest expense was attributed to a decrease of $14.4 million from lower outstanding balances on the Company's revolving line of credit, $1.5 million from the Disposition Properties and $0.5 million from the Same Centers offset in part by an increase of $12.6 million from the financing arrangement discussed in Note 12 in the Company's Notes to the Consolidated Financial Statements. The increase in interest expense from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financing arrangement is primarily due to the change in fair value of the underlying properties and the mortgage notes payable on the underlying properties.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Equity in (Loss) Income of Unconsolidated Joint Ventures:</w:t>
      </w:r>
    </w:p>
    <w:p>
      <w:pPr>
        <w:spacing w:after="0" w:line="150" w:lineRule="exact"/>
        <w:rPr>
          <w:sz w:val="20"/>
          <w:szCs w:val="20"/>
          <w:color w:val="auto"/>
        </w:rPr>
      </w:pPr>
    </w:p>
    <w:p>
      <w:pPr>
        <w:ind w:right="340" w:firstLine="434"/>
        <w:spacing w:after="0" w:line="332" w:lineRule="auto"/>
        <w:rPr>
          <w:sz w:val="20"/>
          <w:szCs w:val="20"/>
          <w:color w:val="auto"/>
        </w:rPr>
      </w:pPr>
      <w:r>
        <w:rPr>
          <w:rFonts w:ascii="Times New Roman" w:cs="Times New Roman" w:eastAsia="Times New Roman" w:hAnsi="Times New Roman"/>
          <w:sz w:val="16"/>
          <w:szCs w:val="16"/>
          <w:color w:val="auto"/>
        </w:rPr>
        <w:t>Equity in (loss) income of unconsolidated joint ventures decreased $44.7 million from 2021 to 2022. The decrease in equity in (loss) income of unconsolidated joint ventures is primarily due to the write-down of assets as a result of the reduction in the estimated holding periods of certain properties.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Gain (Loss) on Sale or Write Down of Assets, net:</w:t>
      </w:r>
    </w:p>
    <w:p>
      <w:pPr>
        <w:spacing w:after="0" w:line="137" w:lineRule="exact"/>
        <w:rPr>
          <w:sz w:val="20"/>
          <w:szCs w:val="20"/>
          <w:color w:val="auto"/>
        </w:rPr>
      </w:pPr>
    </w:p>
    <w:p>
      <w:pPr>
        <w:ind w:right="40" w:firstLine="434"/>
        <w:spacing w:after="0" w:line="256" w:lineRule="auto"/>
        <w:rPr>
          <w:sz w:val="20"/>
          <w:szCs w:val="20"/>
          <w:color w:val="auto"/>
        </w:rPr>
      </w:pPr>
      <w:r>
        <w:rPr>
          <w:rFonts w:ascii="Times New Roman" w:cs="Times New Roman" w:eastAsia="Times New Roman" w:hAnsi="Times New Roman"/>
          <w:sz w:val="18"/>
          <w:szCs w:val="18"/>
          <w:color w:val="auto"/>
        </w:rPr>
        <w:t>Gain (loss) on sale or write down of assets, net increased from a loss of $25.2 million in 2021 to a gain of $5.4 million in 2022. The increase is primarily due to the impairment and loss on sale of $41.6 million on Estrella Falls in 2021 offset in part by the gain on sale of Paradise Valley Mall of $4.2 million in 2021 and land sales gain of $20.4 million in 2021 compared to land sales gain of $15.2 million in 2022.</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loss decreased $16.8 million from 2021 to 2022. The decrease in net loss is primarily due to the variances noted above.</w:t>
      </w:r>
    </w:p>
    <w:p>
      <w:pPr>
        <w:spacing w:after="0" w:line="135"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Primarily as a result of the factors mentioned above, FFO attributable to common stockholders and unit holders—diluted, excluding financing expense in connection with Chandler Freehold increased 5.9% from $203.1 million in 2021 to $215.2 million in 2022. For a reconciliation of net loss attributable to the Company, the most directly comparable GAAP financial measure, to FFO attributable to common stockholders and unit holders—diluted, and FFO attributable to common stockholders and unit holders, excluding financing expense in connection with Chandler Freehold—diluted, see "Funds From Operations ("FFO")" below.</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50" w:lineRule="exact"/>
        <w:rPr>
          <w:sz w:val="20"/>
          <w:szCs w:val="20"/>
          <w:color w:val="auto"/>
        </w:rPr>
      </w:pPr>
    </w:p>
    <w:p>
      <w:pPr>
        <w:ind w:right="80" w:firstLine="434"/>
        <w:spacing w:after="0" w:line="268" w:lineRule="auto"/>
        <w:rPr>
          <w:sz w:val="20"/>
          <w:szCs w:val="20"/>
          <w:color w:val="auto"/>
        </w:rPr>
      </w:pPr>
      <w:r>
        <w:rPr>
          <w:rFonts w:ascii="Times New Roman" w:cs="Times New Roman" w:eastAsia="Times New Roman" w:hAnsi="Times New Roman"/>
          <w:sz w:val="18"/>
          <w:szCs w:val="18"/>
          <w:color w:val="auto"/>
        </w:rPr>
        <w:t>Cash provided by operating activities increased $2.4 million from 2021 to 2022. The increase is primarily due to the changes in assets and liabilities and the results, as discussed above.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right="240" w:firstLine="434"/>
        <w:spacing w:after="0" w:line="252" w:lineRule="auto"/>
        <w:rPr>
          <w:sz w:val="20"/>
          <w:szCs w:val="20"/>
          <w:color w:val="auto"/>
        </w:rPr>
      </w:pPr>
      <w:r>
        <w:rPr>
          <w:rFonts w:ascii="Times New Roman" w:cs="Times New Roman" w:eastAsia="Times New Roman" w:hAnsi="Times New Roman"/>
          <w:sz w:val="18"/>
          <w:szCs w:val="18"/>
          <w:color w:val="auto"/>
        </w:rPr>
        <w:t>Cash provided by investing activities decreased $53.8 million from 2021 to 2022. The decrease in cash provided by investing activities is primarily attributed to a decrease in proceeds from the sale of assets of $119.0 million offset in part by increases in distributions from unconsolidated joint ventures of $24.9 million, proceeds from collection of receivable in connection with sale of joint venture property of $21.0 million and decreases of contributions to unconsolidated joint ventures of $7.6 million.</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7" w:lineRule="exact"/>
        <w:rPr>
          <w:sz w:val="20"/>
          <w:szCs w:val="20"/>
          <w:color w:val="auto"/>
        </w:rPr>
      </w:pPr>
    </w:p>
    <w:p>
      <w:pPr>
        <w:ind w:right="340" w:firstLine="434"/>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decreased $0.3 billion from 2021 to 2022. The decrease in cash used in financing activities is primarily due to the decrease in payments on mortgages, bank and other notes payable of $1.5 billion offset by proceeds received from sales of common shares under the ATM Programs of $791.5 million and proceeds from mortgages, bank and other notes payable of $470.0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0" w:lineRule="exact"/>
        <w:rPr>
          <w:sz w:val="20"/>
          <w:szCs w:val="20"/>
          <w:color w:val="auto"/>
        </w:rPr>
      </w:pPr>
    </w:p>
    <w:p>
      <w:pPr>
        <w:ind w:right="100" w:firstLine="434"/>
        <w:spacing w:after="0" w:line="250"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 Following the uncertain environment brought about by COVID-19, the Company took a number of previously disclosed measures in the years ended December 31, 2020 and 2021 to enhance its liquidity position over the short-term, but currently anticipates meeting its liquidity needs for the next twelve months as it has done historically.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capital expenditures incurred at the Centers (at the Company's pro rata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4"/>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17"/>
        </w:trPr>
        <w:tc>
          <w:tcPr>
            <w:tcW w:w="6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39,617</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expansions and renovations of Centers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24,585</w:t>
            </w:r>
          </w:p>
        </w:tc>
        <w:tc>
          <w:tcPr>
            <w:tcW w:w="0" w:type="dxa"/>
            <w:vAlign w:val="bottom"/>
          </w:tcPr>
          <w:p>
            <w:pPr>
              <w:spacing w:after="0"/>
              <w:rPr>
                <w:sz w:val="1"/>
                <w:szCs w:val="1"/>
                <w:color w:val="auto"/>
              </w:rPr>
            </w:pPr>
          </w:p>
        </w:tc>
      </w:tr>
      <w:tr>
        <w:trPr>
          <w:trHeight w:val="22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7"/>
        </w:trPr>
        <w:tc>
          <w:tcPr>
            <w:tcW w:w="6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right="80" w:firstLine="434"/>
        <w:spacing w:after="0" w:line="249"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less than or comparable to 2021. The Company expects to incur approximately $80.0 million to $90.0 million during the remainder of 2022 for development, redevelopment, expansion and renovations. This includes the Company's share of the development costs of One Westside of approximately $12.0 million, which is fully funded by a non-recourse construction facility.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37" w:lineRule="exact"/>
        <w:rPr>
          <w:sz w:val="20"/>
          <w:szCs w:val="20"/>
          <w:color w:val="auto"/>
        </w:rPr>
      </w:pPr>
    </w:p>
    <w:p>
      <w:pPr>
        <w:ind w:right="180" w:firstLine="434"/>
        <w:spacing w:after="0" w:line="289" w:lineRule="auto"/>
        <w:rPr>
          <w:sz w:val="20"/>
          <w:szCs w:val="20"/>
          <w:color w:val="auto"/>
        </w:rPr>
      </w:pPr>
      <w:r>
        <w:rPr>
          <w:rFonts w:ascii="Times New Roman" w:cs="Times New Roman" w:eastAsia="Times New Roman" w:hAnsi="Times New Roman"/>
          <w:sz w:val="16"/>
          <w:szCs w:val="16"/>
          <w:color w:val="auto"/>
        </w:rPr>
        <w:t>The Company has also generated liquidity in the past, and may continue to do so in the future, through equity offerings and issuances, property refinancings, joint venture transactions and the sale of non-core assets. For example, the Company sold Paradise Valley Mall in Phoenix, Arizona and Tucson La Encantada in Tucson, Arizona during the year ended December 31, 2021. The Company used the proceeds from these sales to pay down its line of credit and other debt obligations.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90" w:lineRule="exact"/>
        <w:rPr>
          <w:sz w:val="20"/>
          <w:szCs w:val="20"/>
          <w:color w:val="auto"/>
        </w:rPr>
      </w:pPr>
    </w:p>
    <w:p>
      <w:pPr>
        <w:ind w:firstLine="434"/>
        <w:spacing w:after="0" w:line="289" w:lineRule="auto"/>
        <w:rPr>
          <w:sz w:val="20"/>
          <w:szCs w:val="20"/>
          <w:color w:val="auto"/>
        </w:rPr>
      </w:pPr>
      <w:r>
        <w:rPr>
          <w:rFonts w:ascii="Times New Roman" w:cs="Times New Roman" w:eastAsia="Times New Roman" w:hAnsi="Times New Roman"/>
          <w:sz w:val="16"/>
          <w:szCs w:val="16"/>
          <w:color w:val="auto"/>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 by the Company. The February 2021 ATM Program was fully utilized as of June 30, 2021 and is no longer active. During the three and six months ended June 30, 2022, no shares were issued under the March 2021 ATM Program. As of June 30, 2022, the Company had approximately $151.7 million of gross sales of its common stock available under the March 2021 ATM Program.</w:t>
      </w:r>
    </w:p>
    <w:p>
      <w:pPr>
        <w:spacing w:after="0" w:line="90"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prevailing market conditions and the impact of COVID-19. The Company expects to incur increased interest expense from the refinancing or extension of loans that may currently carry below-market interest rates. In addition, increases in the Company's proportion of floating rate debt will cause it to be subject to interest rate fluctuations in the future.</w:t>
      </w:r>
    </w:p>
    <w:p>
      <w:pPr>
        <w:spacing w:after="0" w:line="106"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June 30, 2022 was $6.86 billion (consisting of $4.44 billion of consolidated debt, less $0.46 billion of noncontrolling interests, plus $2.88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w:t>
      </w:r>
    </w:p>
    <w:p>
      <w:pPr>
        <w:spacing w:after="0" w:line="101"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1" w:lineRule="exact"/>
        <w:rPr>
          <w:sz w:val="20"/>
          <w:szCs w:val="20"/>
          <w:color w:val="auto"/>
        </w:rPr>
      </w:pPr>
    </w:p>
    <w:p>
      <w:pPr>
        <w:jc w:val="both"/>
        <w:ind w:right="120" w:firstLine="434"/>
        <w:spacing w:after="0" w:line="332"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57" w:lineRule="exact"/>
        <w:rPr>
          <w:sz w:val="20"/>
          <w:szCs w:val="20"/>
          <w:color w:val="auto"/>
        </w:rPr>
      </w:pPr>
    </w:p>
    <w:p>
      <w:pPr>
        <w:ind w:right="60" w:firstLine="434"/>
        <w:spacing w:after="0" w:line="268" w:lineRule="auto"/>
        <w:rPr>
          <w:sz w:val="20"/>
          <w:szCs w:val="20"/>
          <w:color w:val="auto"/>
        </w:rPr>
      </w:pPr>
      <w:r>
        <w:rPr>
          <w:rFonts w:ascii="Times New Roman" w:cs="Times New Roman" w:eastAsia="Times New Roman" w:hAnsi="Times New Roman"/>
          <w:sz w:val="18"/>
          <w:szCs w:val="18"/>
          <w:color w:val="auto"/>
        </w:rPr>
        <w:t>As of June 30, 2022, one of the Company’s joint ventures had $50.0 million of debt that could become recourse to the Company should the joint venture be unable to discharge the obligation of the related debt.</w:t>
      </w:r>
    </w:p>
    <w:p>
      <w:pPr>
        <w:spacing w:after="0" w:line="90" w:lineRule="exact"/>
        <w:rPr>
          <w:sz w:val="20"/>
          <w:szCs w:val="20"/>
          <w:color w:val="auto"/>
        </w:rPr>
      </w:pPr>
    </w:p>
    <w:p>
      <w:pPr>
        <w:jc w:val="both"/>
        <w:ind w:right="140" w:firstLine="434"/>
        <w:spacing w:after="0" w:line="256" w:lineRule="auto"/>
        <w:rPr>
          <w:sz w:val="20"/>
          <w:szCs w:val="20"/>
          <w:color w:val="auto"/>
        </w:rPr>
      </w:pPr>
      <w:r>
        <w:rPr>
          <w:rFonts w:ascii="Times New Roman" w:cs="Times New Roman" w:eastAsia="Times New Roman" w:hAnsi="Times New Roman"/>
          <w:sz w:val="18"/>
          <w:szCs w:val="18"/>
          <w:color w:val="auto"/>
        </w:rPr>
        <w:t>Additionally, as of June 30, 2022, the Company was contingently liable for $41.0 million in letters of credit guaranteeing performance by the Company of certain obligations relating to the Centers. As of June 30, 2022, $40.7 million of these letters of credit were secured by restricted cash. The Company does not believe that these letters of credit will result in a liability to the Company.</w:t>
      </w:r>
    </w:p>
    <w:p>
      <w:pPr>
        <w:spacing w:after="0" w:line="114" w:lineRule="exact"/>
        <w:rPr>
          <w:sz w:val="20"/>
          <w:szCs w:val="20"/>
          <w:color w:val="auto"/>
        </w:rPr>
      </w:pPr>
    </w:p>
    <w:p>
      <w:pPr>
        <w:ind w:firstLine="434"/>
        <w:spacing w:after="0" w:line="247" w:lineRule="auto"/>
        <w:rPr>
          <w:sz w:val="20"/>
          <w:szCs w:val="20"/>
          <w:color w:val="auto"/>
        </w:rPr>
      </w:pPr>
      <w:r>
        <w:rPr>
          <w:rFonts w:ascii="Times New Roman" w:cs="Times New Roman" w:eastAsia="Times New Roman" w:hAnsi="Times New Roman"/>
          <w:sz w:val="18"/>
          <w:szCs w:val="18"/>
          <w:color w:val="auto"/>
        </w:rPr>
        <w:t>The Company has successfully secured all requested extensions from both balance sheet lenders and CMBS lenders/servicers spanning nine loan extensions totaling over $1.6 billion of debt since September 2020, including the following refinancing and extensions in 2022. On February 2, 2022, the Company’s joint venture in FlatIron Crossing replaced the existing $197 million loan on the property with a new $175 million loan that bears interest at SOFR plus 3.70% and matures on February 9, 2025, including extension options. On April 29, 2022, the Company closed on a new $72 million loan at Pacific View with a fixed rate of 5.29% that matures on May 6, 2032. On May 6, 2022, the Company closed on a two-year extension of the loan on The Oaks to June 5, 2024. The loan will now bear a fixed interest rate of 5.25%, and the Company repaid $5.0 million of the outstanding balance at closing. Additionally, on July 1, 2022, the Company extended the loan maturity on Danbury Fair Mall to July 1, 2023. The interest rate remained unchanged at 5.5%, and the Company repaid $10.0 million of the outstanding loan balance at closing.</w:t>
      </w:r>
    </w:p>
    <w:p>
      <w:pPr>
        <w:spacing w:after="0" w:line="125" w:lineRule="exact"/>
        <w:rPr>
          <w:sz w:val="20"/>
          <w:szCs w:val="20"/>
          <w:color w:val="auto"/>
        </w:rPr>
      </w:pPr>
    </w:p>
    <w:p>
      <w:pPr>
        <w:ind w:right="20" w:firstLine="434"/>
        <w:spacing w:after="0" w:line="247" w:lineRule="auto"/>
        <w:rPr>
          <w:sz w:val="20"/>
          <w:szCs w:val="20"/>
          <w:color w:val="auto"/>
        </w:rPr>
      </w:pPr>
      <w:r>
        <w:rPr>
          <w:rFonts w:ascii="Times New Roman" w:cs="Times New Roman" w:eastAsia="Times New Roman" w:hAnsi="Times New Roman"/>
          <w:sz w:val="18"/>
          <w:szCs w:val="18"/>
          <w:color w:val="auto"/>
        </w:rPr>
        <w:t>The Company has a $700 million credit facility, including a $525 million revolving loan facility that matures on April 14, 2023, with a one-year extension option, and a $175 million term loan facility that matures on April 14, 2024. The revolving loan facility can be expanded up to $800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Company’s overall leverage level. As of June 30, 2022, the borrowing rate was LIBOR plus 2.25%. As of June 30, 2022, borrowings under the credit facility were $86.0 million less unamortized deferred finance costs of $11.0 million for the revolving loan facility at a total interest rate of 5.21%. As of June 30, 2022, the Company’s availability under the revolving loan facility for additional borrowings was $438.7 million.</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dividends and distributions for the six months ended June 30, 2022 were $76.7 million, which were funded by operations.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2022, the Company was in compliance with all applicable loan covenants under its agreements.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2022, the Company had cash and cash equivalents of $106.4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Material Cash Commitments:</w:t>
      </w:r>
    </w:p>
    <w:p>
      <w:pPr>
        <w:spacing w:after="0" w:line="150"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June 30, 2022 for the consolidated Centers over the periods in which they are expected to be paid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20" w:type="dxa"/>
            <w:vAlign w:val="bottom"/>
          </w:tcPr>
          <w:p>
            <w:pPr>
              <w:spacing w:after="0"/>
              <w:rPr>
                <w:sz w:val="10"/>
                <w:szCs w:val="10"/>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080" w:type="dxa"/>
            <w:vAlign w:val="bottom"/>
          </w:tcPr>
          <w:p>
            <w:pPr>
              <w:jc w:val="right"/>
              <w:ind w:right="299"/>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right="239"/>
              <w:spacing w:after="0" w:line="125"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right"/>
              <w:ind w:right="459"/>
              <w:spacing w:after="0" w:line="125" w:lineRule="exact"/>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279"/>
              <w:spacing w:after="0" w:line="12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1"/>
        </w:trPr>
        <w:tc>
          <w:tcPr>
            <w:tcW w:w="3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57"/>
        </w:trPr>
        <w:tc>
          <w:tcPr>
            <w:tcW w:w="35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Long-term debt obligations (includes expected</w:t>
            </w: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5,175,862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1,040,506</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1,704,868</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obligations(2)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120,534</w:t>
            </w:r>
          </w:p>
        </w:tc>
        <w:tc>
          <w:tcPr>
            <w:tcW w:w="0" w:type="dxa"/>
            <w:vAlign w:val="bottom"/>
          </w:tcPr>
          <w:p>
            <w:pPr>
              <w:spacing w:after="0"/>
              <w:rPr>
                <w:sz w:val="1"/>
                <w:szCs w:val="1"/>
                <w:color w:val="auto"/>
              </w:rPr>
            </w:pPr>
          </w:p>
        </w:tc>
      </w:tr>
      <w:tr>
        <w:trPr>
          <w:trHeight w:val="242"/>
        </w:trPr>
        <w:tc>
          <w:tcPr>
            <w:tcW w:w="35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5,365,212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1,825,402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June 30, 2022.</w:t>
      </w:r>
    </w:p>
    <w:p>
      <w:pPr>
        <w:spacing w:after="0" w:line="14" w:lineRule="exact"/>
        <w:rPr>
          <w:rFonts w:ascii="Times New Roman" w:cs="Times New Roman" w:eastAsia="Times New Roman" w:hAnsi="Times New Roman"/>
          <w:sz w:val="16"/>
          <w:szCs w:val="16"/>
          <w:color w:val="auto"/>
        </w:rPr>
      </w:pPr>
    </w:p>
    <w:p>
      <w:pPr>
        <w:ind w:left="320" w:hanging="315"/>
        <w:spacing w:after="0"/>
        <w:tabs>
          <w:tab w:leader="none" w:pos="3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50" w:lineRule="exact"/>
        <w:rPr>
          <w:sz w:val="20"/>
          <w:szCs w:val="20"/>
          <w:color w:val="auto"/>
        </w:rPr>
      </w:pPr>
    </w:p>
    <w:p>
      <w:pPr>
        <w:ind w:right="40" w:firstLine="434"/>
        <w:spacing w:after="0" w:line="249" w:lineRule="auto"/>
        <w:rPr>
          <w:sz w:val="20"/>
          <w:szCs w:val="20"/>
          <w:color w:val="auto"/>
        </w:rPr>
      </w:pPr>
      <w:r>
        <w:rPr>
          <w:rFonts w:ascii="Times New Roman" w:cs="Times New Roman" w:eastAsia="Times New Roman" w:hAnsi="Times New Roman"/>
          <w:sz w:val="18"/>
          <w:szCs w:val="18"/>
          <w:color w:val="auto"/>
        </w:rPr>
        <w:t xml:space="preserve">The Company uses FFO in addition to net income to report its operating and financial results and considers FFO and FFO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19" w:lineRule="exact"/>
        <w:rPr>
          <w:sz w:val="20"/>
          <w:szCs w:val="20"/>
          <w:color w:val="auto"/>
        </w:rPr>
      </w:pPr>
    </w:p>
    <w:p>
      <w:pPr>
        <w:ind w:right="60" w:firstLine="434"/>
        <w:spacing w:after="0" w:line="250" w:lineRule="auto"/>
        <w:rPr>
          <w:sz w:val="20"/>
          <w:szCs w:val="20"/>
          <w:color w:val="auto"/>
        </w:rPr>
      </w:pPr>
      <w:r>
        <w:rPr>
          <w:rFonts w:ascii="Times New Roman" w:cs="Times New Roman" w:eastAsia="Times New Roman" w:hAnsi="Times New Roman"/>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w:t>
      </w:r>
    </w:p>
    <w:p>
      <w:pPr>
        <w:spacing w:after="0" w:line="148" w:lineRule="exact"/>
        <w:rPr>
          <w:sz w:val="20"/>
          <w:szCs w:val="20"/>
          <w:color w:val="auto"/>
        </w:rPr>
      </w:pPr>
    </w:p>
    <w:p>
      <w:pPr>
        <w:ind w:right="40" w:firstLine="434"/>
        <w:spacing w:after="0" w:line="247"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12" w:lineRule="exact"/>
        <w:rPr>
          <w:sz w:val="20"/>
          <w:szCs w:val="20"/>
          <w:color w:val="auto"/>
        </w:rPr>
      </w:pPr>
    </w:p>
    <w:p>
      <w:pPr>
        <w:ind w:right="60" w:firstLine="434"/>
        <w:spacing w:after="0" w:line="256"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114" w:lineRule="exact"/>
        <w:rPr>
          <w:sz w:val="20"/>
          <w:szCs w:val="20"/>
          <w:color w:val="auto"/>
        </w:rPr>
      </w:pPr>
    </w:p>
    <w:p>
      <w:pPr>
        <w:ind w:right="100" w:firstLine="434"/>
        <w:spacing w:after="0" w:line="252"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118" w:lineRule="exact"/>
        <w:rPr>
          <w:sz w:val="20"/>
          <w:szCs w:val="20"/>
          <w:color w:val="auto"/>
        </w:rPr>
      </w:pPr>
    </w:p>
    <w:p>
      <w:pPr>
        <w:ind w:right="120" w:firstLine="434"/>
        <w:spacing w:after="0" w:line="256" w:lineRule="auto"/>
        <w:rPr>
          <w:sz w:val="20"/>
          <w:szCs w:val="20"/>
          <w:color w:val="auto"/>
        </w:rPr>
      </w:pPr>
      <w:r>
        <w:rPr>
          <w:rFonts w:ascii="Times New Roman" w:cs="Times New Roman" w:eastAsia="Times New Roman" w:hAnsi="Times New Roman"/>
          <w:sz w:val="18"/>
          <w:szCs w:val="18"/>
          <w:color w:val="auto"/>
        </w:rPr>
        <w:t>The following reconciles net loss attributable to the Company to FFO and FFO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diluted attributable to common stockholders and unit holders-basic and diluted, excluding financing expense in connection with Chandler Freehold for the three and six months ended June 30, 2022 and 2021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25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attributable to the Company to FFO attributable to common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and unit holders—basic and diluted: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assets, net—consolidated assets</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 noncontrolling interests share of gain on sale or write down of assets—consolidated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assets—consolidated assets</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share of gain of undepreciated assets—consolidated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write-down of non-real estate assets—consolidated assets</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or write down of assets—unconsolidated joint ventures, net(1)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 gain on sale of undepreciated assets—unconsolidated joint ventures(1)</w:t>
            </w:r>
          </w:p>
        </w:tc>
        <w:tc>
          <w:tcPr>
            <w:tcW w:w="26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amortization—consolidated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72,458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in depreciation and amortization—consolidated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 and diluted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93,710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9,140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40"/>
        </w:trPr>
        <w:tc>
          <w:tcPr>
            <w:tcW w:w="636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 financing expense in</w:t>
            </w:r>
          </w:p>
        </w:tc>
        <w:tc>
          <w:tcPr>
            <w:tcW w:w="260" w:type="dxa"/>
            <w:vAlign w:val="bottom"/>
            <w:vMerge w:val="restart"/>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102,850</w:t>
            </w:r>
          </w:p>
        </w:tc>
        <w:tc>
          <w:tcPr>
            <w:tcW w:w="1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127,594</w:t>
            </w:r>
          </w:p>
        </w:tc>
        <w:tc>
          <w:tcPr>
            <w:tcW w:w="1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215,221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connection with Chandler Freehold—basic and diluted</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223,649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impact of dilutive securities in computing FFO—diluted: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340"/>
          </w:cols>
          <w:pgMar w:left="320" w:top="118" w:right="239" w:bottom="1440" w:gutter="0" w:footer="0" w:header="0"/>
        </w:sectPr>
      </w:pPr>
    </w:p>
    <w:p>
      <w:pPr>
        <w:ind w:left="580"/>
        <w:spacing w:after="0"/>
        <w:rPr>
          <w:sz w:val="20"/>
          <w:szCs w:val="20"/>
          <w:color w:val="auto"/>
        </w:rPr>
      </w:pPr>
      <w:r>
        <w:rPr>
          <w:rFonts w:ascii="Times New Roman" w:cs="Times New Roman" w:eastAsia="Times New Roman" w:hAnsi="Times New Roman"/>
          <w:sz w:val="16"/>
          <w:szCs w:val="16"/>
          <w:color w:val="auto"/>
        </w:rPr>
        <w:t>Share and unit 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-115570</wp:posOffset>
            </wp:positionV>
            <wp:extent cx="6921500" cy="133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1500" cy="133985"/>
                    </a:xfrm>
                    <a:prstGeom prst="rect">
                      <a:avLst/>
                    </a:prstGeom>
                    <a:noFill/>
                  </pic:spPr>
                </pic:pic>
              </a:graphicData>
            </a:graphic>
          </wp:anchor>
        </w:drawing>
      </w:r>
    </w:p>
    <w:p>
      <w:pPr>
        <w:spacing w:after="0" w:line="7" w:lineRule="exact"/>
        <w:rPr>
          <w:sz w:val="20"/>
          <w:szCs w:val="20"/>
          <w:color w:val="auto"/>
        </w:rPr>
      </w:pPr>
    </w:p>
    <w:p>
      <w:pPr>
        <w:ind w:left="460" w:right="740"/>
        <w:spacing w:after="0" w:line="237" w:lineRule="auto"/>
        <w:rPr>
          <w:sz w:val="20"/>
          <w:szCs w:val="20"/>
          <w:color w:val="auto"/>
        </w:rPr>
      </w:pPr>
      <w:r>
        <w:rPr>
          <w:rFonts w:ascii="Times New Roman" w:cs="Times New Roman" w:eastAsia="Times New Roman" w:hAnsi="Times New Roman"/>
          <w:sz w:val="16"/>
          <w:szCs w:val="16"/>
          <w:color w:val="auto"/>
        </w:rPr>
        <w:t>Weighted average number of FFO shares outstanding for FFO attributable to common stockholders and unit holders—basic and diluted(2)</w:t>
      </w:r>
    </w:p>
    <w:p>
      <w:pPr>
        <w:spacing w:after="0" w:line="242" w:lineRule="exact"/>
        <w:rPr>
          <w:sz w:val="20"/>
          <w:szCs w:val="20"/>
          <w:color w:val="auto"/>
        </w:rPr>
      </w:pPr>
    </w:p>
    <w:p>
      <w:pPr>
        <w:ind w:left="380" w:hanging="375"/>
        <w:spacing w:after="0"/>
        <w:tabs>
          <w:tab w:leader="none" w:pos="3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joint ventures are presented at the Company's pro rata share.</w:t>
      </w:r>
    </w:p>
    <w:p>
      <w:pPr>
        <w:spacing w:after="0" w:line="20" w:lineRule="exact"/>
        <w:rPr>
          <w:sz w:val="20"/>
          <w:szCs w:val="20"/>
          <w:color w:val="auto"/>
        </w:rPr>
      </w:pPr>
      <w:r>
        <w:rPr>
          <w:sz w:val="20"/>
          <w:szCs w:val="20"/>
          <w:color w:val="auto"/>
        </w:rPr>
        <w:br w:type="column"/>
      </w:r>
    </w:p>
    <w:p>
      <w:pPr>
        <w:ind w:left="360"/>
        <w:spacing w:after="0"/>
        <w:tabs>
          <w:tab w:leader="none" w:pos="1620" w:val="left"/>
          <w:tab w:leader="none" w:pos="29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17145</wp:posOffset>
            </wp:positionV>
            <wp:extent cx="28860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138" w:lineRule="exact"/>
        <w:rPr>
          <w:sz w:val="20"/>
          <w:szCs w:val="20"/>
          <w:color w:val="auto"/>
        </w:rPr>
      </w:pPr>
    </w:p>
    <w:p>
      <w:pPr>
        <w:spacing w:after="0"/>
        <w:tabs>
          <w:tab w:leader="none" w:pos="1260" w:val="left"/>
          <w:tab w:leader="none" w:pos="2540" w:val="left"/>
          <w:tab w:leader="none" w:pos="3700" w:val="left"/>
        </w:tabs>
        <w:rPr>
          <w:sz w:val="20"/>
          <w:szCs w:val="20"/>
          <w:color w:val="auto"/>
        </w:rPr>
      </w:pPr>
      <w:r>
        <w:rPr>
          <w:rFonts w:ascii="Times New Roman" w:cs="Times New Roman" w:eastAsia="Times New Roman" w:hAnsi="Times New Roman"/>
          <w:sz w:val="16"/>
          <w:szCs w:val="16"/>
          <w:color w:val="auto"/>
        </w:rPr>
        <w:t>223,649</w:t>
      </w:r>
      <w:r>
        <w:rPr>
          <w:sz w:val="20"/>
          <w:szCs w:val="20"/>
          <w:color w:val="auto"/>
        </w:rPr>
        <w:tab/>
      </w:r>
      <w:r>
        <w:rPr>
          <w:rFonts w:ascii="Times New Roman" w:cs="Times New Roman" w:eastAsia="Times New Roman" w:hAnsi="Times New Roman"/>
          <w:sz w:val="16"/>
          <w:szCs w:val="16"/>
          <w:color w:val="auto"/>
        </w:rPr>
        <w:t>215,576</w:t>
      </w:r>
      <w:r>
        <w:rPr>
          <w:sz w:val="20"/>
          <w:szCs w:val="20"/>
          <w:color w:val="auto"/>
        </w:rPr>
        <w:tab/>
      </w:r>
      <w:r>
        <w:rPr>
          <w:rFonts w:ascii="Times New Roman" w:cs="Times New Roman" w:eastAsia="Times New Roman" w:hAnsi="Times New Roman"/>
          <w:sz w:val="16"/>
          <w:szCs w:val="16"/>
          <w:color w:val="auto"/>
        </w:rPr>
        <w:t>223,576</w:t>
      </w:r>
      <w:r>
        <w:rPr>
          <w:sz w:val="20"/>
          <w:szCs w:val="20"/>
          <w:color w:val="auto"/>
        </w:rPr>
        <w:tab/>
      </w:r>
      <w:r>
        <w:rPr>
          <w:rFonts w:ascii="Times New Roman" w:cs="Times New Roman" w:eastAsia="Times New Roman" w:hAnsi="Times New Roman"/>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17145</wp:posOffset>
            </wp:positionV>
            <wp:extent cx="288607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86075" cy="33655"/>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6620" w:space="720"/>
            <w:col w:w="4000"/>
          </w:cols>
          <w:pgMar w:left="320" w:top="118" w:right="239" w:bottom="1440" w:gutter="0" w:footer="0" w:header="0"/>
          <w:type w:val="continuous"/>
        </w:sectPr>
      </w:pPr>
    </w:p>
    <w:p>
      <w:pPr>
        <w:ind w:left="400" w:right="240" w:hanging="395"/>
        <w:spacing w:after="0" w:line="287" w:lineRule="auto"/>
        <w:tabs>
          <w:tab w:leader="none" w:pos="38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Includes 8.7 million and 9.8 million of OP Units outstanding for the three months ended June 30, 2022 and 2021, respectively, and 8.7 million and 10.3 million of OP Units outstanding for the six months ended June 30, 2022 and 2021, respectively.</w:t>
      </w:r>
    </w:p>
    <w:p>
      <w:pPr>
        <w:spacing w:after="0" w:line="99" w:lineRule="exact"/>
        <w:rPr>
          <w:rFonts w:ascii="Times New Roman" w:cs="Times New Roman" w:eastAsia="Times New Roman" w:hAnsi="Times New Roman"/>
          <w:sz w:val="16"/>
          <w:szCs w:val="16"/>
          <w:color w:val="auto"/>
        </w:rPr>
      </w:pPr>
    </w:p>
    <w:p>
      <w:pPr>
        <w:ind w:left="400" w:right="26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1" w:lineRule="exact"/>
        <w:rPr>
          <w:sz w:val="20"/>
          <w:szCs w:val="20"/>
          <w:color w:val="auto"/>
        </w:rPr>
      </w:pPr>
    </w:p>
    <w:p>
      <w:pPr>
        <w:ind w:right="100" w:firstLine="5"/>
        <w:spacing w:after="0" w:line="245" w:lineRule="auto"/>
        <w:tabs>
          <w:tab w:leader="none" w:pos="2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4"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June 30, 2022 concerning the Company's long-term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twelve months ending June 30,</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0"/>
        </w:trPr>
        <w:tc>
          <w:tcPr>
            <w:tcW w:w="1700" w:type="dxa"/>
            <w:vAlign w:val="bottom"/>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449,501</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251,620</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979,227</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217,473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326,066</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1,528,895</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3,752,782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3,423,190</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430,320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275,602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705,922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687,635</w:t>
            </w: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7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debt—Consolidated</w:t>
            </w: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879,821</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527,222</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979,227</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217,473</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326,066</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1,528,895</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4,458,704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4,110,825</w:t>
            </w:r>
          </w:p>
        </w:tc>
        <w:tc>
          <w:tcPr>
            <w:tcW w:w="0" w:type="dxa"/>
            <w:vAlign w:val="bottom"/>
          </w:tcPr>
          <w:p>
            <w:pPr>
              <w:spacing w:after="0"/>
              <w:rPr>
                <w:sz w:val="1"/>
                <w:szCs w:val="1"/>
                <w:color w:val="auto"/>
              </w:rPr>
            </w:pPr>
          </w:p>
        </w:tc>
      </w:tr>
      <w:tr>
        <w:trPr>
          <w:trHeight w:val="172"/>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70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UNCONSOLIDATED</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7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Long-term debt (at</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673,581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367,756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32,742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549,311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110,060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953,209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2,686,659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2,490,598</w:t>
            </w:r>
          </w:p>
        </w:tc>
        <w:tc>
          <w:tcPr>
            <w:tcW w:w="0" w:type="dxa"/>
            <w:vAlign w:val="bottom"/>
          </w:tcPr>
          <w:p>
            <w:pPr>
              <w:spacing w:after="0"/>
              <w:rPr>
                <w:sz w:val="1"/>
                <w:szCs w:val="1"/>
                <w:color w:val="auto"/>
              </w:rPr>
            </w:pPr>
          </w:p>
        </w:tc>
      </w:tr>
      <w:tr>
        <w:trPr>
          <w:trHeight w:val="190"/>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156,929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200,929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186,482</w:t>
            </w:r>
          </w:p>
        </w:tc>
        <w:tc>
          <w:tcPr>
            <w:tcW w:w="0" w:type="dxa"/>
            <w:vAlign w:val="bottom"/>
          </w:tcPr>
          <w:p>
            <w:pPr>
              <w:spacing w:after="0"/>
              <w:rPr>
                <w:sz w:val="1"/>
                <w:szCs w:val="1"/>
                <w:color w:val="auto"/>
              </w:rPr>
            </w:pPr>
          </w:p>
        </w:tc>
      </w:tr>
      <w:tr>
        <w:trPr>
          <w:trHeight w:val="191"/>
        </w:trPr>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debt—Unconsolidated</w:t>
            </w: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673,581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379,256</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189,671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549,311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142,560</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953,209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2,887,588</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2,677,080</w:t>
            </w:r>
          </w:p>
        </w:tc>
        <w:tc>
          <w:tcPr>
            <w:tcW w:w="0" w:type="dxa"/>
            <w:vAlign w:val="bottom"/>
          </w:tcPr>
          <w:p>
            <w:pPr>
              <w:spacing w:after="0"/>
              <w:rPr>
                <w:sz w:val="1"/>
                <w:szCs w:val="1"/>
                <w:color w:val="auto"/>
              </w:rPr>
            </w:pPr>
          </w:p>
        </w:tc>
      </w:tr>
      <w:tr>
        <w:trPr>
          <w:trHeight w:val="187"/>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Consolidated Centers' total fixed rate debt at each of June 30, 2022 and December 31, 2021 was $3.8 billion. The average interest rate on the fixed rate debt at June 30, 2022 and December 31, 2021 was 4.01% and 3.94%, respectively. The Consolidated Centers' total floating rate debt at June 30, 2022 and December 31, 2021 was $705.9 million and $738.9 million, respectively. The average interest rate on the floating rate debt at June 30, 2022 and December 31, 2021 was 3.56% and 2.61%, respectively.</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Company's pro rata share of the unconsolidated joint venture Centers' fixed rate debt at June 30, 2022 and December 31, 2021 was $2.7 billion 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 billion, respectively. The average interest rate on the fixed rate debt at June 30, 2022 and December 31, 2021 was 3.82% and 3.83%, respectively.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pro rata share of the unconsolidated joint venture Centers' floating rate debt at June 30, 2022 and December 31, 2021 was $200.9 million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$104.3 million, respectively. The average interest rate on the floating rate debt at June 30, 2022 and December 31, 2021 was 3.94% and 2.60%, respectively.</w:t>
      </w:r>
    </w:p>
    <w:p>
      <w:pPr>
        <w:spacing w:after="0" w:line="140" w:lineRule="exact"/>
        <w:rPr>
          <w:sz w:val="20"/>
          <w:szCs w:val="20"/>
          <w:color w:val="auto"/>
        </w:rPr>
      </w:pPr>
    </w:p>
    <w:p>
      <w:pPr>
        <w:ind w:right="40" w:firstLine="434"/>
        <w:spacing w:after="0" w:line="250"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June 30, 2022, the Company had three interest rate cap agreements in place (See Note 4—Investments in Unconsolidated Joint Ventures and Note 5—Derivative Instruments and Hedging Activities in the Company's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40" w:firstLine="434"/>
        <w:spacing w:after="0" w:line="268"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$9.1 million per year based on $0.9 billion of floating rate debt outstanding at June 30, 2022.</w:t>
      </w:r>
    </w:p>
    <w:p>
      <w:pPr>
        <w:spacing w:after="0" w:line="90" w:lineRule="exact"/>
        <w:rPr>
          <w:sz w:val="20"/>
          <w:szCs w:val="20"/>
          <w:color w:val="auto"/>
        </w:rPr>
      </w:pPr>
    </w:p>
    <w:p>
      <w:pPr>
        <w:ind w:right="200" w:firstLine="434"/>
        <w:spacing w:after="0" w:line="252"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8"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The LIBOR benchmark has been the subject of national, international and other regulatory guidance and proposals for reform and replacement, with most LIBOR settings relevant to the Company not expected to be published after June 30, 2023. As a result, any of the Company's LIBOR-based borrowings that extend beyond such date will need to be converted to a replacement rate. If a contract is not transitioned to an alternative variable rate and LIBOR is discontinued, the impact is likely to vary by contract. As of June 30, 2022, each of the agreements governing the Company's variable rate debt provides for the replacement of LIBOR if it becomes unavailable during the term of such agreement.</w:t>
      </w:r>
    </w:p>
    <w:p>
      <w:pPr>
        <w:spacing w:after="0" w:line="119" w:lineRule="exact"/>
        <w:rPr>
          <w:sz w:val="20"/>
          <w:szCs w:val="20"/>
          <w:color w:val="auto"/>
        </w:rPr>
      </w:pPr>
    </w:p>
    <w:p>
      <w:pPr>
        <w:ind w:right="160" w:firstLine="434"/>
        <w:spacing w:after="0" w:line="250" w:lineRule="auto"/>
        <w:rPr>
          <w:sz w:val="20"/>
          <w:szCs w:val="20"/>
          <w:color w:val="auto"/>
        </w:rPr>
      </w:pPr>
      <w:r>
        <w:rPr>
          <w:rFonts w:ascii="Times New Roman" w:cs="Times New Roman" w:eastAsia="Times New Roman" w:hAnsi="Times New Roman"/>
          <w:sz w:val="18"/>
          <w:szCs w:val="18"/>
          <w:color w:val="auto"/>
        </w:rPr>
        <w:t>The discontinuation of LIBOR will not affect the Company's ability to borrow or maintain already outstanding borrowings or swaps, but if the Company's contracts indexed to LIBOR, including certain contracts governing the Company's variable rate debt, the variable rate debt of the Company's joint ventures and the Company's interest rate swaps, are converted to an alternative rate, the differences could result in interest costs that are higher than if LIBOR remained available. It is not yet possible to predict the magnitude of LIBOR’s end on the Company's borrowing costs given the remaining uncertainty about which rates will replace LIBOR.</w:t>
      </w:r>
    </w:p>
    <w:p>
      <w:pPr>
        <w:spacing w:after="0" w:line="10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0" w:lineRule="exact"/>
        <w:rPr>
          <w:sz w:val="20"/>
          <w:szCs w:val="20"/>
          <w:color w:val="auto"/>
        </w:rPr>
      </w:pPr>
    </w:p>
    <w:p>
      <w:pPr>
        <w:ind w:right="100" w:firstLine="434"/>
        <w:spacing w:after="0" w:line="247"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June 30, 2022,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25" w:lineRule="exact"/>
        <w:rPr>
          <w:sz w:val="20"/>
          <w:szCs w:val="20"/>
          <w:color w:val="auto"/>
        </w:rPr>
      </w:pPr>
    </w:p>
    <w:p>
      <w:pPr>
        <w:ind w:right="620" w:firstLine="434"/>
        <w:spacing w:after="0" w:line="256" w:lineRule="auto"/>
        <w:rPr>
          <w:sz w:val="20"/>
          <w:szCs w:val="20"/>
          <w:color w:val="auto"/>
        </w:rPr>
      </w:pPr>
      <w:r>
        <w:rPr>
          <w:rFonts w:ascii="Times New Roman" w:cs="Times New Roman" w:eastAsia="Times New Roman" w:hAnsi="Times New Roman"/>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7" w:lineRule="exact"/>
        <w:rPr>
          <w:sz w:val="20"/>
          <w:szCs w:val="20"/>
          <w:color w:val="auto"/>
        </w:rPr>
      </w:pPr>
    </w:p>
    <w:p>
      <w:pPr>
        <w:ind w:right="240" w:firstLine="434"/>
        <w:spacing w:after="0" w:line="268"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0" w:lineRule="exact"/>
        <w:rPr>
          <w:sz w:val="20"/>
          <w:szCs w:val="20"/>
          <w:color w:val="auto"/>
        </w:rPr>
      </w:pPr>
    </w:p>
    <w:p>
      <w:pPr>
        <w:ind w:right="300" w:firstLine="434"/>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risk factors relating to the Company set forth under the caption "Item 1A. Risk Factors" 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7"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On April 28, 2022 and June 23, 2022, the Company, as general partner of the Operating Partnership, issued 28,735 and 5,816 shares of common stock of the Company, respectively, upon the redemption of 34,551 common partnership units of the Operating Partnership. These shares of common stock were issued in private placements to two limited partners of the Operating Partnership, each an accredited investor, pursuant to Section 4(a)(2) of the Securities Act of 1933, as amended.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8"/>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8"/>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2022 to April 30,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2022 to May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2022 to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180" w:right="220" w:hanging="543"/>
        <w:spacing w:after="0" w:line="269"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2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3040" w:type="dxa"/>
            <w:vAlign w:val="bottom"/>
          </w:tcPr>
          <w:p>
            <w:pPr>
              <w:jc w:val="center"/>
              <w:ind w:right="24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10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ind w:left="1120" w:hanging="358"/>
        <w:spacing w:after="0" w:line="220" w:lineRule="auto"/>
        <w:tabs>
          <w:tab w:leader="none" w:pos="1100" w:val="left"/>
        </w:tabs>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u w:val="single" w:color="auto"/>
          <w:color w:val="0000FF"/>
        </w:rPr>
        <w:tab/>
      </w:r>
      <w:hyperlink r:id="rId60">
        <w:r>
          <w:rPr>
            <w:rFonts w:ascii="Times New Roman" w:cs="Times New Roman" w:eastAsia="Times New Roman" w:hAnsi="Times New Roman"/>
            <w:sz w:val="18"/>
            <w:szCs w:val="18"/>
            <w:u w:val="single" w:color="auto"/>
            <w:color w:val="0000FF"/>
          </w:rPr>
          <w:t>Master Agreement, dated November 14, 2014, by and among Pacific Premier Retail LP, MACPT LLC, Macerich PPR GP LLC, Queens JV LP,</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Macerich Queens JV LP, Queens JV GP LLC, 1700480 Ontario Inc. and the Company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Company’s Current Report on Form 8-K, event date November 14, 2014).</w:t>
        </w:r>
      </w:hyperlink>
    </w:p>
    <w:p>
      <w:pPr>
        <w:spacing w:after="0" w:line="10"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w:t>
        <w:tab/>
        <w:t>Articles of Amendment and Restatement of the Company (incorporated by reference as an exhibit to the Company's Registration Statement on Form S-11, as amended (No. 33-68964))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sz w:val="20"/>
          <w:szCs w:val="20"/>
          <w:color w:val="auto"/>
        </w:rPr>
      </w:pPr>
      <w:r>
        <w:rPr>
          <w:rFonts w:ascii="Times New Roman" w:cs="Times New Roman" w:eastAsia="Times New Roman" w:hAnsi="Times New Roman"/>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9" w:lineRule="exact"/>
        <w:rPr>
          <w:rFonts w:ascii="Times New Roman" w:cs="Times New Roman" w:eastAsia="Times New Roman" w:hAnsi="Times New Roman"/>
          <w:sz w:val="18"/>
          <w:szCs w:val="18"/>
          <w:u w:val="single" w:color="auto"/>
          <w:color w:val="0000FF"/>
        </w:rPr>
      </w:pPr>
    </w:p>
    <w:p>
      <w:pPr>
        <w:ind w:left="1120" w:right="2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r:id="rId61">
        <w:r>
          <w:rPr>
            <w:rFonts w:ascii="Times New Roman" w:cs="Times New Roman" w:eastAsia="Times New Roman" w:hAnsi="Times New Roman"/>
            <w:sz w:val="18"/>
            <w:szCs w:val="18"/>
            <w:u w:val="single" w:color="auto"/>
            <w:color w:val="0000FF"/>
          </w:rPr>
          <w:t>Articles Supplementary of the Company (with respect to the first paragraph) (incorporated by reference as an exhibit to the Company's 1998</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Form 10-K).</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u w:val="single" w:color="auto"/>
          <w:color w:val="0000FF"/>
        </w:rPr>
        <w:tab/>
      </w:r>
      <w:hyperlink r:id="rId62">
        <w:r>
          <w:rPr>
            <w:rFonts w:ascii="Times New Roman" w:cs="Times New Roman" w:eastAsia="Times New Roman" w:hAnsi="Times New Roman"/>
            <w:sz w:val="18"/>
            <w:szCs w:val="18"/>
            <w:u w:val="single" w:color="auto"/>
            <w:color w:val="0000FF"/>
          </w:rPr>
          <w:t>Articles Supplementary of the Company (Series D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on Form 8-K, event date July 26, 2002).</w:t>
        </w:r>
      </w:hyperlink>
    </w:p>
    <w:p>
      <w:pPr>
        <w:spacing w:after="0" w:line="9" w:lineRule="exact"/>
        <w:rPr>
          <w:rFonts w:ascii="Times New Roman" w:cs="Times New Roman" w:eastAsia="Times New Roman" w:hAnsi="Times New Roman"/>
          <w:sz w:val="18"/>
          <w:szCs w:val="18"/>
          <w:u w:val="single" w:color="auto"/>
          <w:color w:val="0000FF"/>
        </w:rPr>
      </w:pPr>
    </w:p>
    <w:p>
      <w:pPr>
        <w:ind w:left="1120" w:right="3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u w:val="single" w:color="auto"/>
          <w:color w:val="0000FF"/>
        </w:rPr>
        <w:tab/>
      </w:r>
      <w:hyperlink r:id="rId63">
        <w:r>
          <w:rPr>
            <w:rFonts w:ascii="Times New Roman" w:cs="Times New Roman" w:eastAsia="Times New Roman" w:hAnsi="Times New Roman"/>
            <w:sz w:val="18"/>
            <w:szCs w:val="18"/>
            <w:u w:val="single" w:color="auto"/>
            <w:color w:val="0000FF"/>
          </w:rPr>
          <w:t>Articles Supplementary of the Company (incorporated by reference as an exhibit to the Company's Registration Statement on Form S-3, as</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amended (No. 333-88718)).</w:t>
        </w:r>
      </w:hyperlink>
    </w:p>
    <w:p>
      <w:pPr>
        <w:spacing w:after="0" w:line="9" w:lineRule="exact"/>
        <w:rPr>
          <w:rFonts w:ascii="Times New Roman" w:cs="Times New Roman" w:eastAsia="Times New Roman" w:hAnsi="Times New Roman"/>
          <w:sz w:val="18"/>
          <w:szCs w:val="18"/>
          <w:u w:val="single" w:color="auto"/>
          <w:color w:val="0000FF"/>
        </w:rPr>
      </w:pPr>
    </w:p>
    <w:p>
      <w:pPr>
        <w:ind w:left="1120" w:right="12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u w:val="single" w:color="auto"/>
          <w:color w:val="0000FF"/>
        </w:rPr>
        <w:tab/>
      </w:r>
      <w:hyperlink r:id="rId64">
        <w:r>
          <w:rPr>
            <w:rFonts w:ascii="Times New Roman" w:cs="Times New Roman" w:eastAsia="Times New Roman" w:hAnsi="Times New Roman"/>
            <w:sz w:val="18"/>
            <w:szCs w:val="18"/>
            <w:u w:val="single" w:color="auto"/>
            <w:color w:val="0000FF"/>
          </w:rPr>
          <w:t>Articles of Amendment of the Company (declassification of Board) (incorporated by reference as an exhibit to the Company's 2008 Form 10-</w:t>
        </w:r>
      </w:hyperlink>
      <w:hyperlink r:id="rId64">
        <w:r>
          <w:rPr>
            <w:rFonts w:ascii="Times New Roman" w:cs="Times New Roman" w:eastAsia="Times New Roman" w:hAnsi="Times New Roman"/>
            <w:sz w:val="18"/>
            <w:szCs w:val="18"/>
            <w:u w:val="single" w:color="auto"/>
            <w:color w:val="0000FF"/>
          </w:rPr>
          <w:t>K).</w:t>
        </w:r>
      </w:hyperlink>
    </w:p>
    <w:p>
      <w:pPr>
        <w:spacing w:after="0" w:line="9" w:lineRule="exact"/>
        <w:rPr>
          <w:rFonts w:ascii="Times New Roman" w:cs="Times New Roman" w:eastAsia="Times New Roman" w:hAnsi="Times New Roman"/>
          <w:sz w:val="18"/>
          <w:szCs w:val="18"/>
          <w:u w:val="single" w:color="auto"/>
          <w:color w:val="0000FF"/>
        </w:rPr>
      </w:pPr>
    </w:p>
    <w:p>
      <w:pPr>
        <w:ind w:left="1120" w:right="2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u w:val="single" w:color="auto"/>
          <w:color w:val="0000FF"/>
        </w:rPr>
        <w:tab/>
      </w:r>
      <w:hyperlink r:id="rId65">
        <w:r>
          <w:rPr>
            <w:rFonts w:ascii="Times New Roman" w:cs="Times New Roman" w:eastAsia="Times New Roman" w:hAnsi="Times New Roman"/>
            <w:sz w:val="18"/>
            <w:szCs w:val="18"/>
            <w:u w:val="single" w:color="auto"/>
            <w:color w:val="0000FF"/>
          </w:rPr>
          <w:t>Articles Supplementary of the Company (incorporated by reference as an exhibit to the Company's Current Report on Form 8-K, event date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February 5, 2009).</w:t>
        </w:r>
      </w:hyperlink>
    </w:p>
    <w:p>
      <w:pPr>
        <w:spacing w:after="0" w:line="9" w:lineRule="exact"/>
        <w:rPr>
          <w:rFonts w:ascii="Times New Roman" w:cs="Times New Roman" w:eastAsia="Times New Roman" w:hAnsi="Times New Roman"/>
          <w:sz w:val="18"/>
          <w:szCs w:val="18"/>
          <w:u w:val="single" w:color="auto"/>
          <w:color w:val="0000FF"/>
        </w:rPr>
      </w:pPr>
    </w:p>
    <w:p>
      <w:pPr>
        <w:ind w:left="1120" w:right="34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u w:val="single" w:color="auto"/>
          <w:color w:val="0000FF"/>
        </w:rPr>
        <w:tab/>
      </w:r>
      <w:hyperlink r:id="rId66">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Quarterly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Report on Form 10-Q for the quarter ended June 30, 2009).</w:t>
        </w:r>
      </w:hyperlink>
    </w:p>
    <w:p>
      <w:pPr>
        <w:spacing w:after="0" w:line="9" w:lineRule="exact"/>
        <w:rPr>
          <w:rFonts w:ascii="Times New Roman" w:cs="Times New Roman" w:eastAsia="Times New Roman" w:hAnsi="Times New Roman"/>
          <w:sz w:val="18"/>
          <w:szCs w:val="18"/>
          <w:u w:val="single" w:color="auto"/>
          <w:color w:val="0000FF"/>
        </w:rPr>
      </w:pPr>
    </w:p>
    <w:p>
      <w:pPr>
        <w:jc w:val="center"/>
        <w:ind w:left="600" w:right="340"/>
        <w:spacing w:after="0" w:line="266" w:lineRule="auto"/>
        <w:rPr>
          <w:rFonts w:ascii="Times New Roman" w:cs="Times New Roman" w:eastAsia="Times New Roman" w:hAnsi="Times New Roman"/>
          <w:sz w:val="16"/>
          <w:szCs w:val="16"/>
          <w:u w:val="single" w:color="auto"/>
          <w:color w:val="0000FF"/>
        </w:rPr>
      </w:pPr>
      <w:hyperlink r:id="rId67">
        <w:r>
          <w:rPr>
            <w:rFonts w:ascii="Times New Roman" w:cs="Times New Roman" w:eastAsia="Times New Roman" w:hAnsi="Times New Roman"/>
            <w:sz w:val="16"/>
            <w:szCs w:val="16"/>
            <w:u w:val="single" w:color="auto"/>
            <w:color w:val="0000FF"/>
          </w:rPr>
          <w:t>3.1.8  Articles of Amendment of the Company (to eliminate the supermajority vote requirement to amend the charter and to clarify a reference in</w:t>
        </w:r>
      </w:hyperlink>
      <w:r>
        <w:rPr>
          <w:rFonts w:ascii="Times New Roman" w:cs="Times New Roman" w:eastAsia="Times New Roman" w:hAnsi="Times New Roman"/>
          <w:sz w:val="16"/>
          <w:szCs w:val="16"/>
          <w:u w:val="single" w:color="auto"/>
          <w:color w:val="0000FF"/>
        </w:rPr>
        <w:t xml:space="preserve"> </w:t>
      </w:r>
      <w:hyperlink r:id="rId67">
        <w:r>
          <w:rPr>
            <w:rFonts w:ascii="Times New Roman" w:cs="Times New Roman" w:eastAsia="Times New Roman" w:hAnsi="Times New Roman"/>
            <w:sz w:val="16"/>
            <w:szCs w:val="16"/>
            <w:u w:val="single" w:color="auto"/>
            <w:color w:val="0000FF"/>
          </w:rPr>
          <w:t>Article NINTH) (incorporated by reference as an exhibit to the Company’s Current Report on Form 8-K, event date May 30, 2014).</w:t>
        </w:r>
      </w:hyperlink>
    </w:p>
    <w:p>
      <w:pPr>
        <w:ind w:left="1120" w:right="160" w:hanging="490"/>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3.1.9</w:t>
        </w:r>
      </w:hyperlink>
      <w:r>
        <w:rPr>
          <w:rFonts w:ascii="Times New Roman" w:cs="Times New Roman" w:eastAsia="Times New Roman" w:hAnsi="Times New Roman"/>
          <w:sz w:val="18"/>
          <w:szCs w:val="18"/>
          <w:u w:val="single" w:color="auto"/>
          <w:color w:val="0000FF"/>
        </w:rPr>
        <w:tab/>
      </w:r>
      <w:hyperlink r:id="rId68">
        <w:r>
          <w:rPr>
            <w:rFonts w:ascii="Times New Roman" w:cs="Times New Roman" w:eastAsia="Times New Roman" w:hAnsi="Times New Roman"/>
            <w:sz w:val="18"/>
            <w:szCs w:val="18"/>
            <w:u w:val="single" w:color="auto"/>
            <w:color w:val="0000FF"/>
          </w:rPr>
          <w:t>Articles Supplementary of the Company (election to be subject to Section 3-803 of the Maryland General Corporation Law) (incorporated by</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reference as an exhibit to the Company’s Current Report on Form 8-K, event date March 17,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14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3.1.10</w:t>
        </w:r>
      </w:hyperlink>
      <w:r>
        <w:rPr>
          <w:rFonts w:ascii="Times New Roman" w:cs="Times New Roman" w:eastAsia="Times New Roman" w:hAnsi="Times New Roman"/>
          <w:sz w:val="18"/>
          <w:szCs w:val="18"/>
          <w:u w:val="single" w:color="auto"/>
          <w:color w:val="0000FF"/>
        </w:rPr>
        <w:tab/>
      </w:r>
      <w:hyperlink r:id="rId69">
        <w:r>
          <w:rPr>
            <w:rFonts w:ascii="Times New Roman" w:cs="Times New Roman" w:eastAsia="Times New Roman" w:hAnsi="Times New Roman"/>
            <w:sz w:val="18"/>
            <w:szCs w:val="18"/>
            <w:u w:val="single" w:color="auto"/>
            <w:color w:val="0000FF"/>
          </w:rPr>
          <w:t>Articles Supplementary of the Company (Series E Preferred Stock) (incorporated by reference as an exhibit to the Company’s Current Report</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on Form 8-K, event date March 18,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440" w:hanging="571"/>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3.1.11</w:t>
        </w:r>
      </w:hyperlink>
      <w:r>
        <w:rPr>
          <w:rFonts w:ascii="Times New Roman" w:cs="Times New Roman" w:eastAsia="Times New Roman" w:hAnsi="Times New Roman"/>
          <w:sz w:val="18"/>
          <w:szCs w:val="18"/>
          <w:u w:val="single" w:color="auto"/>
          <w:color w:val="0000FF"/>
        </w:rPr>
        <w:tab/>
      </w:r>
      <w:hyperlink r:id="rId70">
        <w:r>
          <w:rPr>
            <w:rFonts w:ascii="Times New Roman" w:cs="Times New Roman" w:eastAsia="Times New Roman" w:hAnsi="Times New Roman"/>
            <w:sz w:val="18"/>
            <w:szCs w:val="18"/>
            <w:u w:val="single" w:color="auto"/>
            <w:color w:val="0000FF"/>
          </w:rPr>
          <w:t>Articles Supplementary of the Company (reclassification of Series E Preferred Stock to Preferred Stock) (incorporated by reference as an</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exhibit to the Company’s Current Report on Form 8-K, event date May 7,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70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3.1.12</w:t>
        </w:r>
      </w:hyperlink>
      <w:r>
        <w:rPr>
          <w:rFonts w:ascii="Times New Roman" w:cs="Times New Roman" w:eastAsia="Times New Roman" w:hAnsi="Times New Roman"/>
          <w:sz w:val="18"/>
          <w:szCs w:val="18"/>
          <w:u w:val="single" w:color="auto"/>
          <w:color w:val="0000FF"/>
        </w:rPr>
        <w:tab/>
      </w:r>
      <w:hyperlink r:id="rId71">
        <w:r>
          <w:rPr>
            <w:rFonts w:ascii="Times New Roman" w:cs="Times New Roman" w:eastAsia="Times New Roman" w:hAnsi="Times New Roman"/>
            <w:sz w:val="18"/>
            <w:szCs w:val="18"/>
            <w:u w:val="single" w:color="auto"/>
            <w:color w:val="0000FF"/>
          </w:rPr>
          <w:t>Articles Supplementary of the Company (repeal of election to be subject to Section 3-803 of the Maryland General Corporation Law)</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(incorporated by reference as an exhibit to the Company’s Current Report on Form 8-K, event date May 28, 2015).</w:t>
        </w:r>
      </w:hyperlink>
    </w:p>
    <w:p>
      <w:pPr>
        <w:spacing w:after="0" w:line="9" w:lineRule="exact"/>
        <w:rPr>
          <w:rFonts w:ascii="Times New Roman" w:cs="Times New Roman" w:eastAsia="Times New Roman" w:hAnsi="Times New Roman"/>
          <w:sz w:val="18"/>
          <w:szCs w:val="18"/>
          <w:u w:val="single" w:color="auto"/>
          <w:color w:val="0000FF"/>
        </w:rPr>
      </w:pPr>
    </w:p>
    <w:p>
      <w:pPr>
        <w:ind w:left="1120" w:right="360" w:hanging="578"/>
        <w:spacing w:after="0" w:line="266" w:lineRule="auto"/>
        <w:tabs>
          <w:tab w:leader="none" w:pos="1100" w:val="left"/>
        </w:tabs>
        <w:rPr>
          <w:rFonts w:ascii="Times New Roman" w:cs="Times New Roman" w:eastAsia="Times New Roman" w:hAnsi="Times New Roman"/>
          <w:sz w:val="16"/>
          <w:szCs w:val="16"/>
          <w:u w:val="single" w:color="auto"/>
          <w:color w:val="0000FF"/>
        </w:rPr>
      </w:pPr>
      <w:hyperlink r:id="rId72">
        <w:r>
          <w:rPr>
            <w:rFonts w:ascii="Times New Roman" w:cs="Times New Roman" w:eastAsia="Times New Roman" w:hAnsi="Times New Roman"/>
            <w:sz w:val="18"/>
            <w:szCs w:val="18"/>
            <w:u w:val="single" w:color="auto"/>
            <w:color w:val="0000FF"/>
          </w:rPr>
          <w:t>3.1.13</w:t>
        </w:r>
      </w:hyperlink>
      <w:r>
        <w:rPr>
          <w:rFonts w:ascii="Times New Roman" w:cs="Times New Roman" w:eastAsia="Times New Roman" w:hAnsi="Times New Roman"/>
          <w:sz w:val="18"/>
          <w:szCs w:val="18"/>
          <w:u w:val="single" w:color="auto"/>
          <w:color w:val="0000FF"/>
        </w:rPr>
        <w:tab/>
      </w:r>
      <w:hyperlink r:id="rId72">
        <w:r>
          <w:rPr>
            <w:rFonts w:ascii="Times New Roman" w:cs="Times New Roman" w:eastAsia="Times New Roman" w:hAnsi="Times New Roman"/>
            <w:sz w:val="16"/>
            <w:szCs w:val="16"/>
            <w:u w:val="single" w:color="auto"/>
            <w:color w:val="0000FF"/>
          </w:rPr>
          <w:t>Articles Supplementary of the Company (opting out of provisions of Subtitle 8 of Title 3 of the Maryland General Corporate Law (MUTA</w:t>
        </w:r>
      </w:hyperlink>
      <w:r>
        <w:rPr>
          <w:rFonts w:ascii="Times New Roman" w:cs="Times New Roman" w:eastAsia="Times New Roman" w:hAnsi="Times New Roman"/>
          <w:sz w:val="16"/>
          <w:szCs w:val="16"/>
          <w:u w:val="single" w:color="auto"/>
          <w:color w:val="0000FF"/>
        </w:rPr>
        <w:t xml:space="preserve"> </w:t>
      </w:r>
      <w:hyperlink r:id="rId72">
        <w:r>
          <w:rPr>
            <w:rFonts w:ascii="Times New Roman" w:cs="Times New Roman" w:eastAsia="Times New Roman" w:hAnsi="Times New Roman"/>
            <w:sz w:val="16"/>
            <w:szCs w:val="16"/>
            <w:u w:val="single" w:color="auto"/>
            <w:color w:val="0000FF"/>
          </w:rPr>
          <w:t>provisions)) (incorporated by reference as an exhibit to the Company’s Current Report on Form 8-K, event date April 24, 2019).</w:t>
        </w:r>
      </w:hyperlink>
    </w:p>
    <w:p>
      <w:pPr>
        <w:ind w:left="1120" w:right="500" w:hanging="57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3.1.14</w:t>
        </w:r>
      </w:hyperlink>
      <w:r>
        <w:rPr>
          <w:rFonts w:ascii="Times New Roman" w:cs="Times New Roman" w:eastAsia="Times New Roman" w:hAnsi="Times New Roman"/>
          <w:sz w:val="18"/>
          <w:szCs w:val="18"/>
          <w:u w:val="single" w:color="auto"/>
          <w:color w:val="0000FF"/>
        </w:rPr>
        <w:tab/>
      </w:r>
      <w:hyperlink r:id="rId73">
        <w:r>
          <w:rPr>
            <w:rFonts w:ascii="Times New Roman" w:cs="Times New Roman" w:eastAsia="Times New Roman" w:hAnsi="Times New Roman"/>
            <w:sz w:val="18"/>
            <w:szCs w:val="18"/>
            <w:u w:val="single" w:color="auto"/>
            <w:color w:val="0000FF"/>
          </w:rPr>
          <w:t>Articles of Amendment of the Company (increased authorized shares) (incorporated by reference as an exhibit to the Company's current</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Report on Form 8-K, event date May 28, 2021).</w:t>
        </w:r>
      </w:hyperlink>
    </w:p>
    <w:p>
      <w:pPr>
        <w:spacing w:after="0" w:line="9" w:lineRule="exact"/>
        <w:rPr>
          <w:rFonts w:ascii="Times New Roman" w:cs="Times New Roman" w:eastAsia="Times New Roman" w:hAnsi="Times New Roman"/>
          <w:sz w:val="18"/>
          <w:szCs w:val="18"/>
          <w:u w:val="single" w:color="auto"/>
          <w:color w:val="0000FF"/>
        </w:rPr>
      </w:pPr>
    </w:p>
    <w:p>
      <w:pPr>
        <w:ind w:left="1120" w:right="60" w:hanging="358"/>
        <w:spacing w:after="0" w:line="231" w:lineRule="auto"/>
        <w:tabs>
          <w:tab w:leader="none" w:pos="1100" w:val="left"/>
        </w:tabs>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74">
        <w:r>
          <w:rPr>
            <w:rFonts w:ascii="Times New Roman" w:cs="Times New Roman" w:eastAsia="Times New Roman" w:hAnsi="Times New Roman"/>
            <w:sz w:val="18"/>
            <w:szCs w:val="18"/>
            <w:u w:val="single" w:color="auto"/>
            <w:color w:val="0000FF"/>
          </w:rPr>
          <w:t>Amended and Restated Bylaws of the Company (incorporated by reference as an exhibit to the Company's Current Report on Form 8-K, event</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date April 24, 2019).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6" w:lineRule="exact"/>
        <w:rPr>
          <w:rFonts w:ascii="Times New Roman" w:cs="Times New Roman" w:eastAsia="Times New Roman" w:hAnsi="Times New Roman"/>
          <w:sz w:val="18"/>
          <w:szCs w:val="18"/>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8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8"/>
        </w:trPr>
        <w:tc>
          <w:tcPr>
            <w:tcW w:w="100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gridSpan w:val="4"/>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5"/>
        </w:trPr>
        <w:tc>
          <w:tcPr>
            <w:tcW w:w="1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6"/>
                <w:szCs w:val="16"/>
                <w:color w:val="auto"/>
              </w:rPr>
            </w:pPr>
          </w:p>
        </w:tc>
        <w:tc>
          <w:tcPr>
            <w:tcW w:w="4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80" w:type="dxa"/>
            <w:vAlign w:val="bottom"/>
            <w:gridSpan w:val="3"/>
          </w:tcPr>
          <w:p>
            <w:pPr>
              <w:jc w:val="right"/>
              <w:spacing w:after="0" w:line="195"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Borders>
              <w:bottom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5"/>
              </w:rPr>
              <w:t>Section 302</w:t>
            </w:r>
          </w:p>
        </w:tc>
        <w:tc>
          <w:tcPr>
            <w:tcW w:w="4040" w:type="dxa"/>
            <w:vAlign w:val="bottom"/>
            <w:tcBorders>
              <w:bottom w:val="single" w:sz="8" w:color="0000FF"/>
            </w:tcBorders>
            <w:gridSpan w:val="2"/>
          </w:tcPr>
          <w:p>
            <w:pPr>
              <w:ind w:left="40"/>
              <w:spacing w:after="0" w:line="195" w:lineRule="exact"/>
              <w:rPr>
                <w:sz w:val="20"/>
                <w:szCs w:val="20"/>
                <w:color w:val="auto"/>
              </w:rPr>
            </w:pPr>
            <w:r>
              <w:rPr>
                <w:rFonts w:ascii="Times New Roman" w:cs="Times New Roman" w:eastAsia="Times New Roman" w:hAnsi="Times New Roman"/>
                <w:sz w:val="18"/>
                <w:szCs w:val="18"/>
                <w:color w:val="0000FF"/>
                <w:w w:val="96"/>
              </w:rPr>
              <w:t>Certification of Thomas O'Hern, Chief Executive Officer</w:t>
            </w:r>
          </w:p>
        </w:tc>
        <w:tc>
          <w:tcPr>
            <w:tcW w:w="5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0" w:type="dxa"/>
            <w:vAlign w:val="bottom"/>
            <w:gridSpan w:val="2"/>
          </w:tcPr>
          <w:p>
            <w:pPr>
              <w:spacing w:after="0"/>
              <w:rPr>
                <w:sz w:val="17"/>
                <w:szCs w:val="17"/>
                <w:color w:val="auto"/>
              </w:rPr>
            </w:pPr>
          </w:p>
        </w:tc>
        <w:tc>
          <w:tcPr>
            <w:tcW w:w="320" w:type="dxa"/>
            <w:vAlign w:val="bottom"/>
            <w:tcBorders>
              <w:bottom w:val="single" w:sz="8" w:color="0000FF"/>
            </w:tcBorders>
          </w:tcPr>
          <w:p>
            <w:pPr>
              <w:jc w:val="right"/>
              <w:spacing w:after="0" w:line="20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0" w:type="dxa"/>
            <w:vAlign w:val="bottom"/>
            <w:tcBorders>
              <w:bottom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302</w:t>
            </w:r>
          </w:p>
        </w:tc>
        <w:tc>
          <w:tcPr>
            <w:tcW w:w="4060" w:type="dxa"/>
            <w:vAlign w:val="bottom"/>
            <w:tcBorders>
              <w:bottom w:val="single" w:sz="8" w:color="0000FF"/>
            </w:tcBorders>
            <w:gridSpan w:val="3"/>
          </w:tcPr>
          <w:p>
            <w:pPr>
              <w:ind w:left="40"/>
              <w:spacing w:after="0" w:line="204" w:lineRule="exact"/>
              <w:rPr>
                <w:sz w:val="20"/>
                <w:szCs w:val="20"/>
                <w:color w:val="auto"/>
              </w:rPr>
            </w:pPr>
            <w:r>
              <w:rPr>
                <w:rFonts w:ascii="Times New Roman" w:cs="Times New Roman" w:eastAsia="Times New Roman" w:hAnsi="Times New Roman"/>
                <w:sz w:val="18"/>
                <w:szCs w:val="18"/>
                <w:color w:val="0000FF"/>
                <w:w w:val="96"/>
              </w:rPr>
              <w:t>Certification of Scott Kingsmore, Chief Financial Officer</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5"/>
              </w:rPr>
              <w:t>Section 906</w:t>
            </w:r>
          </w:p>
        </w:tc>
        <w:tc>
          <w:tcPr>
            <w:tcW w:w="4540" w:type="dxa"/>
            <w:vAlign w:val="bottom"/>
            <w:gridSpan w:val="4"/>
          </w:tcPr>
          <w:p>
            <w:pPr>
              <w:ind w:left="40"/>
              <w:spacing w:after="0" w:line="204" w:lineRule="exact"/>
              <w:rPr>
                <w:sz w:val="20"/>
                <w:szCs w:val="20"/>
                <w:color w:val="auto"/>
              </w:rPr>
            </w:pPr>
            <w:r>
              <w:rPr>
                <w:rFonts w:ascii="Times New Roman" w:cs="Times New Roman" w:eastAsia="Times New Roman" w:hAnsi="Times New Roman"/>
                <w:sz w:val="18"/>
                <w:szCs w:val="18"/>
                <w:color w:val="0000FF"/>
              </w:rPr>
              <w:t>Certifications of Thomas O'Hern and Scott Kingsmore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11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120" w:hanging="408"/>
        <w:spacing w:after="0"/>
        <w:tabs>
          <w:tab w:leader="none" w:pos="11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6"/>
          <w:szCs w:val="16"/>
          <w:color w:val="auto"/>
        </w:rPr>
      </w:pPr>
    </w:p>
    <w:p>
      <w:pPr>
        <w:spacing w:after="0" w:line="308"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10"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37" w:lineRule="exact"/>
        <w:rPr>
          <w:sz w:val="20"/>
          <w:szCs w:val="20"/>
          <w:color w:val="auto"/>
        </w:rPr>
      </w:pPr>
    </w:p>
    <w:p>
      <w:pPr>
        <w:ind w:right="460" w:firstLine="43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4740"/>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1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SCOTT W. KINGSMORE</w:t>
            </w:r>
          </w:p>
        </w:tc>
      </w:tr>
      <w:tr>
        <w:trPr>
          <w:trHeight w:val="210"/>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Scott W. Kingsmore</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Senior Executive Vice President, Treasurer and Chief Financial Officer</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118" w:right="6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148"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2022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6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13970</wp:posOffset>
            </wp:positionV>
            <wp:extent cx="28155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2022</w:t>
      </w:r>
      <w:r>
        <w:rPr>
          <w:sz w:val="20"/>
          <w:szCs w:val="20"/>
          <w:color w:val="auto"/>
        </w:rPr>
        <w:tab/>
      </w:r>
      <w:r>
        <w:rPr>
          <w:rFonts w:ascii="Times New Roman" w:cs="Times New Roman" w:eastAsia="Times New Roman" w:hAnsi="Times New Roman"/>
          <w:sz w:val="16"/>
          <w:szCs w:val="16"/>
          <w:i w:val="1"/>
          <w:iCs w:val="1"/>
          <w:color w:val="auto"/>
        </w:rPr>
        <w:t>Chief Executive Officer</w:t>
      </w:r>
    </w:p>
    <w:p>
      <w:pPr>
        <w:sectPr>
          <w:pgSz w:w="11900" w:h="16838" w:orient="portrait"/>
          <w:cols w:equalWidth="0" w:num="1">
            <w:col w:w="11240"/>
          </w:cols>
          <w:pgMar w:left="320" w:top="96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48"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 ended June 30, 2022 of The Macerich Company;</w:t>
      </w:r>
    </w:p>
    <w:p>
      <w:pPr>
        <w:spacing w:after="0" w:line="148"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8"/>
          <w:szCs w:val="18"/>
          <w:color w:val="auto"/>
        </w:rPr>
      </w:pPr>
    </w:p>
    <w:p>
      <w:pPr>
        <w:ind w:left="640" w:right="360" w:hanging="319"/>
        <w:spacing w:after="0" w:line="268"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8"/>
          <w:szCs w:val="18"/>
          <w:color w:val="auto"/>
        </w:rPr>
      </w:pPr>
    </w:p>
    <w:p>
      <w:pPr>
        <w:jc w:val="both"/>
        <w:ind w:left="640" w:right="400" w:hanging="319"/>
        <w:spacing w:after="0" w:line="25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960" w:right="80" w:hanging="323"/>
        <w:spacing w:after="0" w:line="256" w:lineRule="auto"/>
        <w:tabs>
          <w:tab w:leader="none" w:pos="9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8"/>
          <w:szCs w:val="18"/>
          <w:color w:val="auto"/>
        </w:rPr>
      </w:pPr>
    </w:p>
    <w:p>
      <w:pPr>
        <w:ind w:left="960" w:right="240" w:hanging="323"/>
        <w:spacing w:after="0" w:line="268" w:lineRule="auto"/>
        <w:tabs>
          <w:tab w:leader="none" w:pos="9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8"/>
          <w:szCs w:val="18"/>
          <w:color w:val="auto"/>
        </w:rPr>
      </w:pPr>
    </w:p>
    <w:p>
      <w:pPr>
        <w:ind w:left="960" w:right="220" w:hanging="323"/>
        <w:spacing w:after="0" w:line="267" w:lineRule="auto"/>
        <w:tabs>
          <w:tab w:leader="none" w:pos="9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558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13970</wp:posOffset>
            </wp:positionV>
            <wp:extent cx="3192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8" w:lineRule="exact"/>
        <w:rPr>
          <w:sz w:val="20"/>
          <w:szCs w:val="20"/>
          <w:color w:val="auto"/>
        </w:rPr>
      </w:pPr>
    </w:p>
    <w:p>
      <w:pPr>
        <w:ind w:left="980"/>
        <w:spacing w:after="0"/>
        <w:tabs>
          <w:tab w:leader="none" w:pos="1720" w:val="left"/>
          <w:tab w:leader="none" w:pos="5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8, 2022</w:t>
      </w:r>
      <w:r>
        <w:rPr>
          <w:sz w:val="20"/>
          <w:szCs w:val="20"/>
          <w:color w:val="auto"/>
        </w:rPr>
        <w:tab/>
      </w:r>
      <w:r>
        <w:rPr>
          <w:rFonts w:ascii="Times New Roman" w:cs="Times New Roman" w:eastAsia="Times New Roman" w:hAnsi="Times New Roman"/>
          <w:sz w:val="16"/>
          <w:szCs w:val="16"/>
          <w:i w:val="1"/>
          <w:iCs w:val="1"/>
          <w:color w:val="auto"/>
        </w:rPr>
        <w:t>Senior Executive Vice President and Chief Financial Officer</w:t>
      </w:r>
    </w:p>
    <w:p>
      <w:pPr>
        <w:sectPr>
          <w:pgSz w:w="11900" w:h="16838" w:orient="portrait"/>
          <w:cols w:equalWidth="0" w:num="1">
            <w:col w:w="11240"/>
          </w:cols>
          <w:pgMar w:left="320" w:top="96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8" w:lineRule="exact"/>
        <w:rPr>
          <w:sz w:val="20"/>
          <w:szCs w:val="20"/>
          <w:color w:val="auto"/>
        </w:rPr>
      </w:pPr>
    </w:p>
    <w:p>
      <w:pPr>
        <w:ind w:right="400" w:firstLine="316"/>
        <w:spacing w:after="0" w:line="268"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38" w:lineRule="exact"/>
        <w:rPr>
          <w:sz w:val="20"/>
          <w:szCs w:val="20"/>
          <w:color w:val="auto"/>
        </w:rPr>
      </w:pPr>
    </w:p>
    <w:p>
      <w:pPr>
        <w:ind w:left="960" w:right="240" w:hanging="323"/>
        <w:spacing w:after="0" w:line="268"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June 30, 2022 of the Company (the "Report") fully complies with the requirements of Section 13(a) and 15(d) of the Securities Exchange Act of 1934, as amended; and</w:t>
      </w:r>
    </w:p>
    <w:p>
      <w:pPr>
        <w:spacing w:after="0" w:line="50"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13970</wp:posOffset>
            </wp:positionV>
            <wp:extent cx="3568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1"/>
    </w:lvl>
    <w:lvl w:ilvl="1">
      <w:lvlJc w:val="left"/>
      <w:lvlText w:val="(%2)"/>
      <w:numFmt w:val="decimal"/>
      <w:start w:val="1"/>
    </w:lvl>
  </w:abstractNum>
  <w:abstractNum w:abstractNumId="4">
    <w:nsid w:val="3352255A"/>
    <w:multiLevelType w:val="hybridMultilevel"/>
    <w:lvl w:ilvl="0">
      <w:lvlJc w:val="left"/>
      <w:lvlText w:val="%1."/>
      <w:numFmt w:val="decimal"/>
      <w:start w:val="4"/>
    </w:lvl>
    <w:lvl w:ilvl="1">
      <w:lvlJc w:val="left"/>
      <w:lvlText w:val="%2"/>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0"/>
    </w:lvl>
    <w:lvl w:ilvl="1">
      <w:lvlJc w:val="left"/>
      <w:lvlText w:val="(%2)"/>
      <w:numFmt w:val="decimal"/>
      <w:start w:val="3"/>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lvl w:ilvl="1">
      <w:lvlJc w:val="left"/>
      <w:lvlText w:val="%2"/>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60" Type="http://schemas.openxmlformats.org/officeDocument/2006/relationships/hyperlink" Target="http://www.sec.gov/Archives/edgar/data/912242/000110465914081468/a14-24669_1ex2d1.htm" TargetMode="External"/><Relationship Id="rId61" Type="http://schemas.openxmlformats.org/officeDocument/2006/relationships/hyperlink" Target="http://www.sec.gov/Archives/edgar/data/912242/0001047469-99-012492.txt" TargetMode="External"/><Relationship Id="rId62" Type="http://schemas.openxmlformats.org/officeDocument/2006/relationships/hyperlink" Target="http://www.sec.gov/Archives/edgar/data/912242/000091205702030706/a2086079zex-3_1.htm" TargetMode="External"/><Relationship Id="rId63" Type="http://schemas.openxmlformats.org/officeDocument/2006/relationships/hyperlink" Target="http://www.sec.gov/Archives/edgar/data/912242/000091205702021417/a2080342zex-4_6.htm" TargetMode="External"/><Relationship Id="rId64" Type="http://schemas.openxmlformats.org/officeDocument/2006/relationships/hyperlink" Target="http://www.sec.gov/Archives/edgar/data/912242/000104746909001981/a2189901zex-3_15.htm" TargetMode="External"/><Relationship Id="rId65" Type="http://schemas.openxmlformats.org/officeDocument/2006/relationships/hyperlink" Target="http://www.sec.gov/Archives/edgar/data/912242/000110465909008348/a09-5253_1ex3d1.htm" TargetMode="External"/><Relationship Id="rId66" Type="http://schemas.openxmlformats.org/officeDocument/2006/relationships/hyperlink" Target="http://www.sec.gov/Archives/edgar/data/912242/000104746909007391/a2193924zex-3_17.htm" TargetMode="External"/><Relationship Id="rId67" Type="http://schemas.openxmlformats.org/officeDocument/2006/relationships/hyperlink" Target="http://www.sec.gov/Archives/edgar/data/912242/000110465914043330/a14-14485_1ex3d1.htm" TargetMode="External"/><Relationship Id="rId68" Type="http://schemas.openxmlformats.org/officeDocument/2006/relationships/hyperlink" Target="http://www.sec.gov/Archives/edgar/data/912242/000110465915020412/a15-6870_1ex3d1.htm" TargetMode="External"/><Relationship Id="rId69" Type="http://schemas.openxmlformats.org/officeDocument/2006/relationships/hyperlink" Target="http://www.sec.gov/Archives/edgar/data/912242/000110465915020810/a15-6873_1ex3d1.htm" TargetMode="External"/><Relationship Id="rId70" Type="http://schemas.openxmlformats.org/officeDocument/2006/relationships/hyperlink" Target="http://www.sec.gov/Archives/edgar/data/912242/000110465915037228/a15-11185_1ex3d1.htm" TargetMode="External"/><Relationship Id="rId71" Type="http://schemas.openxmlformats.org/officeDocument/2006/relationships/hyperlink" Target="http://www.sec.gov/Archives/edgar/data/912242/000110465915042631/a15-13305_1ex3d1.htm" TargetMode="External"/><Relationship Id="rId72" Type="http://schemas.openxmlformats.org/officeDocument/2006/relationships/hyperlink" Target="http://www.sec.gov/Archives/edgar/data/912242/000119312519129272/d731295dex31.htm" TargetMode="External"/><Relationship Id="rId73" Type="http://schemas.openxmlformats.org/officeDocument/2006/relationships/hyperlink" Target="https://www.sec.gov/Archives/edgar/data/912242/000119312521182973/d417870dex31.htm" TargetMode="External"/><Relationship Id="rId74"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2022-08-08T11:10:42Z</dcterms:created>
  <dcterms:modified xsi:type="dcterms:W3CDTF">2022-08-08T11:10:42Z</dcterms:modified>
</cp:coreProperties>
</file>