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554990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512445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130" w:lineRule="exact"/>
        <w:rPr>
          <w:sz w:val="24"/>
          <w:szCs w:val="24"/>
          <w:color w:val="auto"/>
        </w:rPr>
      </w:pPr>
    </w:p>
    <w:p>
      <w:pPr>
        <w:jc w:val="center"/>
        <w:ind w:left="3920" w:right="2060" w:hanging="1803"/>
        <w:spacing w:after="0" w:line="339" w:lineRule="auto"/>
        <w:tabs>
          <w:tab w:leader="none" w:pos="2293"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spacing w:after="0" w:line="139" w:lineRule="exact"/>
        <w:rPr>
          <w:sz w:val="24"/>
          <w:szCs w:val="24"/>
          <w:color w:val="auto"/>
        </w:rPr>
      </w:pPr>
    </w:p>
    <w:p>
      <w:pPr>
        <w:ind w:left="3660" w:right="1920" w:hanging="1694"/>
        <w:spacing w:after="0" w:line="339" w:lineRule="auto"/>
        <w:tabs>
          <w:tab w:leader="none" w:pos="2147"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No. 1-12504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THE MACERICH COMPANY</w:t>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5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95-4448705</w:t>
      </w:r>
    </w:p>
    <w:p>
      <w:pPr>
        <w:spacing w:after="0" w:line="57"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ind w:left="198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9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197" w:lineRule="exact"/>
        <w:rPr>
          <w:sz w:val="24"/>
          <w:szCs w:val="24"/>
          <w:color w:val="auto"/>
        </w:rPr>
      </w:pPr>
    </w:p>
    <w:p>
      <w:pPr>
        <w:sectPr>
          <w:pgSz w:w="11900" w:h="16838" w:orient="portrait"/>
          <w:cols w:equalWidth="0" w:num="2">
            <w:col w:w="6600" w:space="720"/>
            <w:col w:w="4060"/>
          </w:cols>
          <w:pgMar w:left="240" w:top="233" w:right="279" w:bottom="1440" w:gutter="0" w:footer="0" w:header="0"/>
          <w:type w:val="continuous"/>
        </w:sectPr>
      </w:pPr>
    </w:p>
    <w:p>
      <w:pPr>
        <w:ind w:left="740"/>
        <w:spacing w:after="0"/>
        <w:tabs>
          <w:tab w:leader="none" w:pos="2420" w:val="left"/>
          <w:tab w:leader="none" w:pos="3240" w:val="left"/>
        </w:tabs>
        <w:rPr>
          <w:sz w:val="20"/>
          <w:szCs w:val="20"/>
          <w:color w:val="auto"/>
        </w:rPr>
      </w:pPr>
      <w:r>
        <w:rPr>
          <w:rFonts w:ascii="Arial" w:cs="Arial" w:eastAsia="Arial" w:hAnsi="Arial"/>
          <w:sz w:val="14"/>
          <w:szCs w:val="14"/>
          <w:b w:val="1"/>
          <w:bCs w:val="1"/>
          <w:color w:val="auto"/>
        </w:rPr>
        <w:t>401 Wilshire Boulevard,</w:t>
        <w:tab/>
        <w:t>Suite 700,</w:t>
      </w:r>
      <w:r>
        <w:rPr>
          <w:sz w:val="20"/>
          <w:szCs w:val="20"/>
          <w:color w:val="auto"/>
        </w:rPr>
        <w:tab/>
      </w:r>
      <w:r>
        <w:rPr>
          <w:rFonts w:ascii="Arial" w:cs="Arial" w:eastAsia="Arial" w:hAnsi="Arial"/>
          <w:sz w:val="13"/>
          <w:szCs w:val="13"/>
          <w:b w:val="1"/>
          <w:bCs w:val="1"/>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California</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2"/>
          <w:szCs w:val="12"/>
          <w:b w:val="1"/>
          <w:bCs w:val="1"/>
          <w:color w:val="auto"/>
        </w:rPr>
        <w:t>90401</w:t>
      </w:r>
    </w:p>
    <w:p>
      <w:pPr>
        <w:spacing w:after="0" w:line="69" w:lineRule="exact"/>
        <w:rPr>
          <w:sz w:val="24"/>
          <w:szCs w:val="24"/>
          <w:color w:val="auto"/>
        </w:rPr>
      </w:pPr>
    </w:p>
    <w:p>
      <w:pPr>
        <w:sectPr>
          <w:pgSz w:w="11900" w:h="16838" w:orient="portrait"/>
          <w:cols w:equalWidth="0" w:num="3">
            <w:col w:w="4140" w:space="660"/>
            <w:col w:w="2800" w:space="720"/>
            <w:col w:w="3060"/>
          </w:cols>
          <w:pgMar w:left="240" w:top="233" w:right="279" w:bottom="1440" w:gutter="0" w:footer="0" w:header="0"/>
          <w:type w:val="continuous"/>
        </w:sectPr>
      </w:pPr>
    </w:p>
    <w:p>
      <w:pPr>
        <w:ind w:left="1140"/>
        <w:spacing w:after="0"/>
        <w:rPr>
          <w:sz w:val="20"/>
          <w:szCs w:val="20"/>
          <w:color w:val="auto"/>
        </w:rPr>
      </w:pPr>
      <w:r>
        <w:rPr>
          <w:rFonts w:ascii="Arial" w:cs="Arial" w:eastAsia="Arial" w:hAnsi="Arial"/>
          <w:sz w:val="13"/>
          <w:szCs w:val="13"/>
          <w:color w:val="auto"/>
        </w:rPr>
        <w:t>(Address of principal executive office,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53"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jc w:val="center"/>
        <w:ind w:right="-259"/>
        <w:spacing w:after="0"/>
        <w:rPr>
          <w:sz w:val="20"/>
          <w:szCs w:val="20"/>
          <w:color w:val="auto"/>
        </w:rPr>
      </w:pPr>
      <w:r>
        <w:rPr>
          <w:rFonts w:ascii="Arial" w:cs="Arial" w:eastAsia="Arial" w:hAnsi="Arial"/>
          <w:sz w:val="18"/>
          <w:szCs w:val="18"/>
          <w:b w:val="1"/>
          <w:bCs w:val="1"/>
          <w:color w:val="auto"/>
        </w:rPr>
        <w:t>(310) 394-6000</w:t>
      </w:r>
    </w:p>
    <w:p>
      <w:pPr>
        <w:spacing w:after="0" w:line="63"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(Registrant's telephone number, including area code)</w:t>
      </w:r>
    </w:p>
    <w:p>
      <w:pPr>
        <w:spacing w:after="0" w:line="16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Securities registered pursuant to Section 12(b) of the Securities Act:</w:t>
      </w:r>
    </w:p>
    <w:p>
      <w:pPr>
        <w:spacing w:after="0" w:line="190" w:lineRule="exact"/>
        <w:rPr>
          <w:sz w:val="24"/>
          <w:szCs w:val="24"/>
          <w:color w:val="auto"/>
        </w:rPr>
      </w:pPr>
    </w:p>
    <w:tbl>
      <w:tblPr>
        <w:tblLayout w:type="fixed"/>
        <w:tblInd w:w="420" w:type="dxa"/>
        <w:tblCellMar>
          <w:top w:w="0" w:type="dxa"/>
          <w:left w:w="0" w:type="dxa"/>
          <w:bottom w:w="0" w:type="dxa"/>
          <w:right w:w="0" w:type="dxa"/>
        </w:tblCellMar>
      </w:tblPr>
      <w:tr>
        <w:trPr>
          <w:trHeight w:val="192"/>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80" w:type="dxa"/>
            <w:vAlign w:val="bottom"/>
          </w:tcPr>
          <w:p>
            <w:pPr>
              <w:spacing w:after="0"/>
              <w:rPr>
                <w:sz w:val="16"/>
                <w:szCs w:val="16"/>
                <w:color w:val="auto"/>
              </w:rPr>
            </w:pPr>
          </w:p>
        </w:tc>
        <w:tc>
          <w:tcPr>
            <w:tcW w:w="4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0"/>
        </w:trPr>
        <w:tc>
          <w:tcPr>
            <w:tcW w:w="39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Common Stock, $0.01 Par Value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rPr>
              <w:t>MAC</w:t>
            </w:r>
          </w:p>
        </w:tc>
        <w:tc>
          <w:tcPr>
            <w:tcW w:w="1600" w:type="dxa"/>
            <w:vAlign w:val="bottom"/>
          </w:tcPr>
          <w:p>
            <w:pPr>
              <w:spacing w:after="0"/>
              <w:rPr>
                <w:sz w:val="16"/>
                <w:szCs w:val="16"/>
                <w:color w:val="auto"/>
              </w:rPr>
            </w:pPr>
          </w:p>
        </w:tc>
        <w:tc>
          <w:tcPr>
            <w:tcW w:w="3300" w:type="dxa"/>
            <w:vAlign w:val="bottom"/>
          </w:tcPr>
          <w:p>
            <w:pPr>
              <w:jc w:val="center"/>
              <w:ind w:right="1528"/>
              <w:spacing w:after="0"/>
              <w:rPr>
                <w:sz w:val="20"/>
                <w:szCs w:val="20"/>
                <w:color w:val="auto"/>
              </w:rPr>
            </w:pPr>
            <w:r>
              <w:rPr>
                <w:rFonts w:ascii="Arial" w:cs="Arial" w:eastAsia="Arial" w:hAnsi="Arial"/>
                <w:sz w:val="14"/>
                <w:szCs w:val="14"/>
                <w:color w:val="auto"/>
                <w:w w:val="92"/>
              </w:rPr>
              <w:t>New York Stock Exchange</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4"/>
                <w:szCs w:val="14"/>
                <w:color w:val="auto"/>
                <w:w w:val="97"/>
              </w:rPr>
              <w:t xml:space="preserve">Securities registered pursuant to Section 12(g) of the Act: </w:t>
            </w:r>
            <w:r>
              <w:rPr>
                <w:rFonts w:ascii="Arial" w:cs="Arial" w:eastAsia="Arial" w:hAnsi="Arial"/>
                <w:sz w:val="14"/>
                <w:szCs w:val="14"/>
                <w:b w:val="1"/>
                <w:bCs w:val="1"/>
                <w:color w:val="auto"/>
                <w:w w:val="97"/>
              </w:rPr>
              <w:t>None</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40"/>
        </w:trPr>
        <w:tc>
          <w:tcPr>
            <w:tcW w:w="7300" w:type="dxa"/>
            <w:vAlign w:val="bottom"/>
            <w:gridSpan w:val="5"/>
          </w:tcPr>
          <w:p>
            <w:pPr>
              <w:ind w:left="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3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11"/>
        </w:trPr>
        <w:tc>
          <w:tcPr>
            <w:tcW w:w="7300" w:type="dxa"/>
            <w:vAlign w:val="bottom"/>
            <w:gridSpan w:val="5"/>
          </w:tcPr>
          <w:p>
            <w:pPr>
              <w:ind w:left="4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3"/>
              </w:rPr>
              <w:t>☐</w:t>
            </w:r>
          </w:p>
        </w:tc>
        <w:tc>
          <w:tcPr>
            <w:tcW w:w="33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12" w:lineRule="exact"/>
        <w:rPr>
          <w:sz w:val="24"/>
          <w:szCs w:val="24"/>
          <w:color w:val="auto"/>
        </w:rPr>
      </w:pPr>
    </w:p>
    <w:p>
      <w:pPr>
        <w:ind w:right="100" w:firstLine="446"/>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260" w:firstLine="446"/>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160" w:firstLine="446"/>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60" w:lineRule="exact"/>
        <w:rPr>
          <w:sz w:val="24"/>
          <w:szCs w:val="24"/>
          <w:color w:val="auto"/>
        </w:rPr>
      </w:pPr>
    </w:p>
    <w:p>
      <w:pPr>
        <w:ind w:left="5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8">
            <w:col w:w="1800" w:space="600"/>
            <w:col w:w="120" w:space="580"/>
            <w:col w:w="1000" w:space="540"/>
            <w:col w:w="120" w:space="660"/>
            <w:col w:w="1300" w:space="660"/>
            <w:col w:w="760" w:space="720"/>
            <w:col w:w="1660" w:space="160"/>
            <w:col w:w="700"/>
          </w:cols>
          <w:pgMar w:left="240" w:top="233" w:right="279" w:bottom="1440" w:gutter="0" w:footer="0" w:header="0"/>
          <w:type w:val="continuous"/>
        </w:sectPr>
      </w:pPr>
    </w:p>
    <w:p>
      <w:pPr>
        <w:spacing w:after="0" w:line="14" w:lineRule="exact"/>
        <w:rPr>
          <w:sz w:val="24"/>
          <w:szCs w:val="24"/>
          <w:color w:val="auto"/>
        </w:rPr>
      </w:pPr>
    </w:p>
    <w:p>
      <w:pPr>
        <w:ind w:left="88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2">
            <w:col w:w="10520" w:space="160"/>
            <w:col w:w="700"/>
          </w:cols>
          <w:pgMar w:left="240" w:top="233" w:right="279" w:bottom="1440" w:gutter="0" w:footer="0" w:header="0"/>
          <w:type w:val="continuous"/>
        </w:sectPr>
      </w:pPr>
    </w:p>
    <w:p>
      <w:pPr>
        <w:ind w:right="260" w:firstLine="446"/>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60"/>
        <w:spacing w:after="0" w:line="150" w:lineRule="exact"/>
        <w:tabs>
          <w:tab w:leader="none" w:pos="75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88" w:lineRule="exact"/>
        <w:rPr>
          <w:sz w:val="24"/>
          <w:szCs w:val="24"/>
          <w:color w:val="auto"/>
        </w:rPr>
      </w:pPr>
    </w:p>
    <w:p>
      <w:pPr>
        <w:ind w:firstLine="446"/>
        <w:spacing w:after="0" w:line="273" w:lineRule="auto"/>
        <w:rPr>
          <w:sz w:val="20"/>
          <w:szCs w:val="20"/>
          <w:color w:val="auto"/>
        </w:rPr>
      </w:pPr>
      <w:r>
        <w:rPr>
          <w:rFonts w:ascii="Arial" w:cs="Arial" w:eastAsia="Arial" w:hAnsi="Arial"/>
          <w:sz w:val="14"/>
          <w:szCs w:val="14"/>
          <w:color w:val="auto"/>
        </w:rPr>
        <w:t>The aggregate market value of voting and non-voting common equity held by non-affiliates of the registrant was approximately $4.7 billion as of the last business day of the registrant's most recently completed second fiscal quarter based upon the price at which the common stock was last sold on that day.</w:t>
      </w:r>
    </w:p>
    <w:p>
      <w:pPr>
        <w:spacing w:after="0" w:line="93" w:lineRule="exact"/>
        <w:rPr>
          <w:sz w:val="24"/>
          <w:szCs w:val="24"/>
          <w:color w:val="auto"/>
        </w:rPr>
      </w:pPr>
    </w:p>
    <w:p>
      <w:pPr>
        <w:ind w:left="460"/>
        <w:spacing w:after="0"/>
        <w:rPr>
          <w:sz w:val="20"/>
          <w:szCs w:val="20"/>
          <w:color w:val="auto"/>
        </w:rPr>
      </w:pPr>
      <w:r>
        <w:rPr>
          <w:rFonts w:ascii="Arial" w:cs="Arial" w:eastAsia="Arial" w:hAnsi="Arial"/>
          <w:sz w:val="14"/>
          <w:szCs w:val="14"/>
          <w:color w:val="auto"/>
        </w:rPr>
        <w:t>Number of shares outstanding of the registrant's common stock, as of February 21, 2020: 141,296,774 shares</w:t>
      </w:r>
    </w:p>
    <w:p>
      <w:pPr>
        <w:spacing w:after="0" w:line="146"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4" w:lineRule="exact"/>
        <w:rPr>
          <w:sz w:val="24"/>
          <w:szCs w:val="24"/>
          <w:color w:val="auto"/>
        </w:rPr>
      </w:pPr>
    </w:p>
    <w:p>
      <w:pPr>
        <w:ind w:left="460"/>
        <w:spacing w:after="0"/>
        <w:rPr>
          <w:sz w:val="20"/>
          <w:szCs w:val="20"/>
          <w:color w:val="auto"/>
        </w:rPr>
      </w:pPr>
      <w:r>
        <w:rPr>
          <w:rFonts w:ascii="Arial" w:cs="Arial" w:eastAsia="Arial" w:hAnsi="Arial"/>
          <w:sz w:val="14"/>
          <w:szCs w:val="14"/>
          <w:color w:val="auto"/>
        </w:rPr>
        <w:t>Portions of the proxy statement for the annual stockholders meeting to be held in 2020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294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gridSpan w:val="10"/>
          </w:tcPr>
          <w:p>
            <w:pPr>
              <w:jc w:val="center"/>
              <w:ind w:right="3540"/>
              <w:spacing w:after="0"/>
              <w:rPr>
                <w:sz w:val="20"/>
                <w:szCs w:val="20"/>
                <w:color w:val="auto"/>
              </w:rPr>
            </w:pPr>
            <w:r>
              <w:rPr>
                <w:rFonts w:ascii="Arial" w:cs="Arial" w:eastAsia="Arial" w:hAnsi="Arial"/>
                <w:sz w:val="18"/>
                <w:szCs w:val="18"/>
                <w:b w:val="1"/>
                <w:bCs w:val="1"/>
                <w:color w:val="auto"/>
              </w:rPr>
              <w:t>THE MACERICH COMPANY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11"/>
          </w:tcPr>
          <w:p>
            <w:pPr>
              <w:jc w:val="center"/>
              <w:ind w:right="2720"/>
              <w:spacing w:after="0"/>
              <w:rPr>
                <w:sz w:val="20"/>
                <w:szCs w:val="20"/>
                <w:color w:val="auto"/>
              </w:rPr>
            </w:pPr>
            <w:r>
              <w:rPr>
                <w:rFonts w:ascii="Arial" w:cs="Arial" w:eastAsia="Arial" w:hAnsi="Arial"/>
                <w:sz w:val="18"/>
                <w:szCs w:val="18"/>
                <w:b w:val="1"/>
                <w:bCs w:val="1"/>
                <w:color w:val="auto"/>
                <w:w w:val="99"/>
              </w:rPr>
              <w:t>ANNUAL REPORT ON FORM 10-K</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11"/>
          </w:tcPr>
          <w:p>
            <w:pPr>
              <w:jc w:val="center"/>
              <w:ind w:right="2700"/>
              <w:spacing w:after="0"/>
              <w:rPr>
                <w:sz w:val="20"/>
                <w:szCs w:val="20"/>
                <w:color w:val="auto"/>
              </w:rPr>
            </w:pPr>
            <w:r>
              <w:rPr>
                <w:rFonts w:ascii="Arial" w:cs="Arial" w:eastAsia="Arial" w:hAnsi="Arial"/>
                <w:sz w:val="18"/>
                <w:szCs w:val="18"/>
                <w:b w:val="1"/>
                <w:bCs w:val="1"/>
                <w:color w:val="auto"/>
                <w:w w:val="98"/>
              </w:rPr>
              <w:t>FOR THE YEAR ENDED DECEMBER 31, 2019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6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3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Page</w:t>
            </w:r>
          </w:p>
        </w:tc>
      </w:tr>
      <w:tr>
        <w:trPr>
          <w:trHeight w:val="176"/>
        </w:trPr>
        <w:tc>
          <w:tcPr>
            <w:tcW w:w="460" w:type="dxa"/>
            <w:vAlign w:val="bottom"/>
            <w:tcBorders>
              <w:bottom w:val="single" w:sz="8" w:color="0000FF"/>
            </w:tcBorders>
          </w:tcPr>
          <w:p>
            <w:pPr>
              <w:spacing w:after="0" w:line="176" w:lineRule="exact"/>
              <w:rPr>
                <w:rFonts w:ascii="Arial" w:cs="Arial" w:eastAsia="Arial" w:hAnsi="Arial"/>
                <w:sz w:val="18"/>
                <w:szCs w:val="18"/>
                <w:b w:val="1"/>
                <w:bCs w:val="1"/>
                <w:color w:val="0000FF"/>
                <w:w w:val="97"/>
              </w:rPr>
            </w:pPr>
            <w:hyperlink w:anchor="page2">
              <w:r>
                <w:rPr>
                  <w:rFonts w:ascii="Arial" w:cs="Arial" w:eastAsia="Arial" w:hAnsi="Arial"/>
                  <w:sz w:val="18"/>
                  <w:szCs w:val="18"/>
                  <w:b w:val="1"/>
                  <w:bCs w:val="1"/>
                  <w:color w:val="0000FF"/>
                  <w:w w:val="97"/>
                </w:rPr>
                <w:t>Part I</w:t>
              </w:r>
            </w:hyperlink>
          </w:p>
        </w:tc>
        <w:tc>
          <w:tcPr>
            <w:tcW w:w="96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2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5"/>
          </w:tcPr>
          <w:p>
            <w:pPr>
              <w:spacing w:after="0"/>
              <w:rPr>
                <w:rFonts w:ascii="Arial" w:cs="Arial" w:eastAsia="Arial" w:hAnsi="Arial"/>
                <w:sz w:val="18"/>
                <w:szCs w:val="18"/>
                <w:color w:val="0000FF"/>
                <w:w w:val="95"/>
              </w:rPr>
            </w:pPr>
            <w:hyperlink w:anchor="page16">
              <w:r>
                <w:rPr>
                  <w:rFonts w:ascii="Arial" w:cs="Arial" w:eastAsia="Arial" w:hAnsi="Arial"/>
                  <w:sz w:val="18"/>
                  <w:szCs w:val="18"/>
                  <w:color w:val="0000FF"/>
                  <w:w w:val="95"/>
                </w:rPr>
                <w:t>Item 1A.</w:t>
              </w:r>
            </w:hyperlink>
          </w:p>
        </w:tc>
        <w:tc>
          <w:tcPr>
            <w:tcW w:w="760" w:type="dxa"/>
            <w:vAlign w:val="bottom"/>
            <w:gridSpan w:val="2"/>
          </w:tcPr>
          <w:p>
            <w:pPr>
              <w:spacing w:after="0"/>
              <w:rPr>
                <w:sz w:val="18"/>
                <w:szCs w:val="18"/>
                <w:color w:val="auto"/>
              </w:rPr>
            </w:pPr>
          </w:p>
        </w:tc>
        <w:tc>
          <w:tcPr>
            <w:tcW w:w="9180" w:type="dxa"/>
            <w:vAlign w:val="bottom"/>
            <w:gridSpan w:val="1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0"/>
        </w:trPr>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gridSpan w:val="4"/>
          </w:tcPr>
          <w:p>
            <w:pPr>
              <w:spacing w:after="0"/>
              <w:rPr>
                <w:rFonts w:ascii="Arial" w:cs="Arial" w:eastAsia="Arial" w:hAnsi="Arial"/>
                <w:sz w:val="18"/>
                <w:szCs w:val="18"/>
                <w:color w:val="0000FF"/>
                <w:w w:val="80"/>
              </w:rPr>
            </w:pPr>
            <w:hyperlink w:anchor="page27">
              <w:r>
                <w:rPr>
                  <w:rFonts w:ascii="Arial" w:cs="Arial" w:eastAsia="Arial" w:hAnsi="Arial"/>
                  <w:sz w:val="18"/>
                  <w:szCs w:val="18"/>
                  <w:color w:val="0000FF"/>
                  <w:w w:val="80"/>
                </w:rPr>
                <w:t>Item 1B.</w:t>
              </w:r>
            </w:hyperlink>
          </w:p>
        </w:tc>
        <w:tc>
          <w:tcPr>
            <w:tcW w:w="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180" w:type="dxa"/>
            <w:vAlign w:val="bottom"/>
            <w:gridSpan w:val="19"/>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Unresolved Staff Comments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gridSpan w:val="4"/>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2.</w:t>
              </w:r>
            </w:hyperlink>
          </w:p>
        </w:tc>
        <w:tc>
          <w:tcPr>
            <w:tcW w:w="840" w:type="dxa"/>
            <w:vAlign w:val="bottom"/>
            <w:gridSpan w:val="3"/>
          </w:tcPr>
          <w:p>
            <w:pPr>
              <w:spacing w:after="0"/>
              <w:rPr>
                <w:sz w:val="18"/>
                <w:szCs w:val="18"/>
                <w:color w:val="auto"/>
              </w:rPr>
            </w:pPr>
          </w:p>
        </w:tc>
        <w:tc>
          <w:tcPr>
            <w:tcW w:w="2040" w:type="dxa"/>
            <w:vAlign w:val="bottom"/>
            <w:gridSpan w:val="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Properties</w:t>
              </w:r>
            </w:hyperlink>
          </w:p>
        </w:tc>
        <w:tc>
          <w:tcPr>
            <w:tcW w:w="7140" w:type="dxa"/>
            <w:vAlign w:val="bottom"/>
            <w:gridSpan w:val="11"/>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28</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gridSpan w:val="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918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gridSpan w:val="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918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420" w:type="dxa"/>
            <w:vAlign w:val="bottom"/>
            <w:gridSpan w:val="7"/>
          </w:tcPr>
          <w:p>
            <w:pPr>
              <w:spacing w:after="0" w:line="189" w:lineRule="exact"/>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520" w:type="dxa"/>
            <w:vAlign w:val="bottom"/>
            <w:tcBorders>
              <w:top w:val="single" w:sz="8" w:color="0000FF"/>
            </w:tcBorders>
            <w:gridSpan w:val="3"/>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5.</w:t>
              </w:r>
            </w:hyperlink>
          </w:p>
        </w:tc>
        <w:tc>
          <w:tcPr>
            <w:tcW w:w="900" w:type="dxa"/>
            <w:vAlign w:val="bottom"/>
            <w:gridSpan w:val="4"/>
          </w:tcPr>
          <w:p>
            <w:pPr>
              <w:spacing w:after="0"/>
              <w:rPr>
                <w:sz w:val="21"/>
                <w:szCs w:val="21"/>
                <w:color w:val="auto"/>
              </w:rPr>
            </w:pPr>
          </w:p>
        </w:tc>
        <w:tc>
          <w:tcPr>
            <w:tcW w:w="918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Market for Registrant's Common Equity, Related Stockholder Matters and Issuer Purchases of Equity Securities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6.</w:t>
              </w:r>
            </w:hyperlink>
          </w:p>
        </w:tc>
        <w:tc>
          <w:tcPr>
            <w:tcW w:w="918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Selected Financial Data</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7.</w:t>
              </w:r>
            </w:hyperlink>
          </w:p>
        </w:tc>
        <w:tc>
          <w:tcPr>
            <w:tcW w:w="9180" w:type="dxa"/>
            <w:vAlign w:val="bottom"/>
            <w:gridSpan w:val="1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Management's Discussion and Analysis of Financial Condition and Results of Operations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20" w:type="dxa"/>
            <w:vAlign w:val="bottom"/>
            <w:tcBorders>
              <w:bottom w:val="single" w:sz="8" w:color="0000FF"/>
            </w:tcBorders>
            <w:gridSpan w:val="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7A.</w:t>
              </w:r>
            </w:hyperlink>
          </w:p>
        </w:tc>
        <w:tc>
          <w:tcPr>
            <w:tcW w:w="600" w:type="dxa"/>
            <w:vAlign w:val="bottom"/>
          </w:tcPr>
          <w:p>
            <w:pPr>
              <w:spacing w:after="0"/>
              <w:rPr>
                <w:sz w:val="18"/>
                <w:szCs w:val="18"/>
                <w:color w:val="auto"/>
              </w:rPr>
            </w:pPr>
          </w:p>
        </w:tc>
        <w:tc>
          <w:tcPr>
            <w:tcW w:w="438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Quantitative and Qualitative Disclosures About Market Risk</w:t>
              </w:r>
            </w:hyperlink>
          </w:p>
        </w:tc>
        <w:tc>
          <w:tcPr>
            <w:tcW w:w="4800" w:type="dxa"/>
            <w:vAlign w:val="bottom"/>
            <w:gridSpan w:val="6"/>
          </w:tcPr>
          <w:p>
            <w:pPr>
              <w:spacing w:after="0"/>
              <w:rPr>
                <w:sz w:val="18"/>
                <w:szCs w:val="18"/>
                <w:color w:val="auto"/>
              </w:rPr>
            </w:pPr>
          </w:p>
        </w:tc>
        <w:tc>
          <w:tcPr>
            <w:tcW w:w="760" w:type="dxa"/>
            <w:vAlign w:val="bottom"/>
            <w:gridSpan w:val="5"/>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10"/>
        </w:trPr>
        <w:tc>
          <w:tcPr>
            <w:tcW w:w="1420" w:type="dxa"/>
            <w:vAlign w:val="bottom"/>
            <w:gridSpan w:val="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8.</w:t>
              </w:r>
            </w:hyperlink>
          </w:p>
        </w:tc>
        <w:tc>
          <w:tcPr>
            <w:tcW w:w="9180" w:type="dxa"/>
            <w:vAlign w:val="bottom"/>
            <w:gridSpan w:val="19"/>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Financial Statements and Supplementary Data</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gridSpan w:val="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9.</w:t>
              </w:r>
            </w:hyperlink>
          </w:p>
        </w:tc>
        <w:tc>
          <w:tcPr>
            <w:tcW w:w="9180" w:type="dxa"/>
            <w:vAlign w:val="bottom"/>
            <w:gridSpan w:val="19"/>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Changes in and Disagreements with Accountants on Accounting and Financial Disclosure</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5"/>
          </w:tcPr>
          <w:p>
            <w:pPr>
              <w:spacing w:after="0"/>
              <w:rPr>
                <w:rFonts w:ascii="Arial" w:cs="Arial" w:eastAsia="Arial" w:hAnsi="Arial"/>
                <w:sz w:val="18"/>
                <w:szCs w:val="18"/>
                <w:color w:val="0000FF"/>
                <w:w w:val="95"/>
              </w:rPr>
            </w:pPr>
            <w:hyperlink w:anchor="page57">
              <w:r>
                <w:rPr>
                  <w:rFonts w:ascii="Arial" w:cs="Arial" w:eastAsia="Arial" w:hAnsi="Arial"/>
                  <w:sz w:val="18"/>
                  <w:szCs w:val="18"/>
                  <w:color w:val="0000FF"/>
                  <w:w w:val="95"/>
                </w:rPr>
                <w:t>Item 9A.</w:t>
              </w:r>
            </w:hyperlink>
          </w:p>
        </w:tc>
        <w:tc>
          <w:tcPr>
            <w:tcW w:w="760" w:type="dxa"/>
            <w:vAlign w:val="bottom"/>
            <w:gridSpan w:val="2"/>
          </w:tcPr>
          <w:p>
            <w:pPr>
              <w:spacing w:after="0"/>
              <w:rPr>
                <w:sz w:val="18"/>
                <w:szCs w:val="18"/>
                <w:color w:val="auto"/>
              </w:rPr>
            </w:pPr>
          </w:p>
        </w:tc>
        <w:tc>
          <w:tcPr>
            <w:tcW w:w="9180" w:type="dxa"/>
            <w:vAlign w:val="bottom"/>
            <w:gridSpan w:val="19"/>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Controls and Procedures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gridSpan w:val="4"/>
          </w:tcPr>
          <w:p>
            <w:pPr>
              <w:spacing w:after="0"/>
              <w:rPr>
                <w:rFonts w:ascii="Arial" w:cs="Arial" w:eastAsia="Arial" w:hAnsi="Arial"/>
                <w:sz w:val="18"/>
                <w:szCs w:val="18"/>
                <w:color w:val="0000FF"/>
                <w:w w:val="80"/>
              </w:rPr>
            </w:pPr>
            <w:hyperlink w:anchor="page59">
              <w:r>
                <w:rPr>
                  <w:rFonts w:ascii="Arial" w:cs="Arial" w:eastAsia="Arial" w:hAnsi="Arial"/>
                  <w:sz w:val="18"/>
                  <w:szCs w:val="18"/>
                  <w:color w:val="0000FF"/>
                  <w:w w:val="80"/>
                </w:rPr>
                <w:t>Item 9B.</w:t>
              </w:r>
            </w:hyperlink>
          </w:p>
        </w:tc>
        <w:tc>
          <w:tcPr>
            <w:tcW w:w="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340" w:type="dxa"/>
            <w:vAlign w:val="bottom"/>
            <w:gridSpan w:val="4"/>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Other Information</w:t>
              </w:r>
            </w:hyperlink>
          </w:p>
        </w:tc>
        <w:tc>
          <w:tcPr>
            <w:tcW w:w="360" w:type="dxa"/>
            <w:vAlign w:val="bottom"/>
            <w:gridSpan w:val="2"/>
          </w:tcPr>
          <w:p>
            <w:pPr>
              <w:spacing w:after="0"/>
              <w:rPr>
                <w:sz w:val="18"/>
                <w:szCs w:val="18"/>
                <w:color w:val="auto"/>
              </w:rPr>
            </w:pPr>
          </w:p>
        </w:tc>
        <w:tc>
          <w:tcPr>
            <w:tcW w:w="7480" w:type="dxa"/>
            <w:vAlign w:val="bottom"/>
            <w:gridSpan w:val="13"/>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r>
      <w:tr>
        <w:trPr>
          <w:trHeight w:val="210"/>
        </w:trPr>
        <w:tc>
          <w:tcPr>
            <w:tcW w:w="58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8"/>
              </w:rPr>
            </w:pPr>
            <w:hyperlink w:anchor="page60">
              <w:r>
                <w:rPr>
                  <w:rFonts w:ascii="Arial" w:cs="Arial" w:eastAsia="Arial" w:hAnsi="Arial"/>
                  <w:sz w:val="18"/>
                  <w:szCs w:val="18"/>
                  <w:b w:val="1"/>
                  <w:bCs w:val="1"/>
                  <w:color w:val="0000FF"/>
                  <w:w w:val="98"/>
                </w:rPr>
                <w:t>Part III</w:t>
              </w:r>
            </w:hyperlink>
          </w:p>
        </w:tc>
        <w:tc>
          <w:tcPr>
            <w:tcW w:w="84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580" w:type="dxa"/>
            <w:vAlign w:val="bottom"/>
            <w:gridSpan w:val="4"/>
          </w:tcPr>
          <w:p>
            <w:pPr>
              <w:spacing w:after="0"/>
              <w:rPr>
                <w:rFonts w:ascii="Arial" w:cs="Arial" w:eastAsia="Arial" w:hAnsi="Arial"/>
                <w:sz w:val="18"/>
                <w:szCs w:val="18"/>
                <w:color w:val="0000FF"/>
                <w:w w:val="82"/>
              </w:rPr>
            </w:pPr>
            <w:hyperlink w:anchor="page60">
              <w:r>
                <w:rPr>
                  <w:rFonts w:ascii="Arial" w:cs="Arial" w:eastAsia="Arial" w:hAnsi="Arial"/>
                  <w:sz w:val="18"/>
                  <w:szCs w:val="18"/>
                  <w:color w:val="0000FF"/>
                  <w:w w:val="82"/>
                </w:rPr>
                <w:t>Item 10.</w:t>
              </w:r>
            </w:hyperlink>
          </w:p>
        </w:tc>
        <w:tc>
          <w:tcPr>
            <w:tcW w:w="840" w:type="dxa"/>
            <w:vAlign w:val="bottom"/>
            <w:gridSpan w:val="3"/>
          </w:tcPr>
          <w:p>
            <w:pPr>
              <w:spacing w:after="0"/>
              <w:rPr>
                <w:sz w:val="21"/>
                <w:szCs w:val="21"/>
                <w:color w:val="auto"/>
              </w:rPr>
            </w:pPr>
          </w:p>
        </w:tc>
        <w:tc>
          <w:tcPr>
            <w:tcW w:w="4360" w:type="dxa"/>
            <w:vAlign w:val="bottom"/>
            <w:gridSpan w:val="12"/>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Directors and Executive Officers and Corporate Governance</w:t>
              </w:r>
            </w:hyperlink>
          </w:p>
        </w:tc>
        <w:tc>
          <w:tcPr>
            <w:tcW w:w="4820" w:type="dxa"/>
            <w:vAlign w:val="bottom"/>
            <w:gridSpan w:val="7"/>
          </w:tcPr>
          <w:p>
            <w:pPr>
              <w:spacing w:after="0"/>
              <w:rPr>
                <w:sz w:val="21"/>
                <w:szCs w:val="21"/>
                <w:color w:val="auto"/>
              </w:rPr>
            </w:pPr>
          </w:p>
        </w:tc>
        <w:tc>
          <w:tcPr>
            <w:tcW w:w="560" w:type="dxa"/>
            <w:vAlign w:val="bottom"/>
            <w:gridSpan w:val="2"/>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gridSpan w:val="4"/>
          </w:tcPr>
          <w:p>
            <w:pPr>
              <w:spacing w:after="0"/>
              <w:rPr>
                <w:rFonts w:ascii="Arial" w:cs="Arial" w:eastAsia="Arial" w:hAnsi="Arial"/>
                <w:sz w:val="18"/>
                <w:szCs w:val="18"/>
                <w:color w:val="0000FF"/>
                <w:w w:val="82"/>
              </w:rPr>
            </w:pPr>
            <w:hyperlink w:anchor="page60">
              <w:r>
                <w:rPr>
                  <w:rFonts w:ascii="Arial" w:cs="Arial" w:eastAsia="Arial" w:hAnsi="Arial"/>
                  <w:sz w:val="18"/>
                  <w:szCs w:val="18"/>
                  <w:color w:val="0000FF"/>
                  <w:w w:val="82"/>
                </w:rPr>
                <w:t>Item 11.</w:t>
              </w:r>
            </w:hyperlink>
          </w:p>
        </w:tc>
        <w:tc>
          <w:tcPr>
            <w:tcW w:w="840" w:type="dxa"/>
            <w:vAlign w:val="bottom"/>
            <w:gridSpan w:val="3"/>
          </w:tcPr>
          <w:p>
            <w:pPr>
              <w:spacing w:after="0"/>
              <w:rPr>
                <w:sz w:val="18"/>
                <w:szCs w:val="18"/>
                <w:color w:val="auto"/>
              </w:rPr>
            </w:pPr>
          </w:p>
        </w:tc>
        <w:tc>
          <w:tcPr>
            <w:tcW w:w="4360" w:type="dxa"/>
            <w:vAlign w:val="bottom"/>
            <w:gridSpan w:val="1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Executive Compensation</w:t>
              </w:r>
            </w:hyperlink>
          </w:p>
        </w:tc>
        <w:tc>
          <w:tcPr>
            <w:tcW w:w="4820" w:type="dxa"/>
            <w:vAlign w:val="bottom"/>
            <w:gridSpan w:val="7"/>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gridSpan w:val="4"/>
          </w:tcPr>
          <w:p>
            <w:pPr>
              <w:spacing w:after="0"/>
              <w:rPr>
                <w:rFonts w:ascii="Arial" w:cs="Arial" w:eastAsia="Arial" w:hAnsi="Arial"/>
                <w:sz w:val="18"/>
                <w:szCs w:val="18"/>
                <w:color w:val="0000FF"/>
                <w:w w:val="82"/>
              </w:rPr>
            </w:pPr>
            <w:hyperlink w:anchor="page60">
              <w:r>
                <w:rPr>
                  <w:rFonts w:ascii="Arial" w:cs="Arial" w:eastAsia="Arial" w:hAnsi="Arial"/>
                  <w:sz w:val="18"/>
                  <w:szCs w:val="18"/>
                  <w:color w:val="0000FF"/>
                  <w:w w:val="82"/>
                </w:rPr>
                <w:t>Item 12.</w:t>
              </w:r>
            </w:hyperlink>
          </w:p>
        </w:tc>
        <w:tc>
          <w:tcPr>
            <w:tcW w:w="840" w:type="dxa"/>
            <w:vAlign w:val="bottom"/>
            <w:gridSpan w:val="3"/>
          </w:tcPr>
          <w:p>
            <w:pPr>
              <w:spacing w:after="0"/>
              <w:rPr>
                <w:sz w:val="18"/>
                <w:szCs w:val="18"/>
                <w:color w:val="auto"/>
              </w:rPr>
            </w:pPr>
          </w:p>
        </w:tc>
        <w:tc>
          <w:tcPr>
            <w:tcW w:w="7300" w:type="dxa"/>
            <w:vAlign w:val="bottom"/>
            <w:gridSpan w:val="17"/>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Security Ownership of Certain Beneficial Owners and Management and Related Stockholder Matters</w:t>
              </w:r>
            </w:hyperlink>
          </w:p>
        </w:tc>
        <w:tc>
          <w:tcPr>
            <w:tcW w:w="188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gridSpan w:val="4"/>
          </w:tcPr>
          <w:p>
            <w:pPr>
              <w:spacing w:after="0"/>
              <w:rPr>
                <w:rFonts w:ascii="Arial" w:cs="Arial" w:eastAsia="Arial" w:hAnsi="Arial"/>
                <w:sz w:val="18"/>
                <w:szCs w:val="18"/>
                <w:color w:val="0000FF"/>
                <w:w w:val="82"/>
              </w:rPr>
            </w:pPr>
            <w:hyperlink w:anchor="page60">
              <w:r>
                <w:rPr>
                  <w:rFonts w:ascii="Arial" w:cs="Arial" w:eastAsia="Arial" w:hAnsi="Arial"/>
                  <w:sz w:val="18"/>
                  <w:szCs w:val="18"/>
                  <w:color w:val="0000FF"/>
                  <w:w w:val="82"/>
                </w:rPr>
                <w:t>Item 13.</w:t>
              </w:r>
            </w:hyperlink>
          </w:p>
        </w:tc>
        <w:tc>
          <w:tcPr>
            <w:tcW w:w="840" w:type="dxa"/>
            <w:vAlign w:val="bottom"/>
            <w:gridSpan w:val="3"/>
          </w:tcPr>
          <w:p>
            <w:pPr>
              <w:spacing w:after="0"/>
              <w:rPr>
                <w:sz w:val="18"/>
                <w:szCs w:val="18"/>
                <w:color w:val="auto"/>
              </w:rPr>
            </w:pPr>
          </w:p>
        </w:tc>
        <w:tc>
          <w:tcPr>
            <w:tcW w:w="7300" w:type="dxa"/>
            <w:vAlign w:val="bottom"/>
            <w:gridSpan w:val="1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Certain Relationships and Related Transactions, and Director Independence</w:t>
              </w:r>
            </w:hyperlink>
          </w:p>
        </w:tc>
        <w:tc>
          <w:tcPr>
            <w:tcW w:w="188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gridSpan w:val="4"/>
          </w:tcPr>
          <w:p>
            <w:pPr>
              <w:spacing w:after="0"/>
              <w:rPr>
                <w:rFonts w:ascii="Arial" w:cs="Arial" w:eastAsia="Arial" w:hAnsi="Arial"/>
                <w:sz w:val="18"/>
                <w:szCs w:val="18"/>
                <w:color w:val="0000FF"/>
                <w:w w:val="82"/>
              </w:rPr>
            </w:pPr>
            <w:hyperlink w:anchor="page60">
              <w:r>
                <w:rPr>
                  <w:rFonts w:ascii="Arial" w:cs="Arial" w:eastAsia="Arial" w:hAnsi="Arial"/>
                  <w:sz w:val="18"/>
                  <w:szCs w:val="18"/>
                  <w:color w:val="0000FF"/>
                  <w:w w:val="82"/>
                </w:rPr>
                <w:t>Item 14.</w:t>
              </w:r>
            </w:hyperlink>
          </w:p>
        </w:tc>
        <w:tc>
          <w:tcPr>
            <w:tcW w:w="840" w:type="dxa"/>
            <w:vAlign w:val="bottom"/>
            <w:gridSpan w:val="3"/>
          </w:tcPr>
          <w:p>
            <w:pPr>
              <w:spacing w:after="0"/>
              <w:rPr>
                <w:sz w:val="19"/>
                <w:szCs w:val="19"/>
                <w:color w:val="auto"/>
              </w:rPr>
            </w:pPr>
          </w:p>
        </w:tc>
        <w:tc>
          <w:tcPr>
            <w:tcW w:w="2860" w:type="dxa"/>
            <w:vAlign w:val="bottom"/>
            <w:gridSpan w:val="9"/>
          </w:tcPr>
          <w:p>
            <w:pPr>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Principal Accountant Fees and Services</w:t>
              </w:r>
            </w:hyperlink>
          </w:p>
        </w:tc>
        <w:tc>
          <w:tcPr>
            <w:tcW w:w="2580" w:type="dxa"/>
            <w:vAlign w:val="bottom"/>
            <w:gridSpan w:val="5"/>
          </w:tcPr>
          <w:p>
            <w:pPr>
              <w:spacing w:after="0"/>
              <w:rPr>
                <w:sz w:val="19"/>
                <w:szCs w:val="19"/>
                <w:color w:val="auto"/>
              </w:rPr>
            </w:pPr>
          </w:p>
        </w:tc>
        <w:tc>
          <w:tcPr>
            <w:tcW w:w="3740" w:type="dxa"/>
            <w:vAlign w:val="bottom"/>
            <w:gridSpan w:val="5"/>
          </w:tcPr>
          <w:p>
            <w:pPr>
              <w:spacing w:after="0"/>
              <w:rPr>
                <w:sz w:val="19"/>
                <w:szCs w:val="19"/>
                <w:color w:val="auto"/>
              </w:rPr>
            </w:pPr>
          </w:p>
        </w:tc>
        <w:tc>
          <w:tcPr>
            <w:tcW w:w="560" w:type="dxa"/>
            <w:vAlign w:val="bottom"/>
            <w:gridSpan w:val="2"/>
          </w:tcPr>
          <w:p>
            <w:pPr>
              <w:spacing w:after="0"/>
              <w:rPr>
                <w:sz w:val="19"/>
                <w:szCs w:val="19"/>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r>
      <w:tr>
        <w:trPr>
          <w:trHeight w:val="190"/>
        </w:trPr>
        <w:tc>
          <w:tcPr>
            <w:tcW w:w="580" w:type="dxa"/>
            <w:vAlign w:val="bottom"/>
            <w:tcBorders>
              <w:top w:val="single" w:sz="8" w:color="0000FF"/>
            </w:tcBorders>
            <w:gridSpan w:val="4"/>
          </w:tcPr>
          <w:p>
            <w:pPr>
              <w:spacing w:after="0" w:line="189" w:lineRule="exact"/>
              <w:rPr>
                <w:rFonts w:ascii="Arial" w:cs="Arial" w:eastAsia="Arial" w:hAnsi="Arial"/>
                <w:sz w:val="18"/>
                <w:szCs w:val="18"/>
                <w:b w:val="1"/>
                <w:bCs w:val="1"/>
                <w:color w:val="0000FF"/>
                <w:w w:val="94"/>
              </w:rPr>
            </w:pPr>
            <w:hyperlink w:anchor="page60">
              <w:r>
                <w:rPr>
                  <w:rFonts w:ascii="Arial" w:cs="Arial" w:eastAsia="Arial" w:hAnsi="Arial"/>
                  <w:sz w:val="18"/>
                  <w:szCs w:val="18"/>
                  <w:b w:val="1"/>
                  <w:bCs w:val="1"/>
                  <w:color w:val="0000FF"/>
                  <w:w w:val="94"/>
                </w:rPr>
                <w:t>Part IV</w:t>
              </w:r>
            </w:hyperlink>
          </w:p>
        </w:tc>
        <w:tc>
          <w:tcPr>
            <w:tcW w:w="840" w:type="dxa"/>
            <w:vAlign w:val="bottom"/>
            <w:gridSpan w:val="3"/>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50"/>
        </w:trPr>
        <w:tc>
          <w:tcPr>
            <w:tcW w:w="580" w:type="dxa"/>
            <w:vAlign w:val="bottom"/>
            <w:gridSpan w:val="4"/>
          </w:tcPr>
          <w:p>
            <w:pPr>
              <w:spacing w:after="0"/>
              <w:rPr>
                <w:rFonts w:ascii="Arial" w:cs="Arial" w:eastAsia="Arial" w:hAnsi="Arial"/>
                <w:sz w:val="18"/>
                <w:szCs w:val="18"/>
                <w:color w:val="0000FF"/>
                <w:w w:val="82"/>
              </w:rPr>
            </w:pPr>
            <w:hyperlink w:anchor="page61">
              <w:r>
                <w:rPr>
                  <w:rFonts w:ascii="Arial" w:cs="Arial" w:eastAsia="Arial" w:hAnsi="Arial"/>
                  <w:sz w:val="18"/>
                  <w:szCs w:val="18"/>
                  <w:color w:val="0000FF"/>
                  <w:w w:val="82"/>
                </w:rPr>
                <w:t>Item 15.</w:t>
              </w:r>
            </w:hyperlink>
          </w:p>
        </w:tc>
        <w:tc>
          <w:tcPr>
            <w:tcW w:w="840" w:type="dxa"/>
            <w:vAlign w:val="bottom"/>
            <w:gridSpan w:val="3"/>
          </w:tcPr>
          <w:p>
            <w:pPr>
              <w:spacing w:after="0"/>
              <w:rPr>
                <w:sz w:val="21"/>
                <w:szCs w:val="21"/>
                <w:color w:val="auto"/>
              </w:rPr>
            </w:pPr>
          </w:p>
        </w:tc>
        <w:tc>
          <w:tcPr>
            <w:tcW w:w="9180" w:type="dxa"/>
            <w:vAlign w:val="bottom"/>
            <w:gridSpan w:val="1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Exhibits and Financial Statement Schedule</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gridSpan w:val="4"/>
          </w:tcPr>
          <w:p>
            <w:pPr>
              <w:spacing w:after="0"/>
              <w:rPr>
                <w:rFonts w:ascii="Arial" w:cs="Arial" w:eastAsia="Arial" w:hAnsi="Arial"/>
                <w:sz w:val="18"/>
                <w:szCs w:val="18"/>
                <w:color w:val="0000FF"/>
                <w:w w:val="82"/>
              </w:rPr>
            </w:pPr>
            <w:hyperlink w:anchor="page61">
              <w:r>
                <w:rPr>
                  <w:rFonts w:ascii="Arial" w:cs="Arial" w:eastAsia="Arial" w:hAnsi="Arial"/>
                  <w:sz w:val="18"/>
                  <w:szCs w:val="18"/>
                  <w:color w:val="0000FF"/>
                  <w:w w:val="82"/>
                </w:rPr>
                <w:t>Item 16.</w:t>
              </w:r>
            </w:hyperlink>
          </w:p>
        </w:tc>
        <w:tc>
          <w:tcPr>
            <w:tcW w:w="840" w:type="dxa"/>
            <w:vAlign w:val="bottom"/>
            <w:gridSpan w:val="3"/>
          </w:tcPr>
          <w:p>
            <w:pPr>
              <w:spacing w:after="0"/>
              <w:rPr>
                <w:sz w:val="18"/>
                <w:szCs w:val="18"/>
                <w:color w:val="auto"/>
              </w:rPr>
            </w:pPr>
          </w:p>
        </w:tc>
        <w:tc>
          <w:tcPr>
            <w:tcW w:w="3080" w:type="dxa"/>
            <w:vAlign w:val="bottom"/>
            <w:gridSpan w:val="1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Form 10-K Summary</w:t>
              </w:r>
            </w:hyperlink>
          </w:p>
        </w:tc>
        <w:tc>
          <w:tcPr>
            <w:tcW w:w="6100" w:type="dxa"/>
            <w:vAlign w:val="bottom"/>
            <w:gridSpan w:val="9"/>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61</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20" w:type="dxa"/>
            <w:vAlign w:val="bottom"/>
            <w:gridSpan w:val="6"/>
          </w:tcPr>
          <w:p>
            <w:pPr>
              <w:spacing w:after="0"/>
              <w:rPr>
                <w:rFonts w:ascii="Arial" w:cs="Arial" w:eastAsia="Arial" w:hAnsi="Arial"/>
                <w:sz w:val="18"/>
                <w:szCs w:val="18"/>
                <w:b w:val="1"/>
                <w:bCs w:val="1"/>
                <w:color w:val="0000FF"/>
                <w:w w:val="85"/>
              </w:rPr>
            </w:pPr>
            <w:hyperlink w:anchor="page113">
              <w:r>
                <w:rPr>
                  <w:rFonts w:ascii="Arial" w:cs="Arial" w:eastAsia="Arial" w:hAnsi="Arial"/>
                  <w:sz w:val="18"/>
                  <w:szCs w:val="18"/>
                  <w:b w:val="1"/>
                  <w:bCs w:val="1"/>
                  <w:color w:val="0000FF"/>
                  <w:w w:val="85"/>
                </w:rPr>
                <w:t>Signatures</w:t>
              </w:r>
            </w:hyperlink>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4"/>
          </w:tcPr>
          <w:p>
            <w:pPr>
              <w:jc w:val="right"/>
              <w:ind w:right="20"/>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89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FACTORS RELATED TO FORWARD-LOOKING STATEMENTS</w:t>
      </w:r>
    </w:p>
    <w:p>
      <w:pPr>
        <w:spacing w:after="0" w:line="162" w:lineRule="exact"/>
        <w:rPr>
          <w:sz w:val="20"/>
          <w:szCs w:val="20"/>
          <w:color w:val="auto"/>
        </w:rPr>
      </w:pPr>
    </w:p>
    <w:p>
      <w:pPr>
        <w:jc w:val="both"/>
        <w:ind w:right="160" w:firstLine="446"/>
        <w:spacing w:after="0" w:line="288" w:lineRule="auto"/>
        <w:rPr>
          <w:sz w:val="20"/>
          <w:szCs w:val="20"/>
          <w:color w:val="auto"/>
        </w:rPr>
      </w:pPr>
      <w:r>
        <w:rPr>
          <w:rFonts w:ascii="Arial" w:cs="Arial" w:eastAsia="Arial" w:hAnsi="Arial"/>
          <w:sz w:val="16"/>
          <w:szCs w:val="16"/>
          <w:color w:val="auto"/>
        </w:rPr>
        <w:t>This Annual Report on Form 10-K of The Macerich Company (the "Company") contains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w:t>
      </w:r>
    </w:p>
    <w:p>
      <w:pPr>
        <w:spacing w:after="0" w:line="255" w:lineRule="auto"/>
        <w:rPr>
          <w:sz w:val="20"/>
          <w:szCs w:val="20"/>
          <w:color w:val="auto"/>
        </w:rPr>
      </w:pPr>
      <w:r>
        <w:rPr>
          <w:rFonts w:ascii="Arial" w:cs="Arial" w:eastAsia="Arial" w:hAnsi="Arial"/>
          <w:sz w:val="18"/>
          <w:szCs w:val="18"/>
          <w:color w:val="auto"/>
        </w:rPr>
        <w:t>"intends,"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123"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144"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of its retailers;</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144" w:lineRule="exact"/>
        <w:rPr>
          <w:rFonts w:ascii="Arial" w:cs="Arial" w:eastAsia="Arial" w:hAnsi="Arial"/>
          <w:sz w:val="18"/>
          <w:szCs w:val="18"/>
          <w:color w:val="auto"/>
        </w:rPr>
      </w:pPr>
    </w:p>
    <w:p>
      <w:pPr>
        <w:ind w:left="1300" w:right="3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103"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risks and other factors that may affect our business and operating results, including those made in "Item 1A. Risk Factors" of this Annual Report on Form 10-K, as well as our other reports filed with the Securities and Exchange Commission ("SEC").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 "Operating Partnership"). As of December 31, 2019, the Operating Partnership owned or had an ownership interest in 47 regional shopping centers and five community/power shopping centers. These 52 regional and community/power shopping centers (which include any related office space) consist of approximately 51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 w:name="page4"/>
    <w:bookmarkEnd w:id="3"/>
    <w:p>
      <w:pPr>
        <w:ind w:right="160" w:firstLine="446"/>
        <w:spacing w:after="0" w:line="255" w:lineRule="auto"/>
        <w:rPr>
          <w:sz w:val="20"/>
          <w:szCs w:val="20"/>
          <w:color w:val="auto"/>
        </w:rPr>
      </w:pPr>
      <w:r>
        <w:rPr>
          <w:rFonts w:ascii="Arial" w:cs="Arial" w:eastAsia="Arial" w:hAnsi="Arial"/>
          <w:sz w:val="18"/>
          <w:szCs w:val="18"/>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08" w:lineRule="exact"/>
        <w:rPr>
          <w:sz w:val="20"/>
          <w:szCs w:val="20"/>
          <w:color w:val="auto"/>
        </w:rPr>
      </w:pPr>
    </w:p>
    <w:p>
      <w:pPr>
        <w:ind w:right="520" w:firstLine="446"/>
        <w:spacing w:after="0" w:line="342" w:lineRule="auto"/>
        <w:rPr>
          <w:sz w:val="20"/>
          <w:szCs w:val="20"/>
          <w:color w:val="auto"/>
        </w:rPr>
      </w:pPr>
      <w:r>
        <w:rPr>
          <w:rFonts w:ascii="Arial" w:cs="Arial" w:eastAsia="Arial" w:hAnsi="Arial"/>
          <w:sz w:val="16"/>
          <w:szCs w:val="16"/>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56"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Financial information regarding the Company for each of the last three fiscal years is contained in the Company's Consolidated Financial Statements included in "Item 15. Exhibits and Financial Statement Schedule."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Activity:</w:t>
      </w:r>
    </w:p>
    <w:p>
      <w:pPr>
        <w:spacing w:after="0" w:line="158"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114"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106" w:lineRule="exact"/>
        <w:rPr>
          <w:sz w:val="20"/>
          <w:szCs w:val="20"/>
          <w:color w:val="auto"/>
        </w:rPr>
      </w:pPr>
    </w:p>
    <w:p>
      <w:pPr>
        <w:jc w:val="both"/>
        <w:ind w:right="100" w:firstLine="446"/>
        <w:spacing w:after="0" w:line="264" w:lineRule="auto"/>
        <w:rPr>
          <w:sz w:val="20"/>
          <w:szCs w:val="20"/>
          <w:color w:val="auto"/>
        </w:rPr>
      </w:pPr>
      <w:r>
        <w:rPr>
          <w:rFonts w:ascii="Arial" w:cs="Arial" w:eastAsia="Arial" w:hAnsi="Arial"/>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114"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114"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term loan on the joint venture to allow for additional borrowings up to $100.0 million at LIBOR plus 2.00%. Concurrent with the amendment, the joint venture borrowed an additional $26.0 million. On August 16, 2019, the joint venture borrowed an additional $25.0 million. The Company used its share of the additional proceeds to pay down its line of credit and for general corporate purposes.</w:t>
      </w:r>
    </w:p>
    <w:p>
      <w:pPr>
        <w:spacing w:after="0" w:line="106" w:lineRule="exact"/>
        <w:rPr>
          <w:sz w:val="20"/>
          <w:szCs w:val="20"/>
          <w:color w:val="auto"/>
        </w:rPr>
      </w:pPr>
    </w:p>
    <w:p>
      <w:pPr>
        <w:jc w:val="both"/>
        <w:ind w:right="560" w:firstLine="446"/>
        <w:spacing w:after="0" w:line="264" w:lineRule="auto"/>
        <w:rPr>
          <w:sz w:val="20"/>
          <w:szCs w:val="20"/>
          <w:color w:val="auto"/>
        </w:rPr>
      </w:pPr>
      <w:r>
        <w:rPr>
          <w:rFonts w:ascii="Arial" w:cs="Arial" w:eastAsia="Arial" w:hAnsi="Arial"/>
          <w:sz w:val="18"/>
          <w:szCs w:val="18"/>
          <w:color w:val="auto"/>
        </w:rPr>
        <w:t>On September 12, 2019, the Company’s joint venture in Tysons Tower placed a new $190.0 million loan on the property that bears interest at an effective rate of 3.38% and matures on November 11, 2029. The Company used its share of the proceeds to pay down its line of credit and for general corporate purposes.</w:t>
      </w:r>
    </w:p>
    <w:p>
      <w:pPr>
        <w:spacing w:after="0" w:line="114"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On October 17, 2019, the Company’s joint venture in West Acres placed a construction loan on the property that allows for borrowing of up to $6.5 million, bears interest at an effective rate of 3.72% and matures on October 10, 2029. The joint venture intends to use the proceeds from the loan to fund the expansion of the property.</w:t>
      </w:r>
    </w:p>
    <w:p>
      <w:pPr>
        <w:spacing w:after="0" w:line="114"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On December 3, 2019, the Company replaced the existing loan on Kings Plaza Shopping Center with a new $540.0 million loan that bears interest at an effective rate of 3.71% and matures on January 1, 2030. The Company used the additional proceeds to pay down its line of credit and for general corporate purposes.</w:t>
      </w:r>
    </w:p>
    <w:p>
      <w:pPr>
        <w:spacing w:after="0" w:line="100" w:lineRule="exact"/>
        <w:rPr>
          <w:sz w:val="20"/>
          <w:szCs w:val="20"/>
          <w:color w:val="auto"/>
        </w:rPr>
      </w:pPr>
    </w:p>
    <w:p>
      <w:pPr>
        <w:ind w:right="60" w:firstLine="446"/>
        <w:spacing w:after="0" w:line="312" w:lineRule="auto"/>
        <w:rPr>
          <w:sz w:val="20"/>
          <w:szCs w:val="20"/>
          <w:color w:val="auto"/>
        </w:rPr>
      </w:pPr>
      <w:r>
        <w:rPr>
          <w:rFonts w:ascii="Arial" w:cs="Arial" w:eastAsia="Arial" w:hAnsi="Arial"/>
          <w:sz w:val="16"/>
          <w:szCs w:val="16"/>
          <w:color w:val="auto"/>
        </w:rPr>
        <w:t>On December 18, 2019, the Company’s joint venture in One Westside placed a $414.6 million construction loan on the redevelopment project (See "Redevelopment and Development Activities"). The loan bears interest at LIBOR plus 1.70%, which can be reduced to LIBOR plus 1.50% upon the completion of certain conditions and matures on December 18, 2024. The joint venture intends to use the loan proceeds to fund the completion of the project.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i w:val="1"/>
          <w:iCs w:val="1"/>
          <w:color w:val="auto"/>
        </w:rPr>
        <w:t>Redevelopment and Development Activity:</w:t>
      </w:r>
    </w:p>
    <w:p>
      <w:pPr>
        <w:spacing w:after="0" w:line="144" w:lineRule="exact"/>
        <w:rPr>
          <w:sz w:val="20"/>
          <w:szCs w:val="20"/>
          <w:color w:val="auto"/>
        </w:rPr>
      </w:pPr>
    </w:p>
    <w:p>
      <w:pPr>
        <w:ind w:right="360" w:firstLine="446"/>
        <w:spacing w:after="0" w:line="257" w:lineRule="auto"/>
        <w:rPr>
          <w:sz w:val="20"/>
          <w:szCs w:val="20"/>
          <w:color w:val="auto"/>
        </w:rPr>
      </w:pPr>
      <w:r>
        <w:rPr>
          <w:rFonts w:ascii="Arial" w:cs="Arial" w:eastAsia="Arial" w:hAnsi="Arial"/>
          <w:sz w:val="18"/>
          <w:szCs w:val="18"/>
          <w:color w:val="auto"/>
        </w:rPr>
        <w:t>On September 19, 2019, the Company's joint venture with Pennsylvania REIT opened the first phase of the redevelopment of Fashion District Philadelphia, an 899,000 square foot regional shopping center in Philadelphia, Pennsylvania. The project will have additional tenant openings throughout 2020 and early 2021. The total cost of the project is estimated to be between $400.0 million and $420.0 million, with $200.0 million to $210.0 million estimated to be the Company's pro rata share. The Company has funded $190.9 million of the total $381.8 million incurred by the joint venture as of December 31, 2019.</w:t>
      </w:r>
    </w:p>
    <w:p>
      <w:pPr>
        <w:spacing w:after="0" w:line="12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Company's joint venture in Scottsdale Fashion Square completed the redevelopment of a former Barney's store and an 80,000 square foot exterior expansion in the fourth quarter of 2019. The Company has funded $40.0 million of the total $80.0 million incurred by the joint venture as of December 31, 2019.</w:t>
      </w:r>
    </w:p>
    <w:p>
      <w:pPr>
        <w:spacing w:after="0" w:line="11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$50.4 million of the total $201.5 million incurred by the joint venture as of December 31, 2019. The joint venture expects to fund the remaining costs of the development with its new $414.6 million construction loan (See "Financing Activities").</w:t>
      </w:r>
    </w:p>
    <w:p>
      <w:pPr>
        <w:spacing w:after="0" w:line="9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$35.9 million of the total $71.7 million incurred by the joint venture as of December 31, 2019.</w:t>
      </w:r>
    </w:p>
    <w:p>
      <w:pPr>
        <w:spacing w:after="0" w:line="114" w:lineRule="exact"/>
        <w:rPr>
          <w:sz w:val="20"/>
          <w:szCs w:val="20"/>
          <w:color w:val="auto"/>
        </w:rPr>
      </w:pPr>
    </w:p>
    <w:p>
      <w:pPr>
        <w:ind w:right="480" w:firstLine="446"/>
        <w:spacing w:after="0" w:line="302" w:lineRule="auto"/>
        <w:rPr>
          <w:sz w:val="20"/>
          <w:szCs w:val="20"/>
          <w:color w:val="auto"/>
        </w:rPr>
      </w:pPr>
      <w:r>
        <w:rPr>
          <w:rFonts w:ascii="Arial" w:cs="Arial" w:eastAsia="Arial" w:hAnsi="Arial"/>
          <w:sz w:val="16"/>
          <w:szCs w:val="16"/>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$22.4 million at its pro rata share as of December 31, 2019.</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Transactions and Events:</w:t>
      </w:r>
    </w:p>
    <w:p>
      <w:pPr>
        <w:spacing w:after="0" w:line="144"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122"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Upon adoption of the new standard, the Company has presented all revenues associated with leases as leasing revenue on its consolidated statements of operations. The new standard requires the Company to reduce leasing revenue for credit losses associated with lease receivables. In addition, straight-line rent receivables are written off when the Company believes there is reasonable uncertainty regarding a tenant's ability to complete the term of the lease. The new standard also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Shopping Center Industry</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right="180" w:firstLine="446"/>
        <w:spacing w:after="0" w:line="253" w:lineRule="auto"/>
        <w:rPr>
          <w:sz w:val="20"/>
          <w:szCs w:val="20"/>
          <w:color w:val="auto"/>
        </w:rPr>
      </w:pPr>
      <w:r>
        <w:rPr>
          <w:rFonts w:ascii="Arial" w:cs="Arial" w:eastAsia="Arial" w:hAnsi="Arial"/>
          <w:sz w:val="18"/>
          <w:szCs w:val="18"/>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Shopping Centers" or "Malls." Regional Shopping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 w:name="page6"/>
    <w:bookmarkEnd w:id="5"/>
    <w:p>
      <w:pPr>
        <w:ind w:right="80"/>
        <w:spacing w:after="0" w:line="264" w:lineRule="auto"/>
        <w:rPr>
          <w:sz w:val="20"/>
          <w:szCs w:val="20"/>
          <w:color w:val="auto"/>
        </w:rPr>
      </w:pPr>
      <w:r>
        <w:rPr>
          <w:rFonts w:ascii="Arial" w:cs="Arial" w:eastAsia="Arial" w:hAnsi="Arial"/>
          <w:sz w:val="18"/>
          <w:szCs w:val="18"/>
          <w:color w:val="auto"/>
        </w:rPr>
        <w:t>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Regional Shopping Centers:</w:t>
      </w:r>
    </w:p>
    <w:p>
      <w:pPr>
        <w:spacing w:after="0" w:line="15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A Regional Shopping Center draws from its trade area by offering a variety of fashion merchandise, hard goods and services and entertainment, often in an enclosed, climate controlled environment with convenient parking. Regional Shopping Centers provide an array of retail shops and entertainment facilities and often serve as the town center and a gathering place for community, charity and promotional events.</w:t>
      </w:r>
    </w:p>
    <w:p>
      <w:pPr>
        <w:spacing w:after="0" w:line="98"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Regional Shopping Centers have generally provided owners with relatively stable income despite the cyclical nature of the retail business. This stability is due both to the diversity of tenants and to the typical dominance of Regional Shopping Centers in their trade areas.</w:t>
      </w:r>
    </w:p>
    <w:p>
      <w:pPr>
        <w:spacing w:after="0" w:line="89" w:lineRule="exact"/>
        <w:rPr>
          <w:sz w:val="20"/>
          <w:szCs w:val="20"/>
          <w:color w:val="auto"/>
        </w:rPr>
      </w:pPr>
    </w:p>
    <w:p>
      <w:pPr>
        <w:ind w:right="260" w:firstLine="446"/>
        <w:spacing w:after="0" w:line="259" w:lineRule="auto"/>
        <w:rPr>
          <w:sz w:val="20"/>
          <w:szCs w:val="20"/>
          <w:color w:val="auto"/>
        </w:rPr>
      </w:pPr>
      <w:r>
        <w:rPr>
          <w:rFonts w:ascii="Arial" w:cs="Arial" w:eastAsia="Arial" w:hAnsi="Arial"/>
          <w:sz w:val="18"/>
          <w:szCs w:val="18"/>
          <w:color w:val="auto"/>
        </w:rPr>
        <w:t>Regional Shopping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Shopping Center.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the Company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Strategy:</w:t>
      </w:r>
    </w:p>
    <w:p>
      <w:pPr>
        <w:spacing w:after="0" w:line="144" w:lineRule="exact"/>
        <w:rPr>
          <w:sz w:val="20"/>
          <w:szCs w:val="20"/>
          <w:color w:val="auto"/>
        </w:rPr>
      </w:pPr>
    </w:p>
    <w:p>
      <w:pPr>
        <w:ind w:right="960" w:firstLine="446"/>
        <w:spacing w:after="0" w:line="277"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Shopping Centers.</w:t>
      </w:r>
    </w:p>
    <w:p>
      <w:pPr>
        <w:spacing w:after="0" w:line="103"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Company principally focuses on well-located, quality Regional Shopping Centers that can be dominant in their trade area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strong revenue enhancement potential. In addition, the Company pursues other opportunistic acquisitions of property that include retail and will complement the Company's portfolio such as Outlet Centers.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w:t>
      </w:r>
    </w:p>
    <w:p>
      <w:pPr>
        <w:spacing w:after="0" w:line="126"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i w:val="1"/>
          <w:iCs w:val="1"/>
          <w:color w:val="auto"/>
        </w:rPr>
        <w:t xml:space="preserve">Leasing and Management. </w:t>
      </w:r>
      <w:r>
        <w:rPr>
          <w:rFonts w:ascii="Arial" w:cs="Arial" w:eastAsia="Arial" w:hAnsi="Arial"/>
          <w:sz w:val="18"/>
          <w:szCs w:val="18"/>
          <w:color w:val="auto"/>
        </w:rPr>
        <w:t>The Company believes that the shopping center business requires specialized skills across a broad array of disciplines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112" w:lineRule="exact"/>
        <w:rPr>
          <w:sz w:val="20"/>
          <w:szCs w:val="20"/>
          <w:color w:val="auto"/>
        </w:rPr>
      </w:pPr>
    </w:p>
    <w:p>
      <w:pPr>
        <w:ind w:right="280" w:firstLine="446"/>
        <w:spacing w:after="0" w:line="312" w:lineRule="auto"/>
        <w:rPr>
          <w:sz w:val="20"/>
          <w:szCs w:val="20"/>
          <w:color w:val="auto"/>
        </w:rPr>
      </w:pPr>
      <w:r>
        <w:rPr>
          <w:rFonts w:ascii="Arial" w:cs="Arial" w:eastAsia="Arial" w:hAnsi="Arial"/>
          <w:sz w:val="16"/>
          <w:szCs w:val="16"/>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79"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The Company generally utilizes regionally located leasing managers to better understand the market and the community in which a Center is located. The Company continually assesses and fine tunes each Center's tenant mix, identifies and replaces underperforming tenants and seeks to optimize existing tenant sizes and configurations.</w:t>
      </w:r>
    </w:p>
    <w:p>
      <w:pPr>
        <w:spacing w:after="0" w:line="114"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On a selective basis, the Company provides property management and leasing services for third parties. The Company currently manages one regional shopping center and two community centers for third party owners on a fee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6" w:name="page7"/>
    <w:bookmarkEnd w:id="6"/>
    <w:p>
      <w:pPr>
        <w:ind w:right="140" w:firstLine="446"/>
        <w:spacing w:after="0" w:line="255" w:lineRule="auto"/>
        <w:rPr>
          <w:sz w:val="20"/>
          <w:szCs w:val="20"/>
          <w:color w:val="auto"/>
        </w:rPr>
      </w:pPr>
      <w:r>
        <w:rPr>
          <w:rFonts w:ascii="Arial" w:cs="Arial" w:eastAsia="Arial" w:hAnsi="Arial"/>
          <w:sz w:val="18"/>
          <w:szCs w:val="18"/>
          <w:i w:val="1"/>
          <w:iCs w:val="1"/>
          <w:color w:val="auto"/>
        </w:rPr>
        <w:t xml:space="preserve">Redevelopment. </w:t>
      </w:r>
      <w:r>
        <w:rPr>
          <w:rFonts w:ascii="Arial" w:cs="Arial" w:eastAsia="Arial" w:hAnsi="Arial"/>
          <w:sz w:val="18"/>
          <w:szCs w:val="18"/>
          <w:color w:val="auto"/>
        </w:rPr>
        <w:t>One of the major components of the Company's growth strategy is its ability to redevelop acquired properties. On a selective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business strategy may include mixed-use densification to maximize space at the Company’s Regional Shopping Centers, including by developing available land at the Regional Shopping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Activity" in Recent Developments).</w:t>
      </w:r>
    </w:p>
    <w:p>
      <w:pPr>
        <w:spacing w:after="0" w:line="108"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pursues ground-up development projects on a selective basis. The Company has supplemented its strong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redevelopment skills with its ground-up development expertise to further increase growth opportunities (See "Redevelopment and Development Activity" in Recent Developments).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Centers:</w:t>
      </w:r>
    </w:p>
    <w:p>
      <w:pPr>
        <w:spacing w:after="0" w:line="15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As of December 31, 2019, the Centers primarily included 47 Regional Shopping Centers and five Community/Power Shopping Centers totaling approximately 51 million square feet of GLA. These 52 Centers average approximately 920,000 square feet of GLA and range in size from 3.5 million square feet of GLA at Tysons Corner Center to 184,000 square feet of GLA at Boulevard Shops. As of December 31, 2019, the Centers primarily included 176 Anchors totaling approximately 23.7 million square feet of GLA and approximately 5,000 Mall Stores and Freestanding Stores totaling approximately 24.5 million square feet of GLA.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Numerous owners, developers and managers of malls, shopping centers and other retail-oriented real estate compete with the Company for the acquisition of properties and in attracting tenants or Anchors to occupy space. There are a number of other publicly traded mall companies and several large private mall companies in the United States, any of which under certain 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Internet shopping, home shopping networks, catalogs, telemarketing and discount shopping clubs that could adversely affect the Company's revenues.</w:t>
      </w:r>
    </w:p>
    <w:p>
      <w:pPr>
        <w:spacing w:after="0" w:line="99"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t>Major Tenants:</w:t>
      </w:r>
    </w:p>
    <w:p>
      <w:pPr>
        <w:spacing w:after="0" w:line="144" w:lineRule="exact"/>
        <w:rPr>
          <w:sz w:val="20"/>
          <w:szCs w:val="20"/>
          <w:color w:val="auto"/>
        </w:rPr>
      </w:pPr>
    </w:p>
    <w:p>
      <w:pPr>
        <w:jc w:val="both"/>
        <w:ind w:right="260" w:firstLine="446"/>
        <w:spacing w:after="0" w:line="264" w:lineRule="auto"/>
        <w:rPr>
          <w:sz w:val="20"/>
          <w:szCs w:val="20"/>
          <w:color w:val="auto"/>
        </w:rPr>
      </w:pPr>
      <w:r>
        <w:rPr>
          <w:rFonts w:ascii="Arial" w:cs="Arial" w:eastAsia="Arial" w:hAnsi="Arial"/>
          <w:sz w:val="18"/>
          <w:szCs w:val="18"/>
          <w:color w:val="auto"/>
        </w:rPr>
        <w:t>For the year ended December 31, 2019, the Centers derived approximately 73% of their total rents from Mall Stores and Freestanding Stores under 10,000 square feet and 27% of their total rents from Big Box and Anchor tenants. Total rents as set forth in "Item 1. Business" include minimum rents and percentage rents.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retailers (including their subsidiaries) represent the 10 largest tenants in the Centers based upon total rents in place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Locations</w:t>
            </w:r>
          </w:p>
        </w:tc>
        <w:tc>
          <w:tcPr>
            <w:tcW w:w="9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Tenant</w:t>
            </w:r>
          </w:p>
        </w:tc>
        <w:tc>
          <w:tcPr>
            <w:tcW w:w="120" w:type="dxa"/>
            <w:vAlign w:val="bottom"/>
            <w:vMerge w:val="restart"/>
          </w:tcPr>
          <w:p>
            <w:pPr>
              <w:spacing w:after="0"/>
              <w:rPr>
                <w:sz w:val="12"/>
                <w:szCs w:val="12"/>
                <w:color w:val="auto"/>
              </w:rPr>
            </w:pPr>
          </w:p>
        </w:tc>
        <w:tc>
          <w:tcPr>
            <w:tcW w:w="532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Primary DBAs</w:t>
            </w:r>
          </w:p>
        </w:tc>
        <w:tc>
          <w:tcPr>
            <w:tcW w:w="120" w:type="dxa"/>
            <w:vAlign w:val="bottom"/>
            <w:vMerge w:val="restart"/>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Rents</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 Brands, Inc.</w:t>
            </w: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Victoria's Secret, Bath and Body Works, PINK</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H &amp; M Hennes &amp; Mauritz AB</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H &amp; M</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Foot Locker, Inc.</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Champs Sports, Foot Locker, Kids Foot Locker, Lady Foot Locker, Foot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Action, House of Hoops, and others</w:t>
            </w: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Gap, Inc., The</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Athleta, Banana Republic, Gap, Gap Kids, Old Navy and others</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Dick's Sporting Goods, Inc.</w:t>
            </w: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Dick's Sporting Goods</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Signet Jewelers</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Jared Jewelry, Kay Jewelers, Piercing Pagoda, Zales</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Forever 21, Inc.(1)</w:t>
            </w: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Forever 21, XXI Forever</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American Eagle Outfitters, Inc.</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American Eagle Outfitters, aerie</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Abercrombie &amp; Fitch</w:t>
            </w: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Abercrombie &amp; Fitch, Hollister</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Express</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Express, Express Men</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_____________________</w:t>
      </w:r>
    </w:p>
    <w:p>
      <w:pPr>
        <w:spacing w:after="0" w:line="388" w:lineRule="exact"/>
        <w:rPr>
          <w:sz w:val="20"/>
          <w:szCs w:val="20"/>
          <w:color w:val="auto"/>
        </w:rPr>
      </w:pPr>
    </w:p>
    <w:p>
      <w:pPr>
        <w:ind w:left="1220" w:right="200" w:hanging="564"/>
        <w:spacing w:after="0" w:line="261"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Forever 21, Inc. filed for Chapter 11 bankruptcy protection in September 2019. The total rents used to compute the percentage of rent paid by Forever 21, Inc. in the table above are the anticipated rents to be paid to the Company in 2020 based on a negotiated settlement currently in process through the bankruptcy court.</w:t>
      </w:r>
    </w:p>
    <w:p>
      <w:pPr>
        <w:spacing w:after="0" w:line="200" w:lineRule="exact"/>
        <w:rPr>
          <w:sz w:val="20"/>
          <w:szCs w:val="20"/>
          <w:color w:val="auto"/>
        </w:rPr>
      </w:pP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Mall Stores and Freestanding Stores:</w:t>
      </w:r>
    </w:p>
    <w:p>
      <w:pPr>
        <w:spacing w:after="0" w:line="14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a stated amount for operating expenses, generally excluding property taxes, regardless of the expenses the Company actually incurs at any Center. However, certain leases for Mall Stores and Freestanding Stores contain provisions that only require tenants to pay their pro rata share of maintenance of the common areas, property taxes, insurance, advertising and other expenditures related to the operations of the Center.</w:t>
      </w:r>
    </w:p>
    <w:p>
      <w:pPr>
        <w:spacing w:after="0" w:line="126"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Tenant space of 10,000 square feet and under in the Company's portfolio at December 31, 2019 comprises approximately 65%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t>The following tables set forth the average base rent per square foot for the Centers, as of December 31 for each of the past five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Avg. Base</w:t>
            </w:r>
          </w:p>
        </w:tc>
        <w:tc>
          <w:tcPr>
            <w:tcW w:w="20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Avg. Base Rent</w:t>
            </w:r>
          </w:p>
        </w:tc>
        <w:tc>
          <w:tcPr>
            <w:tcW w:w="200" w:type="dxa"/>
            <w:vAlign w:val="bottom"/>
          </w:tcPr>
          <w:p>
            <w:pPr>
              <w:spacing w:after="0"/>
              <w:rPr>
                <w:sz w:val="14"/>
                <w:szCs w:val="14"/>
                <w:color w:val="auto"/>
              </w:rPr>
            </w:pPr>
          </w:p>
        </w:tc>
        <w:tc>
          <w:tcPr>
            <w:tcW w:w="17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Avg. Base 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 Sq. Ft. on</w:t>
            </w:r>
          </w:p>
        </w:tc>
        <w:tc>
          <w:tcPr>
            <w:tcW w:w="200" w:type="dxa"/>
            <w:vAlign w:val="bottom"/>
          </w:tcPr>
          <w:p>
            <w:pPr>
              <w:spacing w:after="0"/>
              <w:rPr>
                <w:sz w:val="12"/>
                <w:szCs w:val="12"/>
                <w:color w:val="auto"/>
              </w:rPr>
            </w:pPr>
          </w:p>
        </w:tc>
        <w:tc>
          <w:tcPr>
            <w:tcW w:w="17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Per Sq. Ft.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Rent Per</w:t>
            </w: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Leases Executed</w:t>
            </w:r>
          </w:p>
        </w:tc>
        <w:tc>
          <w:tcPr>
            <w:tcW w:w="200" w:type="dxa"/>
            <w:vAlign w:val="bottom"/>
          </w:tcPr>
          <w:p>
            <w:pPr>
              <w:spacing w:after="0"/>
              <w:rPr>
                <w:sz w:val="12"/>
                <w:szCs w:val="12"/>
                <w:color w:val="auto"/>
              </w:rPr>
            </w:pPr>
          </w:p>
        </w:tc>
        <w:tc>
          <w:tcPr>
            <w:tcW w:w="17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on Leases Expiring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Sq. Ft.(1)(2)</w:t>
            </w:r>
          </w:p>
        </w:tc>
        <w:tc>
          <w:tcPr>
            <w:tcW w:w="200" w:type="dxa"/>
            <w:vAlign w:val="bottom"/>
          </w:tcPr>
          <w:p>
            <w:pPr>
              <w:spacing w:after="0"/>
              <w:rPr>
                <w:sz w:val="13"/>
                <w:szCs w:val="13"/>
                <w:color w:val="auto"/>
              </w:rPr>
            </w:pPr>
          </w:p>
        </w:tc>
        <w:tc>
          <w:tcPr>
            <w:tcW w:w="18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During the Year(2)(3)</w:t>
            </w:r>
          </w:p>
        </w:tc>
        <w:tc>
          <w:tcPr>
            <w:tcW w:w="200" w:type="dxa"/>
            <w:vAlign w:val="bottom"/>
          </w:tcPr>
          <w:p>
            <w:pPr>
              <w:spacing w:after="0"/>
              <w:rPr>
                <w:sz w:val="13"/>
                <w:szCs w:val="13"/>
                <w:color w:val="auto"/>
              </w:rPr>
            </w:pPr>
          </w:p>
        </w:tc>
        <w:tc>
          <w:tcPr>
            <w:tcW w:w="172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5"/>
              </w:rPr>
              <w:t>During the Year(2)(4)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Centers (at the Company's pro rata share):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38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58.76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53.29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2017</w:t>
            </w:r>
          </w:p>
        </w:tc>
        <w:tc>
          <w:tcPr>
            <w:tcW w:w="38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2015</w:t>
            </w:r>
          </w:p>
        </w:tc>
        <w:tc>
          <w:tcPr>
            <w:tcW w:w="38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52.64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Unconsolidated Joint Venture Centers (at the Company's pro rata share):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38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2017</w:t>
            </w:r>
          </w:p>
        </w:tc>
        <w:tc>
          <w:tcPr>
            <w:tcW w:w="38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60.99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2015</w:t>
            </w:r>
          </w:p>
        </w:tc>
        <w:tc>
          <w:tcPr>
            <w:tcW w:w="38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60.74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 Box and Anchors: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Avg. Base Rent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Avg. Base Rent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Avg. Base</w:t>
            </w:r>
          </w:p>
        </w:tc>
        <w:tc>
          <w:tcPr>
            <w:tcW w:w="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Leases</w:t>
            </w:r>
          </w:p>
        </w:tc>
        <w:tc>
          <w:tcPr>
            <w:tcW w:w="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Per Sq. Ft. 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Executed</w:t>
            </w:r>
          </w:p>
        </w:tc>
        <w:tc>
          <w:tcPr>
            <w:tcW w:w="200" w:type="dxa"/>
            <w:vAlign w:val="bottom"/>
          </w:tcPr>
          <w:p>
            <w:pPr>
              <w:spacing w:after="0"/>
              <w:rPr>
                <w:sz w:val="12"/>
                <w:szCs w:val="12"/>
                <w:color w:val="auto"/>
              </w:rPr>
            </w:pPr>
          </w:p>
        </w:tc>
        <w:tc>
          <w:tcPr>
            <w:tcW w:w="1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Per Sq. Ft.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Rent Per</w:t>
            </w: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Leases Executed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During</w:t>
            </w:r>
          </w:p>
        </w:tc>
        <w:tc>
          <w:tcPr>
            <w:tcW w:w="200" w:type="dxa"/>
            <w:vAlign w:val="bottom"/>
          </w:tcPr>
          <w:p>
            <w:pPr>
              <w:spacing w:after="0"/>
              <w:rPr>
                <w:sz w:val="12"/>
                <w:szCs w:val="12"/>
                <w:color w:val="auto"/>
              </w:rPr>
            </w:pPr>
          </w:p>
        </w:tc>
        <w:tc>
          <w:tcPr>
            <w:tcW w:w="1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on Leases Expiring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Sq. Ft.(1)(2)</w:t>
            </w:r>
          </w:p>
        </w:tc>
        <w:tc>
          <w:tcPr>
            <w:tcW w:w="200" w:type="dxa"/>
            <w:vAlign w:val="bottom"/>
          </w:tcPr>
          <w:p>
            <w:pPr>
              <w:spacing w:after="0"/>
              <w:rPr>
                <w:sz w:val="13"/>
                <w:szCs w:val="13"/>
                <w:color w:val="auto"/>
              </w:rPr>
            </w:pPr>
          </w:p>
        </w:tc>
        <w:tc>
          <w:tcPr>
            <w:tcW w:w="18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During the Year(2)(3)</w:t>
            </w: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the Year</w:t>
            </w:r>
          </w:p>
        </w:tc>
        <w:tc>
          <w:tcPr>
            <w:tcW w:w="200" w:type="dxa"/>
            <w:vAlign w:val="bottom"/>
          </w:tcPr>
          <w:p>
            <w:pPr>
              <w:spacing w:after="0"/>
              <w:rPr>
                <w:sz w:val="13"/>
                <w:szCs w:val="13"/>
                <w:color w:val="auto"/>
              </w:rPr>
            </w:pPr>
          </w:p>
        </w:tc>
        <w:tc>
          <w:tcPr>
            <w:tcW w:w="18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During the Year(2)(4)</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the Year</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Consolidated Centers (at the Company's pro rata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15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2017</w:t>
            </w:r>
          </w:p>
        </w:tc>
        <w:tc>
          <w:tcPr>
            <w:tcW w:w="15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2015</w:t>
            </w:r>
          </w:p>
        </w:tc>
        <w:tc>
          <w:tcPr>
            <w:tcW w:w="15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Unconsolidated Joint Venture Centers (at the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Company's pro rata share):</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15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38.98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2017</w:t>
            </w:r>
          </w:p>
        </w:tc>
        <w:tc>
          <w:tcPr>
            <w:tcW w:w="15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29.41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2015</w:t>
            </w:r>
          </w:p>
        </w:tc>
        <w:tc>
          <w:tcPr>
            <w:tcW w:w="15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200" w:lineRule="exact"/>
        <w:rPr>
          <w:sz w:val="20"/>
          <w:szCs w:val="20"/>
          <w:color w:val="auto"/>
        </w:rPr>
      </w:pPr>
    </w:p>
    <w:p>
      <w:pPr>
        <w:spacing w:after="0" w:line="202" w:lineRule="exact"/>
        <w:rPr>
          <w:sz w:val="20"/>
          <w:szCs w:val="20"/>
          <w:color w:val="auto"/>
        </w:rPr>
      </w:pPr>
    </w:p>
    <w:p>
      <w:pPr>
        <w:ind w:left="1220" w:hanging="564"/>
        <w:spacing w:after="0" w:line="310" w:lineRule="auto"/>
        <w:tabs>
          <w:tab w:leader="none" w:pos="12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67" w:lineRule="exact"/>
        <w:rPr>
          <w:rFonts w:ascii="Arial" w:cs="Arial" w:eastAsia="Arial" w:hAnsi="Arial"/>
          <w:sz w:val="15"/>
          <w:szCs w:val="15"/>
          <w:color w:val="auto"/>
        </w:rPr>
      </w:pPr>
    </w:p>
    <w:p>
      <w:pPr>
        <w:ind w:left="1220" w:right="160" w:hanging="564"/>
        <w:spacing w:after="0" w:line="256"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Centers under development and redevelopment are excluded from average base rents. As a result, the leases for Fashion District Philadelphia, Paradise Valley Mall and One Westside are excluded for the years ended December 31, 2019, 2018, 2017, 2016 and 2015. The leases for Broadway Plaza are excluded for the years ended December 31, 2016 and 2015. The leases for Fashion Outlets of Niagara Falls USA and SouthPark Mall are excluded for the year ended December 31, 2015.</w:t>
      </w:r>
    </w:p>
    <w:p>
      <w:pPr>
        <w:sectPr>
          <w:pgSz w:w="11900" w:h="16838" w:orient="portrait"/>
          <w:cols w:equalWidth="0" w:num="1">
            <w:col w:w="11380"/>
          </w:cols>
          <w:pgMar w:left="240" w:top="100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type w:val="continuous"/>
        </w:sectPr>
      </w:pPr>
    </w:p>
    <w:bookmarkStart w:id="9" w:name="page10"/>
    <w:bookmarkEnd w:id="9"/>
    <w:p>
      <w:pPr>
        <w:ind w:left="1220" w:right="120"/>
        <w:spacing w:after="0" w:line="310" w:lineRule="auto"/>
        <w:rPr>
          <w:sz w:val="20"/>
          <w:szCs w:val="20"/>
          <w:color w:val="auto"/>
        </w:rPr>
      </w:pPr>
      <w:r>
        <w:rPr>
          <w:rFonts w:ascii="Arial" w:cs="Arial" w:eastAsia="Arial" w:hAnsi="Arial"/>
          <w:sz w:val="15"/>
          <w:szCs w:val="15"/>
          <w:color w:val="auto"/>
        </w:rPr>
        <w:t>The leases for Cascade Mall and Northgate Mall, which were sold on January 18, 2017, are excluded for the year ended December 31, 2016. Flagstaff Mall was conveyed to the mortgage lender by a deed-in-lieu of foreclosure on July 15, 2016 and is excluded for the year ended December 31, 2015.</w:t>
      </w:r>
    </w:p>
    <w:p>
      <w:pPr>
        <w:spacing w:after="0" w:line="68" w:lineRule="exact"/>
        <w:rPr>
          <w:sz w:val="20"/>
          <w:szCs w:val="20"/>
          <w:color w:val="auto"/>
        </w:rPr>
      </w:pPr>
    </w:p>
    <w:p>
      <w:pPr>
        <w:ind w:left="1220" w:right="360" w:hanging="564"/>
        <w:spacing w:after="0" w:line="275"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average base rent per square foot on leases executed during the year represents the actual rent paid on a per square foot basis during the first twelve months of the lease.</w:t>
      </w:r>
    </w:p>
    <w:p>
      <w:pPr>
        <w:spacing w:after="0" w:line="105" w:lineRule="exact"/>
        <w:rPr>
          <w:rFonts w:ascii="Arial" w:cs="Arial" w:eastAsia="Arial" w:hAnsi="Arial"/>
          <w:sz w:val="16"/>
          <w:szCs w:val="16"/>
          <w:color w:val="auto"/>
        </w:rPr>
      </w:pPr>
    </w:p>
    <w:p>
      <w:pPr>
        <w:ind w:left="1220" w:right="460" w:hanging="564"/>
        <w:spacing w:after="0" w:line="275"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average base rent per square foot on leases expiring during the year represents the actual rent to be paid on a per square foot basis during the final twelve months of the lease.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Occupancy:</w:t>
      </w:r>
    </w:p>
    <w:p>
      <w:pPr>
        <w:spacing w:after="0" w:line="144" w:lineRule="exact"/>
        <w:rPr>
          <w:sz w:val="20"/>
          <w:szCs w:val="20"/>
          <w:color w:val="auto"/>
        </w:rPr>
      </w:pPr>
    </w:p>
    <w:p>
      <w:pPr>
        <w:ind w:right="100" w:firstLine="446"/>
        <w:spacing w:after="0" w:line="273" w:lineRule="auto"/>
        <w:rPr>
          <w:sz w:val="20"/>
          <w:szCs w:val="20"/>
          <w:color w:val="auto"/>
        </w:rPr>
      </w:pPr>
      <w:r>
        <w:rPr>
          <w:rFonts w:ascii="Arial" w:cs="Arial" w:eastAsia="Arial" w:hAnsi="Arial"/>
          <w:sz w:val="17"/>
          <w:szCs w:val="17"/>
          <w:color w:val="auto"/>
        </w:rPr>
        <w:t>A major factor contributing to tenant profitability is cost of occupancy, which consists of tenant occupancy costs charged by the Company. Tenant expenses included in this calculation are minimum rents, percentage rents and recoverable expenditures, which consist primarily of property operating expenses, real estate taxes and repair and maintenance expenditures. These tenant charges are collectively referred to as tenant occupancy costs. These tenant occupancy costs are compared to tenant sales. A low cost of occupancy percentage shows more potential capacity for the Company to increase rents at the time of lease renewal than a high cost of occupancy percentage. The following table summarizes occupancy costs for Mall Store and Freestanding Store tenants in the Centers as a percentage of total Mall Store sales for the last five years: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For the Years Ended December 31,</w:t>
            </w: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2016(1)</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2015(2)</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Centers:</w:t>
            </w: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Minimum rents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rents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Expense recoveries(3)</w:t>
            </w: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6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Unconsolidated Joint Venture Centers: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rents</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Percentage rents</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recoveries(3)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200" w:lineRule="exact"/>
        <w:rPr>
          <w:sz w:val="20"/>
          <w:szCs w:val="20"/>
          <w:color w:val="auto"/>
        </w:rPr>
      </w:pPr>
    </w:p>
    <w:p>
      <w:pPr>
        <w:spacing w:after="0" w:line="202" w:lineRule="exact"/>
        <w:rPr>
          <w:sz w:val="20"/>
          <w:szCs w:val="20"/>
          <w:color w:val="auto"/>
        </w:rPr>
      </w:pPr>
    </w:p>
    <w:p>
      <w:pPr>
        <w:ind w:left="1220" w:hanging="564"/>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Cascade Mall and Northgate Mall were sold on January 18, 2017 and are excluded for the year ended December 31, 2016.</w:t>
      </w:r>
    </w:p>
    <w:p>
      <w:pPr>
        <w:spacing w:after="0" w:line="140" w:lineRule="exact"/>
        <w:rPr>
          <w:rFonts w:ascii="Arial" w:cs="Arial" w:eastAsia="Arial" w:hAnsi="Arial"/>
          <w:sz w:val="16"/>
          <w:szCs w:val="16"/>
          <w:color w:val="auto"/>
        </w:rPr>
      </w:pPr>
    </w:p>
    <w:p>
      <w:pPr>
        <w:ind w:left="1220" w:right="400" w:hanging="564"/>
        <w:spacing w:after="0" w:line="275"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Flagstaff Mall was conveyed to the mortgage lender by a deed-in-lieu of foreclosure on July 15, 2016 and is excluded for the year ended December 31, 2015.</w:t>
      </w:r>
    </w:p>
    <w:p>
      <w:pPr>
        <w:spacing w:after="0" w:line="105" w:lineRule="exact"/>
        <w:rPr>
          <w:rFonts w:ascii="Arial" w:cs="Arial" w:eastAsia="Arial" w:hAnsi="Arial"/>
          <w:sz w:val="16"/>
          <w:szCs w:val="16"/>
          <w:color w:val="auto"/>
        </w:rPr>
      </w:pPr>
    </w:p>
    <w:p>
      <w:pPr>
        <w:ind w:left="1220" w:hanging="564"/>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real estate tax and common area maintenance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7"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i w:val="1"/>
          <w:iCs w:val="1"/>
          <w:color w:val="auto"/>
        </w:rPr>
        <w:t>Lease Expirations:</w:t>
      </w:r>
    </w:p>
    <w:p>
      <w:pPr>
        <w:spacing w:after="0" w:line="144"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The following tables show scheduled lease expirations for Centers owned as of December 31, 2019 for the next ten years, assuming that none of the tenants exercise renewal options: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Approximate</w:t>
            </w:r>
          </w:p>
        </w:tc>
        <w:tc>
          <w:tcPr>
            <w:tcW w:w="1380" w:type="dxa"/>
            <w:vAlign w:val="bottom"/>
          </w:tcPr>
          <w:p>
            <w:pPr>
              <w:jc w:val="center"/>
              <w:ind w:left="113"/>
              <w:spacing w:after="0"/>
              <w:rPr>
                <w:sz w:val="20"/>
                <w:szCs w:val="20"/>
                <w:color w:val="auto"/>
              </w:rPr>
            </w:pPr>
            <w:r>
              <w:rPr>
                <w:rFonts w:ascii="Arial" w:cs="Arial" w:eastAsia="Arial" w:hAnsi="Arial"/>
                <w:sz w:val="14"/>
                <w:szCs w:val="14"/>
                <w:b w:val="1"/>
                <w:bCs w:val="1"/>
                <w:color w:val="auto"/>
                <w:w w:val="92"/>
              </w:rPr>
              <w:t>% of Total Leased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Ending Base Rent</w:t>
            </w:r>
          </w:p>
        </w:tc>
        <w:tc>
          <w:tcPr>
            <w:tcW w:w="1240" w:type="dxa"/>
            <w:vAlign w:val="bottom"/>
          </w:tcPr>
          <w:p>
            <w:pPr>
              <w:jc w:val="center"/>
              <w:ind w:left="113"/>
              <w:spacing w:after="0"/>
              <w:rPr>
                <w:sz w:val="20"/>
                <w:szCs w:val="20"/>
                <w:color w:val="auto"/>
              </w:rPr>
            </w:pPr>
            <w:r>
              <w:rPr>
                <w:rFonts w:ascii="Arial" w:cs="Arial" w:eastAsia="Arial" w:hAnsi="Arial"/>
                <w:sz w:val="14"/>
                <w:szCs w:val="14"/>
                <w:b w:val="1"/>
                <w:bCs w:val="1"/>
                <w:color w:val="auto"/>
                <w:w w:val="94"/>
              </w:rPr>
              <w:t>% of Base Rent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8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2"/>
              </w:rPr>
              <w:t>GLA Represented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4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89"/>
              </w:rPr>
              <w:t>Represented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vMerge w:val="restart"/>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Leases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GLA of Leases</w:t>
            </w:r>
          </w:p>
        </w:tc>
        <w:tc>
          <w:tcPr>
            <w:tcW w:w="138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6"/>
              </w:rPr>
              <w:t>by Expiring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 Square Foot of</w:t>
            </w:r>
          </w:p>
        </w:tc>
        <w:tc>
          <w:tcPr>
            <w:tcW w:w="124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4"/>
              </w:rPr>
              <w:t>by Expiring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Expiring</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Expiring(1)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b w:val="1"/>
                <w:bCs w:val="1"/>
                <w:color w:val="auto"/>
                <w:w w:val="89"/>
              </w:rPr>
              <w:t>Leases(1)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Expiring Leases(1)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89"/>
              </w:rPr>
              <w:t>Leases(1)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Centers (at the Company's pro rata</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669,961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606,388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470,126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456,925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578,073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402,136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73.18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415,401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224,400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212,304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227,595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Unconsolidated Joint Venture Centers (at the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Company's pro rata share):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261,174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322,600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230,695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240,096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232,829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213,831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226,891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163,281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176,492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110,480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Big Boxes and Anchors: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Approximate</w:t>
            </w:r>
          </w:p>
        </w:tc>
        <w:tc>
          <w:tcPr>
            <w:tcW w:w="1380" w:type="dxa"/>
            <w:vAlign w:val="bottom"/>
          </w:tcPr>
          <w:p>
            <w:pPr>
              <w:jc w:val="center"/>
              <w:ind w:left="113"/>
              <w:spacing w:after="0"/>
              <w:rPr>
                <w:sz w:val="20"/>
                <w:szCs w:val="20"/>
                <w:color w:val="auto"/>
              </w:rPr>
            </w:pPr>
            <w:r>
              <w:rPr>
                <w:rFonts w:ascii="Arial" w:cs="Arial" w:eastAsia="Arial" w:hAnsi="Arial"/>
                <w:sz w:val="14"/>
                <w:szCs w:val="14"/>
                <w:b w:val="1"/>
                <w:bCs w:val="1"/>
                <w:color w:val="auto"/>
                <w:w w:val="92"/>
              </w:rPr>
              <w:t>% of Total Leased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Ending Base Rent</w:t>
            </w:r>
          </w:p>
        </w:tc>
        <w:tc>
          <w:tcPr>
            <w:tcW w:w="1240" w:type="dxa"/>
            <w:vAlign w:val="bottom"/>
          </w:tcPr>
          <w:p>
            <w:pPr>
              <w:jc w:val="center"/>
              <w:ind w:left="113"/>
              <w:spacing w:after="0"/>
              <w:rPr>
                <w:sz w:val="20"/>
                <w:szCs w:val="20"/>
                <w:color w:val="auto"/>
              </w:rPr>
            </w:pPr>
            <w:r>
              <w:rPr>
                <w:rFonts w:ascii="Arial" w:cs="Arial" w:eastAsia="Arial" w:hAnsi="Arial"/>
                <w:sz w:val="14"/>
                <w:szCs w:val="14"/>
                <w:b w:val="1"/>
                <w:bCs w:val="1"/>
                <w:color w:val="auto"/>
                <w:w w:val="94"/>
              </w:rPr>
              <w:t>% of Base Rent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8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2"/>
              </w:rPr>
              <w:t>GLA Represented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4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89"/>
              </w:rPr>
              <w:t>Represented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vMerge w:val="restart"/>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Leases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GLA of Leases</w:t>
            </w:r>
          </w:p>
        </w:tc>
        <w:tc>
          <w:tcPr>
            <w:tcW w:w="138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6"/>
              </w:rPr>
              <w:t>by Expiring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 Square Foot of</w:t>
            </w:r>
          </w:p>
        </w:tc>
        <w:tc>
          <w:tcPr>
            <w:tcW w:w="124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4"/>
              </w:rPr>
              <w:t>by Expiring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Expiring</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Expiring(1)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b w:val="1"/>
                <w:bCs w:val="1"/>
                <w:color w:val="auto"/>
                <w:w w:val="89"/>
              </w:rPr>
              <w:t>Leases(1)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Expiring Leases(1)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89"/>
              </w:rPr>
              <w:t>Leases(1)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Centers (at the Company's pro rata</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470,910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715,068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941,805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884,615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772,756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825,362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833,376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564,153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884,785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238,522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Unconsolidated Joint Venture Centers (at the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Company's pro rata share):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201,601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288,748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497,807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291,620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310,779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748,340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407,761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292,686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380,712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288,865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0" w:lineRule="exact"/>
        <w:rPr>
          <w:sz w:val="20"/>
          <w:szCs w:val="20"/>
          <w:color w:val="auto"/>
        </w:rPr>
      </w:pPr>
    </w:p>
    <w:p>
      <w:pPr>
        <w:spacing w:after="0" w:line="202" w:lineRule="exact"/>
        <w:rPr>
          <w:sz w:val="20"/>
          <w:szCs w:val="20"/>
          <w:color w:val="auto"/>
        </w:rPr>
      </w:pPr>
    </w:p>
    <w:p>
      <w:pPr>
        <w:jc w:val="both"/>
        <w:ind w:left="1220" w:right="80" w:hanging="564"/>
        <w:spacing w:after="0" w:line="261"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ending base rent per square foot on leases expiring during the period represents the final year minimum rent, on a cash basis, for tenant leases expiring during the year. Currently, 30% of leases have provisions for future consumer price index increases that are not reflected in ending base rent. The leases for Centers currently under development and redevelopment are excluded from this table.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Anchors:</w:t>
      </w:r>
    </w:p>
    <w:p>
      <w:pPr>
        <w:spacing w:after="0" w:line="144"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Anchors have traditionally been a major factor in the public's identification with Regional Shopping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119"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Anchors accounted for approximately 7.3% of the Company's total rents for the year ended December 31, 2019.</w:t>
      </w:r>
    </w:p>
    <w:p>
      <w:pPr>
        <w:sectPr>
          <w:pgSz w:w="11900" w:h="16838" w:orient="portrait"/>
          <w:cols w:equalWidth="0" w:num="1">
            <w:col w:w="11380"/>
          </w:cols>
          <w:pgMar w:left="240" w:top="99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99" w:right="279" w:bottom="1440" w:gutter="0" w:footer="0" w:header="0"/>
          <w:type w:val="continuous"/>
        </w:sectPr>
      </w:pPr>
    </w:p>
    <w:bookmarkStart w:id="12" w:name="page13"/>
    <w:bookmarkEnd w:id="12"/>
    <w:p>
      <w:pPr>
        <w:ind w:right="160" w:firstLine="446"/>
        <w:spacing w:after="0" w:line="277" w:lineRule="auto"/>
        <w:rPr>
          <w:sz w:val="20"/>
          <w:szCs w:val="20"/>
          <w:color w:val="auto"/>
        </w:rPr>
      </w:pPr>
      <w:r>
        <w:rPr>
          <w:rFonts w:ascii="Arial" w:cs="Arial" w:eastAsia="Arial" w:hAnsi="Arial"/>
          <w:sz w:val="18"/>
          <w:szCs w:val="18"/>
          <w:color w:val="auto"/>
        </w:rPr>
        <w:t>The following table identifies each Anchor, each parent company that owns multiple Anchors and the number of square feet owned or leased by each such Anchor or parent company in the Company's portfolio at December 31,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GLA Owned</w:t>
            </w: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GLA Leased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Total GLA</w:t>
            </w:r>
          </w:p>
        </w:tc>
        <w:tc>
          <w:tcPr>
            <w:tcW w:w="0" w:type="dxa"/>
            <w:vAlign w:val="bottom"/>
          </w:tcPr>
          <w:p>
            <w:pPr>
              <w:spacing w:after="0"/>
              <w:rPr>
                <w:sz w:val="1"/>
                <w:szCs w:val="1"/>
                <w:color w:val="auto"/>
              </w:rPr>
            </w:pPr>
          </w:p>
        </w:tc>
      </w:tr>
      <w:tr>
        <w:trPr>
          <w:trHeight w:val="149"/>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Anchor</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Occupied by</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by Anchor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by Anchor</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Anchor</w:t>
            </w:r>
          </w:p>
        </w:tc>
        <w:tc>
          <w:tcPr>
            <w:tcW w:w="0" w:type="dxa"/>
            <w:vAlign w:val="bottom"/>
          </w:tcPr>
          <w:p>
            <w:pPr>
              <w:spacing w:after="0"/>
              <w:rPr>
                <w:sz w:val="1"/>
                <w:szCs w:val="1"/>
                <w:color w:val="auto"/>
              </w:rPr>
            </w:pPr>
          </w:p>
        </w:tc>
      </w:tr>
      <w:tr>
        <w:trPr>
          <w:trHeight w:val="202"/>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Macy's Inc.</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ind w:left="120"/>
              <w:spacing w:after="0"/>
              <w:rPr>
                <w:sz w:val="20"/>
                <w:szCs w:val="20"/>
                <w:color w:val="auto"/>
              </w:rPr>
            </w:pPr>
            <w:r>
              <w:rPr>
                <w:rFonts w:ascii="Arial" w:cs="Arial" w:eastAsia="Arial" w:hAnsi="Arial"/>
                <w:sz w:val="14"/>
                <w:szCs w:val="14"/>
                <w:color w:val="auto"/>
              </w:rPr>
              <w:t>Macy's</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4,698,000</w:t>
            </w:r>
          </w:p>
        </w:tc>
        <w:tc>
          <w:tcPr>
            <w:tcW w:w="1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1,931,000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6,629,000</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Bloomingdale's</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355,000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355,000</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4,698,000</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2,286,000</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6,984,000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JCPenney(1)</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1,641,000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2,299,000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3,940,000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Sears(2)</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584,000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584,000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Dillard's</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2,107,000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2,364,000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Nordstrom(3)</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739,000</w:t>
            </w:r>
          </w:p>
        </w:tc>
        <w:tc>
          <w:tcPr>
            <w:tcW w:w="1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1,339,000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2,078,000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Dick's Sporting Goods</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952,000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952,000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Forever 21(4)</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629,000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629,000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Target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304,000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Hudson Bay Company</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Lord &amp; Taylor(5)</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120"/>
              <w:spacing w:after="0"/>
              <w:rPr>
                <w:sz w:val="20"/>
                <w:szCs w:val="20"/>
                <w:color w:val="auto"/>
              </w:rPr>
            </w:pPr>
            <w:r>
              <w:rPr>
                <w:rFonts w:ascii="Arial" w:cs="Arial" w:eastAsia="Arial" w:hAnsi="Arial"/>
                <w:sz w:val="14"/>
                <w:szCs w:val="14"/>
                <w:color w:val="auto"/>
              </w:rPr>
              <w:t>Saks Fifth Avenue</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92,000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92,000</w:t>
            </w:r>
          </w:p>
        </w:tc>
        <w:tc>
          <w:tcPr>
            <w:tcW w:w="0" w:type="dxa"/>
            <w:vAlign w:val="bottom"/>
          </w:tcPr>
          <w:p>
            <w:pPr>
              <w:spacing w:after="0"/>
              <w:rPr>
                <w:sz w:val="1"/>
                <w:szCs w:val="1"/>
                <w:color w:val="auto"/>
              </w:rPr>
            </w:pPr>
          </w:p>
        </w:tc>
      </w:tr>
      <w:tr>
        <w:trPr>
          <w:trHeight w:val="202"/>
        </w:trPr>
        <w:tc>
          <w:tcPr>
            <w:tcW w:w="5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121,000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291,000</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412,000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Home Depot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395,000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395,000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Burlington</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187,000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Costco</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321,000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321,000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Primark(6)</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Kohl's</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84,000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84,000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Neiman Marcus</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Von Maur</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187,000</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187,000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Walmart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Century 21</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171,000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171,000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 Curacao</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Boscov's</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161,000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161,000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Belk</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BJ's Wholesale Club</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123,000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123,000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Lowe's</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Mercado de los Cielos</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78,000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L.L. Bean</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Best Buy</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66,000</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 Moines Area Community College</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Bealls</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Vacant Anchors(7)</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1,849,000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1,849,000</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10,114,000</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13,419,000</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23,533,000</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Anchors at Centers not owned by the Company(8):</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Kohl's</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83,000</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Vacant Anchors(7)</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120,000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202"/>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10,114,000</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13,622,000</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23,736,000</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00" w:lineRule="exact"/>
        <w:rPr>
          <w:sz w:val="20"/>
          <w:szCs w:val="20"/>
          <w:color w:val="auto"/>
        </w:rPr>
      </w:pPr>
    </w:p>
    <w:p>
      <w:pPr>
        <w:spacing w:after="0" w:line="202" w:lineRule="exact"/>
        <w:rPr>
          <w:sz w:val="20"/>
          <w:szCs w:val="20"/>
          <w:color w:val="auto"/>
        </w:rPr>
      </w:pPr>
    </w:p>
    <w:p>
      <w:pPr>
        <w:ind w:left="1220" w:hanging="564"/>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JCPenney announced plans to close their store at Green Acres Mall in 2020. The Company is actively releasing this site.</w:t>
      </w:r>
    </w:p>
    <w:p>
      <w:pPr>
        <w:spacing w:after="0" w:line="153" w:lineRule="exact"/>
        <w:rPr>
          <w:rFonts w:ascii="Arial" w:cs="Arial" w:eastAsia="Arial" w:hAnsi="Arial"/>
          <w:sz w:val="16"/>
          <w:szCs w:val="16"/>
          <w:color w:val="auto"/>
        </w:rPr>
      </w:pPr>
    </w:p>
    <w:p>
      <w:pPr>
        <w:ind w:left="1220" w:right="340" w:hanging="564"/>
        <w:spacing w:after="0" w:line="275"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Three of these five Sears stores are closing in early 2020. The Company continues to collect rent under the terms of the related leases. The Company is actively seeking replacement tenants for these Company-owned sites.</w:t>
      </w:r>
    </w:p>
    <w:p>
      <w:pPr>
        <w:spacing w:after="0" w:line="91" w:lineRule="exact"/>
        <w:rPr>
          <w:rFonts w:ascii="Arial" w:cs="Arial" w:eastAsia="Arial" w:hAnsi="Arial"/>
          <w:sz w:val="16"/>
          <w:szCs w:val="16"/>
          <w:color w:val="auto"/>
        </w:rPr>
      </w:pPr>
    </w:p>
    <w:p>
      <w:pPr>
        <w:ind w:left="1220" w:hanging="564"/>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Nordstrom has announced plans to open a 116,000 square foot store at Country Club Plaza in 2021.</w:t>
      </w:r>
    </w:p>
    <w:p>
      <w:pPr>
        <w:spacing w:after="0" w:line="153" w:lineRule="exact"/>
        <w:rPr>
          <w:rFonts w:ascii="Arial" w:cs="Arial" w:eastAsia="Arial" w:hAnsi="Arial"/>
          <w:sz w:val="16"/>
          <w:szCs w:val="16"/>
          <w:color w:val="auto"/>
        </w:rPr>
      </w:pPr>
    </w:p>
    <w:p>
      <w:pPr>
        <w:ind w:left="1220" w:right="240" w:hanging="564"/>
        <w:spacing w:after="0" w:line="275"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Forever 21 has announced plans to close two of these stores in early 2020 at Arrowhead Towne Center and Danbury Fair Mall. The Company is actively seeking replacement tenants for these Company-owned sites.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03" w:right="299" w:bottom="1440" w:gutter="0" w:footer="0" w:header="0"/>
        </w:sectPr>
      </w:pPr>
    </w:p>
    <w:bookmarkStart w:id="13" w:name="page14"/>
    <w:bookmarkEnd w:id="13"/>
    <w:p>
      <w:pPr>
        <w:ind w:left="1220" w:hanging="564"/>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Lord &amp; Taylor store closed at Tysons Corner Center in January 2020. The joint venture is actively evaluating redevelopment opportunities.</w:t>
      </w:r>
    </w:p>
    <w:p>
      <w:pPr>
        <w:spacing w:after="0" w:line="140" w:lineRule="exact"/>
        <w:rPr>
          <w:rFonts w:ascii="Arial" w:cs="Arial" w:eastAsia="Arial" w:hAnsi="Arial"/>
          <w:sz w:val="16"/>
          <w:szCs w:val="16"/>
          <w:color w:val="auto"/>
        </w:rPr>
      </w:pPr>
    </w:p>
    <w:p>
      <w:pPr>
        <w:ind w:left="1220" w:hanging="564"/>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Primark has announced plans to open a 47,000 square foot store at Fashion District Philadelphia in Spring 2021.</w:t>
      </w:r>
    </w:p>
    <w:p>
      <w:pPr>
        <w:spacing w:after="0" w:line="153" w:lineRule="exact"/>
        <w:rPr>
          <w:rFonts w:ascii="Arial" w:cs="Arial" w:eastAsia="Arial" w:hAnsi="Arial"/>
          <w:sz w:val="16"/>
          <w:szCs w:val="16"/>
          <w:color w:val="auto"/>
        </w:rPr>
      </w:pPr>
    </w:p>
    <w:p>
      <w:pPr>
        <w:ind w:left="1220" w:right="100" w:hanging="564"/>
        <w:spacing w:after="0" w:line="261"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is actively seeking replacement tenants or has entered into replacement leases for many of these vacant sites and/or is currently executing on or considering redevelopment opportunities for these locations. The Company continues to collect rent under the terms of an agreement regarding one of these vacant Anchors.</w:t>
      </w:r>
    </w:p>
    <w:p>
      <w:pPr>
        <w:spacing w:after="0" w:line="115" w:lineRule="exact"/>
        <w:rPr>
          <w:rFonts w:ascii="Arial" w:cs="Arial" w:eastAsia="Arial" w:hAnsi="Arial"/>
          <w:sz w:val="16"/>
          <w:szCs w:val="16"/>
          <w:color w:val="auto"/>
        </w:rPr>
      </w:pPr>
    </w:p>
    <w:p>
      <w:pPr>
        <w:ind w:left="1220" w:right="340" w:hanging="564"/>
        <w:spacing w:after="0" w:line="275"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owns an office building and six stores located at shopping centers not owned by the Company. Of these six stores, one has been leased to Kohl's, two are vacant and three have been leased for non-Anchor usage.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62" w:lineRule="exact"/>
        <w:rPr>
          <w:sz w:val="20"/>
          <w:szCs w:val="20"/>
          <w:color w:val="auto"/>
        </w:rPr>
      </w:pPr>
    </w:p>
    <w:p>
      <w:pPr>
        <w:ind w:right="240" w:firstLine="446"/>
        <w:spacing w:after="0" w:line="342" w:lineRule="auto"/>
        <w:rPr>
          <w:sz w:val="20"/>
          <w:szCs w:val="20"/>
          <w:color w:val="auto"/>
        </w:rPr>
      </w:pPr>
      <w:r>
        <w:rPr>
          <w:rFonts w:ascii="Arial" w:cs="Arial" w:eastAsia="Arial" w:hAnsi="Arial"/>
          <w:sz w:val="16"/>
          <w:szCs w:val="16"/>
          <w:color w:val="auto"/>
        </w:rPr>
        <w:t>Each of the Centers has been subjected to an Environmental Site Assessment—Phase I (which involves review of publicly available information and general property inspections, but does not involve soil sampling or ground water analysis) completed by an environmental consultant.</w:t>
      </w:r>
    </w:p>
    <w:p>
      <w:pPr>
        <w:spacing w:after="0" w:line="56" w:lineRule="exact"/>
        <w:rPr>
          <w:sz w:val="20"/>
          <w:szCs w:val="20"/>
          <w:color w:val="auto"/>
        </w:rPr>
      </w:pPr>
    </w:p>
    <w:p>
      <w:pPr>
        <w:ind w:right="420" w:firstLine="446"/>
        <w:spacing w:after="0" w:line="264" w:lineRule="auto"/>
        <w:rPr>
          <w:sz w:val="20"/>
          <w:szCs w:val="20"/>
          <w:color w:val="auto"/>
        </w:rPr>
      </w:pPr>
      <w:r>
        <w:rPr>
          <w:rFonts w:ascii="Arial" w:cs="Arial" w:eastAsia="Arial" w:hAnsi="Arial"/>
          <w:sz w:val="18"/>
          <w:szCs w:val="18"/>
          <w:color w:val="auto"/>
        </w:rPr>
        <w:t>Based on these assessments, and on other information, the Company is aware of the following environmental issues, which may result in potential environmental liability and cause the Company to incur costs in responding to these liabilities or in other costs associated with future investigation or remediation:</w:t>
      </w:r>
    </w:p>
    <w:p>
      <w:pPr>
        <w:spacing w:after="0" w:line="100" w:lineRule="exact"/>
        <w:rPr>
          <w:sz w:val="20"/>
          <w:szCs w:val="20"/>
          <w:color w:val="auto"/>
        </w:rPr>
      </w:pPr>
    </w:p>
    <w:p>
      <w:pPr>
        <w:ind w:left="1300" w:right="20" w:hanging="644"/>
        <w:spacing w:after="0" w:line="255"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The Company has conducted asbestos-containing materials ("ACM") surveys at various locations within the Centers.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surveys indicate that ACMs are present or suspected in certain areas, primarily vinyl floor tiles, mastics, roofing materials, drywall tape and joint compounds. The identified ACMs are generally non-friable, in good condition, and possess low probabilities for disturbance. At certain Centers where ACMs are present or suspected, however, some ACMs have been or may be classified as "friable," and ultimately may require removal under certain conditions. The Company has developed and implemented an operations and maintenance ("O&amp;M") plan to manage ACMs in place.</w:t>
      </w:r>
    </w:p>
    <w:p>
      <w:pPr>
        <w:spacing w:after="0" w:line="125" w:lineRule="exact"/>
        <w:rPr>
          <w:rFonts w:ascii="Arial" w:cs="Arial" w:eastAsia="Arial" w:hAnsi="Arial"/>
          <w:sz w:val="18"/>
          <w:szCs w:val="18"/>
          <w:color w:val="auto"/>
        </w:rPr>
      </w:pPr>
    </w:p>
    <w:p>
      <w:pPr>
        <w:ind w:left="1300" w:right="160" w:hanging="644"/>
        <w:spacing w:after="0" w:line="276" w:lineRule="auto"/>
        <w:tabs>
          <w:tab w:leader="none" w:pos="129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Underground Storage Tanks. </w:t>
      </w:r>
      <w:r>
        <w:rPr>
          <w:rFonts w:ascii="Arial" w:cs="Arial" w:eastAsia="Arial" w:hAnsi="Arial"/>
          <w:sz w:val="17"/>
          <w:szCs w:val="17"/>
          <w:color w:val="auto"/>
        </w:rPr>
        <w:t>Underground storage tanks ("USTs") are or were present at certain Centers, often in connection with tenant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at gasoline stations or automotive tire, battery and accessory service centers located at such Centers. USTs also may be or have been present at properties neighboring certain Centers. Some of these tanks have either leaked or are suspected to have leaked. Where leakage has occurred, investigation, remediation, and monitoring costs may be incurred by the Company if responsible current or former tenants, or other responsible parties, are unavailable to pay such costs.</w:t>
      </w:r>
    </w:p>
    <w:p>
      <w:pPr>
        <w:spacing w:after="0" w:line="105" w:lineRule="exact"/>
        <w:rPr>
          <w:rFonts w:ascii="Arial" w:cs="Arial" w:eastAsia="Arial" w:hAnsi="Arial"/>
          <w:sz w:val="17"/>
          <w:szCs w:val="17"/>
          <w:color w:val="auto"/>
        </w:rPr>
      </w:pPr>
    </w:p>
    <w:p>
      <w:pPr>
        <w:ind w:left="1300" w:right="40" w:hanging="644"/>
        <w:spacing w:after="0" w:line="259"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Chlorinated Hydrocarbons. </w:t>
      </w:r>
      <w:r>
        <w:rPr>
          <w:rFonts w:ascii="Arial" w:cs="Arial" w:eastAsia="Arial" w:hAnsi="Arial"/>
          <w:sz w:val="18"/>
          <w:szCs w:val="18"/>
          <w:color w:val="auto"/>
        </w:rPr>
        <w:t>The presence of chlorinated hydrocarbons such as perchloroethylene ("PCE") and its degradation byproducts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detected at certain Centers, often in connection with tenant dry cleaning operations. Where PCE has been detected, the Company may incur investigation, remediation and monitoring costs if responsible current or former tenants, or other responsible parties, are unavailable to pay such costs.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1A. Risk Factors—Possible environmental liabilities could adversely affect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of the Centers has comprehensive liability, fire, extended coverage and rental loss insurance with insured limits customarily carried for similar properties. The Company does not insure certain types of losses (such as losses from wars), because they are either uninsurable or not economically insurable. In addition, while the Company or the relevant joint venture, as applicable, carry specific earthquake insurance on the Centers located in California, the policies are subject to a deductible equal to 5% of the total insured value of each Center, a $100,000 per occurrence minimum and a combined annual aggregate loss limit of $100 million on these Centers. The Company or the relevant joint venture, as applicable, carry specific earthquake insurance on the Centers located in the Pacific Northwest and in the New Madrid Seismic Zone. However, the policies are subject to a deductible equal to 2% of the total insured value of each Center, a $50,000 per occurrence minimum and a combined annual aggregate loss limit of $100 million on these Centers. While the Company or the relevant joint venture also carries standalone terrorism insurance on the Centers, the policies are subject to a $25,000 deductible and a combined annual aggregate loss limit of $1.0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which has a $20 million ten-year aggregate loss limit. Some environmental losses are not covered by this insurance because they are uninsurable or not economically insurable. Furthermore, the Company carries title insurance on substantially all of the Centers for generally less than their full value.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Qualification as a Real Estate Investment Trust</w:t>
      </w:r>
    </w:p>
    <w:p>
      <w:pPr>
        <w:spacing w:after="0" w:line="148"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Material United States Federal Income Tax Considerations</w:t>
      </w:r>
    </w:p>
    <w:p>
      <w:pPr>
        <w:spacing w:after="0" w:line="162"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following discussion updates the disclosures under “Material United States Federal Income Tax Considerations” in the prospectus dated August 10, 2017 contained in the Company's Registration Statement on Form S-3 filed with the SEC on August 10, 2017, as previously updated by the disclosures under “Supplemental Material Federal Income Tax Considerations” in its Annual Report on Form 10-K for the year ended December 31, 2017 filed with the SEC on February 23, 2018 and its Annual Report on Form 10-K for the year ended December 31, 2018 filed with the SEC on February 25, 2019 (collectively, the “Base Disclosure”).</w:t>
      </w:r>
    </w:p>
    <w:p>
      <w:pPr>
        <w:spacing w:after="0" w:line="10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The Tax Cuts and Jobs Act (the "TCJA") repealed the rule, referenced under the heading “Taxable REIT Subsidiaries,” that limits a taxable REIT subsidiary’s ability to deduct interest payments made to the Company. The TCJA introduced a rule which may limit the deductibility of interest payments by the Company and its subsidiaries, including its Taxable REIT subsidiaries. However, certain tax elections may be available to a "real property trade or business" to have this rule not apply.</w:t>
      </w:r>
    </w:p>
    <w:p>
      <w:pPr>
        <w:spacing w:after="0" w:line="119"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Recently promulgated proposed regulations make certain changes to the discussion of “qualified foreign pension funds” appearing under the heading “Taxation of Non-U.S. Stockholders–Dispositions of Stock”. Under the proposed regulations, entities that are wholly owned, directly or indirectly, by one or more qualified foreign pension funds are exempt from FIRPTA in the same manner as described in the Base Disclosure for qualified foreign pension funds. The proposed regulations also do not require an entity to provide annual information reporting about its beneficiaries to relevant local tax authorities in order to qualify as a qualified foreign pension fund as long as such information is either available to the taxing authorities or is provided to another government agency. These proposed regulations have not been finalized, may never be finalized, and may be rescinded at any time, but taxpayers may rely on them while they are proposed, provided they apply them consistently and accurately.</w:t>
      </w:r>
    </w:p>
    <w:p>
      <w:pPr>
        <w:spacing w:after="0" w:line="110" w:lineRule="exact"/>
        <w:rPr>
          <w:sz w:val="20"/>
          <w:szCs w:val="20"/>
          <w:color w:val="auto"/>
        </w:rPr>
      </w:pPr>
    </w:p>
    <w:p>
      <w:pPr>
        <w:ind w:right="500" w:firstLine="446"/>
        <w:spacing w:after="0" w:line="264" w:lineRule="auto"/>
        <w:rPr>
          <w:sz w:val="20"/>
          <w:szCs w:val="20"/>
          <w:color w:val="auto"/>
        </w:rPr>
      </w:pPr>
      <w:r>
        <w:rPr>
          <w:rFonts w:ascii="Arial" w:cs="Arial" w:eastAsia="Arial" w:hAnsi="Arial"/>
          <w:sz w:val="18"/>
          <w:szCs w:val="18"/>
          <w:color w:val="auto"/>
        </w:rPr>
        <w:t>The TCJA introduced a rule which expanded the scope of the $1 million limitation on corporate tax deductions and repealed the exclusion for performance-based compensation (the "section 162(m) limitation"). Proposed regulations were issued in late 2019 which may cause the Company to be subject to the section 162(m) limitation.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As of December 31, 2019, the Company had approximately 737 employees, of which approximately 723 were full-time. The Company believes that relations with its employees are good.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ind w:right="140" w:firstLine="446"/>
        <w:spacing w:after="0" w:line="312" w:lineRule="auto"/>
        <w:rPr>
          <w:sz w:val="20"/>
          <w:szCs w:val="20"/>
          <w:color w:val="auto"/>
        </w:rPr>
      </w:pPr>
      <w:r>
        <w:rPr>
          <w:rFonts w:ascii="Arial" w:cs="Arial" w:eastAsia="Arial" w:hAnsi="Arial"/>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62" w:lineRule="exact"/>
        <w:rPr>
          <w:sz w:val="20"/>
          <w:szCs w:val="20"/>
          <w:color w:val="auto"/>
        </w:rPr>
      </w:pPr>
    </w:p>
    <w:p>
      <w:pPr>
        <w:jc w:val="both"/>
        <w:ind w:right="260" w:firstLine="446"/>
        <w:spacing w:after="0" w:line="264" w:lineRule="auto"/>
        <w:rPr>
          <w:sz w:val="20"/>
          <w:szCs w:val="20"/>
          <w:color w:val="auto"/>
        </w:rPr>
      </w:pPr>
      <w:r>
        <w:rPr>
          <w:rFonts w:ascii="Arial" w:cs="Arial" w:eastAsia="Arial" w:hAnsi="Arial"/>
          <w:sz w:val="18"/>
          <w:szCs w:val="18"/>
          <w:color w:val="auto"/>
        </w:rPr>
        <w:t xml:space="preserve">A recognized leader in sustainability, the Company has achieved the #1 Global Real Estate Sustainability Benchmark (GRESB) ranking in the North American Retail Sector for five straight years 2015 – 2019. Additional information about the Company’s Environmental, Social and Governance programs can be obtained from the Company's website at </w:t>
      </w:r>
      <w:r>
        <w:rPr>
          <w:rFonts w:ascii="Arial" w:cs="Arial" w:eastAsia="Arial" w:hAnsi="Arial"/>
          <w:sz w:val="18"/>
          <w:szCs w:val="18"/>
          <w:u w:val="single" w:color="auto"/>
          <w:color w:val="auto"/>
        </w:rPr>
        <w:t>w</w:t>
      </w:r>
      <w:r>
        <w:rPr>
          <w:rFonts w:ascii="Arial" w:cs="Arial" w:eastAsia="Arial" w:hAnsi="Arial"/>
          <w:sz w:val="18"/>
          <w:szCs w:val="18"/>
          <w:i w:val="1"/>
          <w:iCs w:val="1"/>
          <w:u w:val="single" w:color="auto"/>
          <w:color w:val="auto"/>
        </w:rPr>
        <w:t>ww.macerich.com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Available Information; Website Disclosure; Corporate Governance Documents</w:t>
      </w:r>
    </w:p>
    <w:p>
      <w:pPr>
        <w:spacing w:after="0" w:line="14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 xml:space="preserve">The Company's corporate website address is </w:t>
      </w:r>
      <w:r>
        <w:rPr>
          <w:rFonts w:ascii="Arial" w:cs="Arial" w:eastAsia="Arial" w:hAnsi="Arial"/>
          <w:sz w:val="18"/>
          <w:szCs w:val="18"/>
          <w:i w:val="1"/>
          <w:iCs w:val="1"/>
          <w:u w:val="single" w:color="auto"/>
          <w:color w:val="auto"/>
        </w:rPr>
        <w:t>www.macerich.com</w:t>
      </w:r>
      <w:r>
        <w:rPr>
          <w:rFonts w:ascii="Arial" w:cs="Arial" w:eastAsia="Arial" w:hAnsi="Arial"/>
          <w:sz w:val="18"/>
          <w:szCs w:val="18"/>
          <w:color w:val="auto"/>
        </w:rPr>
        <w:t xml:space="preserve">.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 Information provided on our website is not incorporated by reference into this Form 10-K. The following documents relating to Corporate Governance are available on the Company's website at </w:t>
      </w:r>
      <w:r>
        <w:rPr>
          <w:rFonts w:ascii="Arial" w:cs="Arial" w:eastAsia="Arial" w:hAnsi="Arial"/>
          <w:sz w:val="18"/>
          <w:szCs w:val="18"/>
          <w:i w:val="1"/>
          <w:iCs w:val="1"/>
          <w:u w:val="single" w:color="auto"/>
          <w:color w:val="auto"/>
        </w:rPr>
        <w:t>www.macerich.com</w:t>
      </w:r>
      <w:r>
        <w:rPr>
          <w:rFonts w:ascii="Arial" w:cs="Arial" w:eastAsia="Arial" w:hAnsi="Arial"/>
          <w:sz w:val="18"/>
          <w:szCs w:val="18"/>
          <w:color w:val="auto"/>
        </w:rPr>
        <w:t xml:space="preserve"> under "Investors—Corporate Governance":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Guidelines on Corporate Governance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of Business Conduct and Ethics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of Ethics for CEO and Senior Financial Officers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Audit Committee Charter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Compensation Committee Charter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Executive Committee Charter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Nominating and Corporate Governance Committee Charter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also request copies of any of these documents by writing to:</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Secretary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Macerich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401 Wilshire Blvd., Suite 700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Monica, CA 90401</w:t>
      </w:r>
    </w:p>
    <w:p>
      <w:pPr>
        <w:spacing w:after="0" w:line="38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The following factors could cause our actual results to differ materially from those contained in forward-looking statements made in this Annual Report on Form 10-K and presented elsewhere by our management from time to time. This list should not be considered to be a complete statement of all potential risks or uncertainties as it does not describe additional risks of which we are not presently aware or that we do not currently consider material. We may update our risk factors from time to time in our future periodic reports. Any of these factors may have a material adverse effect on our business, financial condition, operating results and cash flows. For purposes of this “Risk Factor” section, Centers wholly owned by us are referred to as “Wholly Owned Centers” and Centers that are partly but not wholly owned by us are referred to as “Joint Venture Centers.”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primarily in shopping centers, which are subject to a number of significant risks that are beyond our control.</w:t>
      </w:r>
    </w:p>
    <w:p>
      <w:pPr>
        <w:spacing w:after="0" w:line="18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may decrease the income generated by the Centers, including:</w:t>
      </w:r>
    </w:p>
    <w:p>
      <w:pPr>
        <w:spacing w:after="0" w:line="11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national economic climate;</w:t>
      </w:r>
    </w:p>
    <w:p>
      <w:pPr>
        <w:spacing w:after="0" w:line="157" w:lineRule="exact"/>
        <w:rPr>
          <w:rFonts w:ascii="Arial" w:cs="Arial" w:eastAsia="Arial" w:hAnsi="Arial"/>
          <w:sz w:val="18"/>
          <w:szCs w:val="18"/>
          <w:color w:val="auto"/>
        </w:rPr>
      </w:pPr>
    </w:p>
    <w:p>
      <w:pPr>
        <w:ind w:left="980" w:right="240" w:hanging="324"/>
        <w:spacing w:after="0" w:line="342" w:lineRule="auto"/>
        <w:tabs>
          <w:tab w:leader="none" w:pos="9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regional and local economy (which may be negatively impacted by rising unemployment, declining real estate values, increased foreclosures, higher taxes, plant closings, industry slowdowns, union activity, adverse weather conditions, natural disasters and other factors);</w:t>
      </w:r>
    </w:p>
    <w:p>
      <w:pPr>
        <w:spacing w:after="0" w:line="42" w:lineRule="exact"/>
        <w:rPr>
          <w:rFonts w:ascii="Arial" w:cs="Arial" w:eastAsia="Arial" w:hAnsi="Arial"/>
          <w:sz w:val="16"/>
          <w:szCs w:val="16"/>
          <w:color w:val="auto"/>
        </w:rPr>
      </w:pPr>
    </w:p>
    <w:p>
      <w:pPr>
        <w:ind w:left="980" w:right="6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10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levels of consumer spending, consumer confidence, and seasonal spending (especially during the holiday season when many retailers generate a disproportionate amount of their annual sales);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use by customers of e-commerce and online store sites and the impact of internet sales on the demand for retail space;</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perceptions by retailers or shoppers of the safety, convenience and attractiveness of a Center;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violence, including terrorist activities;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6" w:name="page17"/>
    <w:bookmarkEnd w:id="16"/>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of maintenance, insurance and operations (including real estate taxes).</w:t>
      </w:r>
    </w:p>
    <w:p>
      <w:pPr>
        <w:spacing w:after="0" w:line="158"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Income from shopping center properties and shopping center values are also affected by applicable laws and regulations, including tax, environmental, safety and zoning laws.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percentage of our Centers are geographically concentrated and, as a result, are sensitive to local economic and real estate conditions.</w:t>
      </w:r>
    </w:p>
    <w:p>
      <w:pPr>
        <w:spacing w:after="0" w:line="22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 significant percentage of our Centers are located in California and Arizona. Nine Centers in the aggregate are located in New York, New Jersey and Connecticut. To the extent that weak economic or real estate conditions or other factors affect California, Arizona, New York, New Jersey or Connecticut (or their respective regions) more severely than other areas of the country, our financial performance could be negatively impacted.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a competitive business.</w:t>
      </w:r>
    </w:p>
    <w:p>
      <w:pPr>
        <w:spacing w:after="0" w:line="19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Numerous owners, developers and managers of malls, shopping centers and other retail-oriented real estate compete with us for the acquisition of properties and in attracting tenants or Anchors to occupy space. There are a number of other publicly traded mall companies and several large private mall companies in the United States, any of which under certain circumstances could compete against us for an Anchor or a tenant. In addition, these companies, as well as other REITs, private real estate companies or investors compete with us in terms of property acquisitions. This results in competition both for the acquisition of properties or centers and for tenants or Anchors to occupy space. Competition for property acquisitions may result in increased purchase prices and may adversely affect our ability to make suitable property acquisitions on favorable terms or at all. The existence of competing shopping centers could have a material adverse impact on our ability to lease space and on the rental rates that can be achieved. There is also increasing competition for tenants and shoppers from other retail formats and technologies, such as lifestyle centers, power centers, outlet centers, e-commerce, home shopping networks, catalogs, telemarketing and discount shopping clubs that could adversely affect our revenues.</w:t>
      </w:r>
    </w:p>
    <w:p>
      <w:pPr>
        <w:spacing w:after="0" w:line="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be unable to renew leases, lease vacant space or re-let space as leases expire on favorable terms or at all, which could adversely affect our financial condition and results of operations.</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will expire, our financial condition and results of operations could be adversely affected.</w:t>
      </w:r>
    </w:p>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Anchors or other significant tenants experience a downturn in their business, close or sell stores or declare bankruptcy, our financial condition and results of operations could be adversely affected.</w:t>
      </w:r>
    </w:p>
    <w:p>
      <w:pPr>
        <w:spacing w:after="0" w:line="14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a number of companies in the retail industry, including some of our tenants, have declared bankruptcy, have gone out of business, have significantly reduced their brick-and-mortar presence or failed to comply with their contractual obligations to us and others. If one of our tenants files for bankruptcy, we may not be able to collect amounts owed by that party prior to filing for bankruptcy. We may make lease modifications either pre- or post-bankruptcy for certain tenants undergoing significant financial distress in order for them to continue as a going concern. In addition, after filing for bankruptcy, a tenant may terminate any or all of its leases with us, in which event we would have a general unsecured claim against such tenant that would likely be worth less than the full amount owed to us for the remainder of the lease term. Furthermore, we may be required to incur significant expense in re-letting the space vacated by a bankrupt tenant and may not be able to release the space on similar terms or at all. The bankruptcy of a tenant, particularly an Anchor, may require a substantial redevelopment of their space, the success of which cannot be assured, and may make the re-letting of their space difficult and costly, and it may also be difficult to lease the remainder of the space at the affected property.</w:t>
      </w:r>
    </w:p>
    <w:p>
      <w:pPr>
        <w:spacing w:after="0" w:line="9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On October 15, 2018, Sears filed for bankruptcy and announced additional store closings. At the time of the bankruptcy filing, we had 21 Sears stores in our portfolio totaling approximately 3.1 million square feet and accounting for less than 1% of the Company’s total leasing revenue. As of December 31, 2019, we recaptured ten Sears locations, including seven through our joint venture with Seritage Growth Properties ("Seritage"), through formal lease rejections and lease terminations. We anticipate aggregate redevelopment investments at several of these locations of $130.0 million to $160.0 million (at our pro rata share) over the next several years. New tenants are expected to open at several projects in 2020. In early 2020, Sears will be closing five additional locations, including three stores in which we have an ownership interest and two that are owned by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17" w:name="page18"/>
    <w:bookmarkEnd w:id="17"/>
    <w:p>
      <w:pPr>
        <w:ind w:right="20"/>
        <w:spacing w:after="0" w:line="257" w:lineRule="auto"/>
        <w:rPr>
          <w:sz w:val="20"/>
          <w:szCs w:val="20"/>
          <w:color w:val="auto"/>
        </w:rPr>
      </w:pPr>
      <w:r>
        <w:rPr>
          <w:rFonts w:ascii="Arial" w:cs="Arial" w:eastAsia="Arial" w:hAnsi="Arial"/>
          <w:sz w:val="18"/>
          <w:szCs w:val="18"/>
          <w:color w:val="auto"/>
        </w:rPr>
        <w:t>Seritage and not by us. Sears will continue to pay rent on these locations in which we have an ownership interest. We are actively seeking replacement tenants for these Company-owned sites. Although, in the short-term, the bankruptcy of an Anchor such as Sears may lead to lost base rent and the triggering of co-tenancy clauses, there is also the potential to create additional future value through the recapturing of space and releasing that space to new tenants at higher rents per square foot, which we have demonstrated through our joint venture with Seritage and the completed redevelopment of a former Sears store at Kings Plaza Shopping Center in July 2018.</w:t>
      </w:r>
    </w:p>
    <w:p>
      <w:pPr>
        <w:spacing w:after="0" w:line="12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September 29, 2019, Forever 21, Inc. filed for Chapter 11 bankruptcy. At the time of the bankruptcy filing, we had 29 Forever 21 stores in our portfolio totaling approximately 1.2 million square feet. As of December 31, 2019, Forever 21 stores represented 1.4% of our total minimum and percentage rental revenues. We are in ongoing discussions with Forever 21 regarding the status of these stores. Based on a court filing dated October 28, 2019, we expect that four of the Forever 21 stores will close, three of which are owned by us, and one of which is not owned by us. We anticipate that we may provide certain rent concessions in connection with a number of the remaining stores. We are actively seeking replacement tenants for these Company-owned sites.</w:t>
      </w:r>
    </w:p>
    <w:p>
      <w:pPr>
        <w:spacing w:after="0" w:line="7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12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Anchors and/or tenants at one or more Centers might also terminate their leases as a result of mergers, acquisitions, consolidations or dispositions in the retail industry. The sale of an Anchor or store to a less desirable retailer may reduce 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acquisition, development and redevelopment strategies may not be successful.</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 increased purchase prices and may impact adversely our ability to acquire additional properties on favorable terms. We cannot guarantee that we will be able to implement our growth strategy successfully or manage our expanded operations effectively and profitably.</w:t>
      </w:r>
    </w:p>
    <w:p>
      <w:pPr>
        <w:spacing w:after="0" w:line="9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may not be able to achieve the anticipated financial and operating results from newly acquired assets. Some of the factors that could affect anticipated results are:</w:t>
      </w:r>
    </w:p>
    <w:p>
      <w:pPr>
        <w:spacing w:after="0" w:line="8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and manage new properties, including increasing occupancy rates and rents at such properties;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disposal of non-core assets within an expected time frame;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long-term financing to implement a capital structure at a cost of capital consistent with our business strategy.</w:t>
      </w:r>
    </w:p>
    <w:p>
      <w:pPr>
        <w:spacing w:after="0" w:line="144"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business strategy also includes the selective development and construction of retail properties. On a selective basis, our business strategy may include mixed-use densification to maximize space at our Regional Shopping Centers, including by developing available land at our Regional Shopping Centers or by demolishing underperforming department store boxes and redeveloping the land. Any development, redevelopment and construction activities that we may undertake will be subject to the risks of real estate development, including lack of financing, construction delays, environmental requirements, budget overruns, sunk costs and lease-up. Furthermore, occupancy rates and rents at a newly completed property may not be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8" w:name="page19"/>
    <w:bookmarkEnd w:id="18"/>
    <w:p>
      <w:pPr>
        <w:ind w:right="120"/>
        <w:spacing w:after="0" w:line="302" w:lineRule="auto"/>
        <w:rPr>
          <w:sz w:val="20"/>
          <w:szCs w:val="20"/>
          <w:color w:val="auto"/>
        </w:rPr>
      </w:pPr>
      <w:r>
        <w:rPr>
          <w:rFonts w:ascii="Arial" w:cs="Arial" w:eastAsia="Arial" w:hAnsi="Arial"/>
          <w:sz w:val="16"/>
          <w:szCs w:val="16"/>
          <w:color w:val="auto"/>
        </w:rPr>
        <w:t>sufficient to make the property profitable. Real estate development activities are also subject to risks relating to the inability to obtain, or delays in obtaining, all necessary zoning, land-use, building, and occupancy and other required governmental permits and authorizations. Additionally, if we elect to pursue a "mixed-use" redevelopment, we expose ourselves to risks associated with each non-retail use (e.g., office, residential, hotel and entertainment). If any of the above events occur, our ability to pay dividends to our stockholders and service our indebtedness could be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space at our properties could materially and adversely affect us.</w:t>
      </w:r>
    </w:p>
    <w:p>
      <w:pPr>
        <w:spacing w:after="0" w:line="18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Certain of our properties have had excess space available for prospective tenants, and those properties may continue to experience, and other properties may commence experiencing, such oversupply in the future. Among other causes, (1) there has been an increased number of bankruptcies of Anchors and other national retailers, as well as store closures, and (2) there has been lower demand from retail tenants for space, due to certain retailers increasing their use of e-commerce websites to distribute their merchandise. As a result of the increased bargaining power of creditworthy retail tenants, there is a downward pressure on our rental rates and occupancy levels, and this increased bargaining power may also result in us having to increase our spend on tenant improvements and potentially make other lease modifications, any of which, in the aggregate, could materially and adversely affect us.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investments are relatively illiquid and we may be unable to sell properties at the time we desire and on favorable terms.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Investments in real estate are relatively illiquid, which limits our ability to adjust our portfolio in response to changes in economic, market or other conditions.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assets may be subject to impairment charges.</w:t>
      </w:r>
    </w:p>
    <w:p>
      <w:pPr>
        <w:spacing w:after="0" w:line="18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periodically assess whether there are any indicators, including property operating performance, changes in anticipated holding period and general market conditions, that the value of our real estate assets and other investments may be impaired. A property’s value is considered to be impaired only if the estimated aggregate future undiscounted and unleveraged property cash flows, taking into account the anticipated probability weighted average holding period, are less than the carrying value of the property. In our estimate of cash flows, we consider trends and prospects for a property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There can be no assurance that we will not take additional charges in the future related to the impairment of our assets. Any future impairment could have a material adverse effect on our operating results in the period in which the charge is recognized.</w:t>
      </w:r>
    </w:p>
    <w:p>
      <w:pPr>
        <w:spacing w:after="0" w:line="1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attract and retain talented employees, and the loss of any one of our key personnel could adversely impact our business.</w:t>
      </w:r>
    </w:p>
    <w:p>
      <w:pPr>
        <w:spacing w:after="0" w:line="13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environmental liabilities could adversely affect us.</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9" w:name="page20"/>
    <w:bookmarkEnd w:id="19"/>
    <w:p>
      <w:pPr>
        <w:ind w:right="600"/>
        <w:spacing w:after="0" w:line="277" w:lineRule="auto"/>
        <w:rPr>
          <w:sz w:val="20"/>
          <w:szCs w:val="20"/>
          <w:color w:val="auto"/>
        </w:rPr>
      </w:pPr>
      <w:r>
        <w:rPr>
          <w:rFonts w:ascii="Arial" w:cs="Arial" w:eastAsia="Arial" w:hAnsi="Arial"/>
          <w:sz w:val="18"/>
          <w:szCs w:val="18"/>
          <w:color w:val="auto"/>
        </w:rPr>
        <w:t>properly, may adversely affect the owner's or operator's ability to sell or rent affected real property or to borrow money using affected real property as collateral.</w:t>
      </w:r>
    </w:p>
    <w:p>
      <w:pPr>
        <w:spacing w:after="0" w:line="10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Laws exist that impose liability for release of asbestos containing materials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properties are subject to potential natural or other disasters.</w:t>
      </w:r>
    </w:p>
    <w:p>
      <w:pPr>
        <w:spacing w:after="0" w:line="19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Some of our Centers are located in areas that are subject to natural disasters, including our Centers in California or in other areas with higher risk of earthquakes, our Centers in flood plains or in areas that may be adversely affected by tornadoes, 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losses could adversely affect our financial condition.</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In addition, while we or the relevant joint venture, as applicable, carry specific earthquake insurance on the Centers located in California, the policies are subject to a deductible equal to 5% of the total insured value of each Center, a $100,000 per occurrence minimum and a combined annual aggregate loss limit of</w:t>
      </w:r>
    </w:p>
    <w:p>
      <w:pPr>
        <w:spacing w:after="0" w:line="2"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$100 million on these Centers. We or the relevant joint venture, as applicable, carry specific earthquake insurance on the Centers located in the Pacific Northwest and in the New Madrid Seismic Zone. However, the policies are subject to a deductible equal to 2% of the total insured value of each Center, a $50,000 per occurrence minimum and a combined annual aggregate loss limit of $100 million on these Centers. While we or the relevant joint venture also carries standalone terrorism insurance on the Centers, the policies are subject to a $25,000 deductible and a combined annual aggregate loss limit of</w:t>
      </w:r>
    </w:p>
    <w:p>
      <w:pPr>
        <w:spacing w:after="0" w:line="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$1.0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has a $20 million ten-year aggregate loss limit. Some environmental losses are not covered by this insurance because they are uninsurable or not economically insurable. Furthermore, we carry title insurance on substantially all of the Centers for generally less than their full value.</w:t>
      </w:r>
    </w:p>
    <w:p>
      <w:pPr>
        <w:spacing w:after="0" w:line="8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face risks associated with and have been the target of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 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and, in some cases, may be critical to the operations of certain of our tenants.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properly monitor our compliance with the rules and regulations regarding our qualification as a REIT; result in the unauthorized access to, and destruction, loss, theft, misappropriation or release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20" w:name="page21"/>
    <w:bookmarkEnd w:id="20"/>
    <w:p>
      <w:pPr>
        <w:ind w:right="140"/>
        <w:spacing w:after="0" w:line="297" w:lineRule="auto"/>
        <w:rPr>
          <w:sz w:val="20"/>
          <w:szCs w:val="20"/>
          <w:color w:val="auto"/>
        </w:rPr>
      </w:pPr>
      <w:r>
        <w:rPr>
          <w:rFonts w:ascii="Arial" w:cs="Arial" w:eastAsia="Arial" w:hAnsi="Arial"/>
          <w:sz w:val="16"/>
          <w:szCs w:val="16"/>
          <w:color w:val="auto"/>
        </w:rPr>
        <w:t>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Anchors and tenants, including unauthorized access to customers’ credit card data and other confidential information, could diminish consumer confidence and consumer spending and negatively impact our business.</w:t>
      </w:r>
    </w:p>
    <w:p>
      <w:pPr>
        <w:spacing w:after="0" w:line="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Compliance with the Americans with Disabilities Act and fire, safety and other regulations may require us to make expenditures that adversely affect our cash flows.</w:t>
      </w:r>
    </w:p>
    <w:p>
      <w:pPr>
        <w:spacing w:after="0" w:line="13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All of the properties in our portfolio are required to comply with the Americans with Disabilities Act (“ADA”). The ADA has separate compliance requirements for “public accommodations” and “commercial facilities,” but generally requires that buildings be made accessible to people with disabilities. Compliance with the ADA requirements could require removal of access barriers, and non-compliance could result in the imposition of fines by the United States government or an award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the properties in our portfolio and we may not be able to pass on to our tenants any costs necessary to remediate any common area ADA issues. As a result, we could be required to expend funds to comply with the provisions of the ADA, which could adversely affect our financial condition and operating results.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The resulting expenditures and restrictions could have a material adverse effect on our ability to meet our financial obligations.</w:t>
      </w:r>
    </w:p>
    <w:p>
      <w:pPr>
        <w:spacing w:after="0" w:line="1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Possible terrorist activity or other acts or threats of violence and threats to public safety could adversely affect our financial condition and results of operations.</w:t>
      </w:r>
    </w:p>
    <w:p>
      <w:pPr>
        <w:spacing w:after="0" w:line="130"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Terrorist attacks and threats of terrorist attacks in the United States or other acts or threats of violence may result in declining economic activity, which could harm the demand for goods and services offered by our tenants and the value of our properties and might adversely affect the value of an investment in our securities. Such a resulting decrease in retail demand could make it difficult for us to renew or re-lease our properties.</w:t>
      </w:r>
    </w:p>
    <w:p>
      <w:pPr>
        <w:spacing w:after="0" w:line="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Terrorist activities or violence also could directly affect the value of our properties through damage, destruction or loss, and the availability of insurance for such acts, or of insurance generally, might be reduced or cost more, which could increase our operating expenses and adversely affect our financial condition and results of operations. To the extent that our tenants are affected by such attacks and threats of attacks, their businesses similarly could be adversely affected, including their ability to continue to meet obligations under their existing leases. These acts and threats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adversely affect our financial condition and results of operations.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inflation increases in the future, we may experience any or all of the following:</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replacing or renewing expiring leases with new leases at higher rents;</w:t>
      </w:r>
    </w:p>
    <w:p>
      <w:pPr>
        <w:spacing w:after="0" w:line="144"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Decreasing tenant sales as a result of decreased consumer spending which could adversely affect the ability of our tenants to meet their rent obligations and/or result in lower percentage rents; and</w:t>
      </w:r>
    </w:p>
    <w:p>
      <w:pPr>
        <w:spacing w:after="0" w:line="10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receive reimbursement from our tenants for their share of certain operating expenses, including common area maintenance, real estate taxes and insurance.</w:t>
      </w:r>
    </w:p>
    <w:p>
      <w:pPr>
        <w:spacing w:after="0" w:line="10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Inflation also poses a risk to us due to the possibility of future increases in interest rates. Such increases would adversely impact us due to our outstanding floating-rate debt as well as result in higher interest rates on new fixed-rate debt. 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increasing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1" w:name="page22"/>
    <w:bookmarkEnd w:id="21"/>
    <w:p>
      <w:pPr>
        <w:ind w:right="420"/>
        <w:spacing w:after="0" w:line="277" w:lineRule="auto"/>
        <w:rPr>
          <w:sz w:val="20"/>
          <w:szCs w:val="20"/>
          <w:color w:val="auto"/>
        </w:rPr>
      </w:pPr>
      <w:r>
        <w:rPr>
          <w:rFonts w:ascii="Arial" w:cs="Arial" w:eastAsia="Arial" w:hAnsi="Arial"/>
          <w:sz w:val="18"/>
          <w:szCs w:val="18"/>
          <w:color w:val="auto"/>
        </w:rPr>
        <w:t>interest rate environment the fixed rates we can obtain with such replacement fixed-rate cap and swap agreements or the fixed-rate on new debt will also continue to increase.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debt that could affect our future operations.</w:t>
      </w:r>
    </w:p>
    <w:p>
      <w:pPr>
        <w:spacing w:after="0" w:line="18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total outstanding loan indebtedness at December 31, 2019 was $8.1 billion (consisting of $5.2 billion of consolidated debt, less $359.1 million attributable to noncontrolling interests, plus $3.2 billion of our pro rata share of mortgages and other notes payable on unconsolidated joint ventures). As a result of this substantial indebtedness, we are required to use a material portion of our cash flow to service principal and interest on our debt, which limits the amount of cash available for other business opportunities. We are also subject to the risks normally associated with debt financing, including the risk that our cash flow from operations will be insufficient to meet required debt service and that rising interest rates could adversely affect our debt service costs. In addition, our use of interest rate hedging arrangements may expose us to additional risks, including that the counterparty to the arrangement may fail to honor its obligations and that termination of these arrangements typically involves costs such as transaction fees or breakage costs. There can be no assurance that our hedging activities will have the desired impact on our results of operations, liquidity or financial condition. Furthermore, most of our Centers are mortgaged to secure payment of indebtedness, and if income from the Center is insufficient to pay that indebtedness, the Center could be foreclosed upon by the mortgagee resulting in a loss of income and a decline in our total asset value. Certain Centers also have debt that could become recourse debt to us if the Center is unable to discharge such debt obligation and, in certain circumstances, we may incur liability with respect to such debt greater than our legal ownership.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obligated to comply with financial and other covenants that could affect our operating activities.</w:t>
      </w:r>
    </w:p>
    <w:p>
      <w:pPr>
        <w:spacing w:after="0" w:line="18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which, if not cured or waived, could accelerate some or all of such indebtedness which could have a material adverse effect on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external financings for our growth and ongoing debt service requirements.</w:t>
      </w:r>
    </w:p>
    <w:p>
      <w:pPr>
        <w:spacing w:after="0" w:line="18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8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There are no assurances that we will continue to be able to obtain the financing we need for future growth or to meet our debt service as obligations mature, or that the financing will be available to us on acceptable terms, or at all. Any debt refinancing could also impose more restrictive terms.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potential discontinuation of LIBOR.</w:t>
      </w:r>
    </w:p>
    <w:p>
      <w:pPr>
        <w:spacing w:after="0" w:line="19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July 2017, the Financial Conduct Authority (the “FCA”) announced it intends to stop compelling banks to submit rates for the calculation of LIBOR after 2021. As a result, the Federal Reserve Board and the Federal Reserve Bank of New York organized the Alternative Reference Rates Committee which identified the Secured Overnight Financing Rate (“SOFR”) as its preferred alternative to USD-LIBOR. We are not able to predict when LIBOR will cease to be published or precisely how SOFR will be calculated and published.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spacing w:after="0" w:line="1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contracts that are indexed to LIBOR and are monitoring and evaluating the related risks, which include interest amounts on our variable rate debt, the variable rate debt of our joint ventures and the swap rate for our interest rate swaps. In the event that LIBOR is discontinued, the interest rates will be based on an alternative variable rate specified in the applicable documentation governing such debt or swaps or as otherwise agreed upon. Such an event would not affect our ability to borrow or maintain already outstanding borrowings or swaps, but the alternative variable rate could be higher and more volatile than LIBOR prior to its discontinuance.</w:t>
      </w:r>
    </w:p>
    <w:p>
      <w:pPr>
        <w:spacing w:after="0" w:line="12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Certain risks arise in connection with transitioning contracts to an alternative variable rate, including any resulting value transfer that may occur. The value of loans, securities, or derivative instruments tied to LIBOR could also be impacted if LIBOR is limited or discontinued. For some instruments, the method of transitioning to an alternative rate may be challenging, as they may require substantial negotiation with each respective counterparty.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2" w:name="page23"/>
    <w:bookmarkEnd w:id="22"/>
    <w:p>
      <w:pPr>
        <w:ind w:right="460" w:firstLine="648"/>
        <w:spacing w:after="0" w:line="264" w:lineRule="auto"/>
        <w:rPr>
          <w:sz w:val="20"/>
          <w:szCs w:val="20"/>
          <w:color w:val="auto"/>
        </w:rPr>
      </w:pPr>
      <w:r>
        <w:rPr>
          <w:rFonts w:ascii="Arial" w:cs="Arial" w:eastAsia="Arial" w:hAnsi="Arial"/>
          <w:sz w:val="18"/>
          <w:szCs w:val="18"/>
          <w:color w:val="auto"/>
        </w:rPr>
        <w:t>If a contract is not transitioned to an alternative variable rate and LIBOR is discontinued, the impact is likely to vary by contract. If LIBOR is discontinued or if the method of calculating LIBOR changes from its current form, interest rates on our current or future indebtedness may be adversely affected.</w:t>
      </w:r>
    </w:p>
    <w:p>
      <w:pPr>
        <w:spacing w:after="0" w:line="11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While we expect LIBOR to be available in substantially its current form until the end of 2021, it is possible that LIBOR will become unavailable prior to that point. This could result, for example, if sufficient banks decline to make submissions to the LIBOR administrator. In that case, the risks associated with the transition to an alternative variable rate will be accelerated and magnified.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ORGANIZATIONAL STRUCTURE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individuals have substantial influence over the management of both us and the Operating Partnership, which may create conflicts of interest.</w:t>
      </w:r>
    </w:p>
    <w:p>
      <w:pPr>
        <w:spacing w:after="0" w:line="20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Under the limited partnership agreement of the Operating Partnership, we, as the sole general partner, are responsible for the management of the Operating Partnership's business and affairs. 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Our duties and obligations as the general partner of our Operating Partnership may come into conflict with the duties of our directors and officers to our Company and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partners in Joint Venture Centers result in additional risks to our stockholders.</w:t>
      </w:r>
    </w:p>
    <w:p>
      <w:pPr>
        <w:spacing w:after="0" w:line="1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own partial interests in property partnerships that own 23 Joint Venture Centers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1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lose our management and other rights relating to the Joint Venture Centers if:</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fail to contribute our share of additional capital needed by the property partnerships; or</w:t>
      </w:r>
    </w:p>
    <w:p>
      <w:pPr>
        <w:spacing w:after="0" w:line="14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default under a partnership agreement for a property partnership or other agreements relating to the property partnerships or the Joint Venture Centers.</w:t>
      </w:r>
    </w:p>
    <w:p>
      <w:pPr>
        <w:spacing w:after="0" w:line="10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Furthermore, the bankruptcy of one of the other investors in our Joint Venture Centers could materially and adversely affect the respective property or properties. Pursuant to the bankruptcy code, we could be precluded from taking some actions affecting the estate of the other investor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other investors might result in our ultimate liability for a greater portion of those obligations than would otherwise be required.</w:t>
      </w:r>
    </w:p>
    <w:p>
      <w:pPr>
        <w:spacing w:after="0" w:line="126"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Our holding company structure makes us dependent on distributions from the Operating Partnership.</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ownership limit and certain of our Charter and bylaw provisions could inhibit a change of control or reduce the value of our common stock.</w:t>
      </w:r>
    </w:p>
    <w:p>
      <w:pPr>
        <w:spacing w:after="0" w:line="20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 Ownership L</w:t>
      </w:r>
      <w:r>
        <w:rPr>
          <w:rFonts w:ascii="Arial" w:cs="Arial" w:eastAsia="Arial" w:hAnsi="Arial"/>
          <w:sz w:val="16"/>
          <w:szCs w:val="16"/>
          <w:b w:val="1"/>
          <w:bCs w:val="1"/>
          <w:i w:val="1"/>
          <w:iCs w:val="1"/>
          <w:color w:val="auto"/>
        </w:rPr>
        <w:t>i</w:t>
      </w:r>
      <w:r>
        <w:rPr>
          <w:rFonts w:ascii="Arial" w:cs="Arial" w:eastAsia="Arial" w:hAnsi="Arial"/>
          <w:sz w:val="16"/>
          <w:szCs w:val="16"/>
          <w:i w:val="1"/>
          <w:iCs w:val="1"/>
          <w:color w:val="auto"/>
        </w:rPr>
        <w:t xml:space="preserve">mit. </w:t>
      </w:r>
      <w:r>
        <w:rPr>
          <w:rFonts w:ascii="Arial" w:cs="Arial" w:eastAsia="Arial" w:hAnsi="Arial"/>
          <w:sz w:val="16"/>
          <w:szCs w:val="16"/>
          <w:color w:val="auto"/>
        </w:rPr>
        <w:t>In order for us to maintain our qualification as a REIT, not more than 50% in value of our outstanding stock (after taking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certain options to acquire stock) may be owned, directly or indirectly or through the application of certain attribution rules, by five or fewer individuals (as defined in the Internal Revenue Code of 1986, as amended, (the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97" w:lineRule="exact"/>
        <w:rPr>
          <w:sz w:val="20"/>
          <w:szCs w:val="20"/>
          <w:color w:val="auto"/>
        </w:rPr>
      </w:pPr>
    </w:p>
    <w:p>
      <w:pPr>
        <w:ind w:left="980" w:right="1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89"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7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Selected Provisions of our Charter and bylaws. </w:t>
      </w:r>
      <w:r>
        <w:rPr>
          <w:rFonts w:ascii="Arial" w:cs="Arial" w:eastAsia="Arial" w:hAnsi="Arial"/>
          <w:sz w:val="18"/>
          <w:szCs w:val="18"/>
          <w:color w:val="auto"/>
        </w:rPr>
        <w:t>Some of the provisions of our Charter and bylaws may have the effect of delaying, deferring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10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directors and stockholder proposals to be considered at stockholder meetings;</w:t>
      </w:r>
    </w:p>
    <w:p>
      <w:pPr>
        <w:spacing w:after="0" w:line="169" w:lineRule="exact"/>
        <w:rPr>
          <w:rFonts w:ascii="Arial" w:cs="Arial" w:eastAsia="Arial" w:hAnsi="Arial"/>
          <w:sz w:val="17"/>
          <w:szCs w:val="17"/>
          <w:color w:val="auto"/>
        </w:rPr>
      </w:pPr>
    </w:p>
    <w:p>
      <w:pPr>
        <w:ind w:left="980" w:right="6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obligation of our directors to consider a variety of factors with respect to a proposed business combination or other change of control transaction;</w:t>
      </w:r>
    </w:p>
    <w:p>
      <w:pPr>
        <w:spacing w:after="0" w:line="10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authority of our directors to classify or reclassify unissued shares and cause the Company to issue shares of one or more classes or series of common stock or preferred stock;</w:t>
      </w:r>
    </w:p>
    <w:p>
      <w:pPr>
        <w:spacing w:after="0" w:line="89"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authority of our directors to create and cause the Company to issue rights entitling the holders thereof to purchase shares of stock or other securities from us;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the amendment of our Charter, the change in control of us, and the liability of our directors and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could inhibit a change in control or reduce the value of our common stock.</w:t>
      </w:r>
    </w:p>
    <w:p>
      <w:pPr>
        <w:spacing w:after="0" w:line="18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Certain provisions of the Maryland General Corporation Law (the “MGCL”) may have the effect 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including: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4" w:name="page25"/>
    <w:bookmarkEnd w:id="24"/>
    <w:p>
      <w:pPr>
        <w:ind w:left="980" w:right="160" w:hanging="324"/>
        <w:spacing w:after="0" w:line="255"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our then outstanding stock) or an affiliate of an interested stockholder for five years after the most recent date on which the stockholder becomes an interested stockholder, and thereafter may impose special appraisal rights and special stockholder voting requirements on these combinations; and</w:t>
      </w:r>
    </w:p>
    <w:p>
      <w:pPr>
        <w:spacing w:after="0" w:line="125" w:lineRule="exact"/>
        <w:rPr>
          <w:rFonts w:ascii="Arial" w:cs="Arial" w:eastAsia="Arial" w:hAnsi="Arial"/>
          <w:sz w:val="18"/>
          <w:szCs w:val="18"/>
          <w:color w:val="auto"/>
        </w:rPr>
      </w:pPr>
    </w:p>
    <w:p>
      <w:pPr>
        <w:ind w:left="980" w:right="40" w:hanging="324"/>
        <w:spacing w:after="0" w:line="25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 Share” provisions that provide that holders of “control shares” of our Company (defined as shares which, when aggregated with other shares controlled by the stockholder, entitle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our stockholders by the affirmative vote of at least two-thirds of all the votes entitled to be cast on the matter, excluding all interested shares.</w:t>
      </w:r>
    </w:p>
    <w:p>
      <w:pPr>
        <w:spacing w:after="0" w:line="10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permitted by the MGCL, our Charter exempts from the “business combination” provisions any business combination between us and the principals and their respective affiliates and related persons. The MGCL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0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Additionally, pursuant to a provision in our bylaws, we have opted out of the “control share” acquisition provisions of the MGCL. However, in the future, we may, without the approval of our stockholders, by amendment to our bylaws, opt in to the control share provisions of the MGCL. The MGCL and our Charter also contain supermajority voting requirements with respect to our ability to amend certain provisions of our Charter, merge, or sell all or substantially all of our assets.</w:t>
      </w:r>
    </w:p>
    <w:p>
      <w:pPr>
        <w:spacing w:after="0" w:line="1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Furthermore, our board of directors has adopted a resolution prohibiting us from electing to be subject to the provisions of Title 3, Subtitle 8 of the MGCL that would, among other things, permit our board of directors to classify the board without stockholder approval. Such provisions of Title 3, Subtitle 8 of the MGCL could have an anti-takeover effect. We may only elect to be subject to the classified board provisions of Title 3, Subtitle 8 after first obtaining the approval of our stockholders.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consequences of the sale of some of the Centers and certain holdings of the principals may create conflicts of interest.</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principals will experience negative tax consequences if some of the Centers are sold. As a result, the principals may not favor a sale of these Centers even though such a sale may benefit our other stockholders. In addition, the principals may have different interests than our stockholders because they are significant holders of limited partnership units in the Operating Partnership.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fail to qualify as a REIT, we would have reduced funds available for distributions to our stockholders.</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we currently qualify as a REIT. No assurance can be given that we will remain qualified as a REIT. Qualification as a REIT involves the application of highly technical and complex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12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 any taxable year we were to fail to qualify as a REIT, we will suffer the following negative results:</w:t>
      </w:r>
    </w:p>
    <w:p>
      <w:pPr>
        <w:spacing w:after="0" w:line="15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not be allowed a deduction for distributions to stockholders in computing our taxable income;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subject to U.S. federal and state income tax on our taxable income at regular corporate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5" w:name="page26"/>
    <w:bookmarkEnd w:id="25"/>
    <w:p>
      <w:pPr>
        <w:ind w:right="100" w:firstLine="648"/>
        <w:spacing w:after="0" w:line="255" w:lineRule="auto"/>
        <w:rPr>
          <w:sz w:val="20"/>
          <w:szCs w:val="20"/>
          <w:color w:val="auto"/>
        </w:rPr>
      </w:pPr>
      <w:r>
        <w:rPr>
          <w:rFonts w:ascii="Arial" w:cs="Arial" w:eastAsia="Arial" w:hAnsi="Arial"/>
          <w:sz w:val="18"/>
          <w:szCs w:val="18"/>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12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might cause us to forego otherwise attractive opportunities.</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10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the REIT provisions of the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borrow or take other measures to make distributions to our stockholders.</w:t>
      </w:r>
    </w:p>
    <w:p>
      <w:pPr>
        <w:spacing w:after="0" w:line="18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in connection with Section 1031 Exchanges.</w:t>
      </w:r>
    </w:p>
    <w:p>
      <w:pPr>
        <w:spacing w:after="0" w:line="18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If a transaction intended to qualify as a Section 1031 Exchange is later determined to be taxable, we may face adverse consequences, and if the laws applicable to such transactions are amended or repealed, we may not be able to dispose of properties on a tax deferred basis. Section 1031 Exchanges now only apply to real property and do not apply to any related personal property transferred with the real property. As a result, any appreciated personal property that is transferred in connection with a Section 1031 Exchange of real property will cause gain to be recognized, and such gain is generally treated as non-qualifying income for the 95% and 75% gross income tests. Any such non-qualifying income could have an adverse effect on our REIT status.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Operating Partnership fails to maintain its status as a partnership for tax purposes, we would face adverse tax consequences.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6" w:name="page27"/>
    <w:bookmarkEnd w:id="26"/>
    <w:p>
      <w:pPr>
        <w:ind w:right="560"/>
        <w:spacing w:after="0" w:line="277" w:lineRule="auto"/>
        <w:rPr>
          <w:sz w:val="20"/>
          <w:szCs w:val="20"/>
          <w:color w:val="auto"/>
        </w:rPr>
      </w:pPr>
      <w:r>
        <w:rPr>
          <w:rFonts w:ascii="Arial" w:cs="Arial" w:eastAsia="Arial" w:hAnsi="Arial"/>
          <w:sz w:val="18"/>
          <w:szCs w:val="18"/>
          <w:color w:val="auto"/>
        </w:rPr>
        <w:t>purposes, it would be subject to taxation as a corporation, thereby reducing distributions to the Operating Partnership. Such a recharacterization of an underlying entity could also threaten our ability to maintain REIT status.</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TCJA substantially modified the taxation of REITs and their shareholders, and the effects of such legislation and related regulatory action are uncertain.</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TCJA makes major changes to the Code, including a number of provisions of the Code that affect the taxation of REITs and their 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and, for taxable years beginning after December 31, 2017 and before January 1, 2026, providing for preferential rates of taxation through a deduction of up to 20% (subject to certain limitations) on most ordinary REIT dividends and certain trade or business income of non-corporate taxpayers. The TCJA also imposes new limitations on the deduction of net operating losses and requires us to recognize income for tax purposes no later than when we take it into account on our financial statements, which may result in us having to make additional taxable distributions to our stockholders in order to comply with REIT distribution requirements or avoid taxes on retained income and gains. The effect of the significant changes made by the TCJA is highly uncertain, and administrative guidance will be required in order to fully evaluate the effect of many provisions. The effect of any technical corrections with respect to the TCJA could have an adverse effect on us or our stockholders. Investors should consult their tax advisors regarding the implications of the TCJA on their investment in our capital stock.</w:t>
      </w:r>
    </w:p>
    <w:p>
      <w:pPr>
        <w:spacing w:after="0" w:line="1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 Any such changes could have an adverse effect on an investment in our stock or on the market value or the resale potential of our properties.</w:t>
      </w:r>
    </w:p>
    <w:p>
      <w:pPr>
        <w:spacing w:after="0" w:line="10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854" w:right="339" w:bottom="1440" w:gutter="0" w:footer="0" w:header="0"/>
        </w:sectPr>
      </w:pPr>
    </w:p>
    <w:bookmarkStart w:id="27" w:name="page28"/>
    <w:bookmarkEnd w:id="27"/>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certain information regarding the Centers and other locations that are wholly owned or partly owned by the Company as of 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Year of</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Year of Most</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left="79"/>
              <w:spacing w:after="0"/>
              <w:rPr>
                <w:sz w:val="20"/>
                <w:szCs w:val="20"/>
                <w:color w:val="auto"/>
              </w:rPr>
            </w:pPr>
            <w:r>
              <w:rPr>
                <w:rFonts w:ascii="Arial" w:cs="Arial" w:eastAsia="Arial" w:hAnsi="Arial"/>
                <w:sz w:val="11"/>
                <w:szCs w:val="11"/>
                <w:b w:val="1"/>
                <w:bCs w:val="1"/>
                <w:color w:val="auto"/>
                <w:w w:val="87"/>
              </w:rPr>
              <w:t>Percentage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Original</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Recent</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5"/>
              </w:rPr>
              <w:t>Mall and</w:t>
            </w: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of Mall and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1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Company's</w:t>
            </w:r>
          </w:p>
        </w:tc>
        <w:tc>
          <w:tcPr>
            <w:tcW w:w="1600" w:type="dxa"/>
            <w:vAlign w:val="bottom"/>
            <w:gridSpan w:val="2"/>
          </w:tcPr>
          <w:p>
            <w:pPr>
              <w:ind w:left="560"/>
              <w:spacing w:after="0" w:line="122" w:lineRule="exact"/>
              <w:rPr>
                <w:sz w:val="20"/>
                <w:szCs w:val="20"/>
                <w:color w:val="auto"/>
              </w:rPr>
            </w:pPr>
            <w:r>
              <w:rPr>
                <w:rFonts w:ascii="Arial" w:cs="Arial" w:eastAsia="Arial" w:hAnsi="Arial"/>
                <w:sz w:val="11"/>
                <w:szCs w:val="11"/>
                <w:b w:val="1"/>
                <w:bCs w:val="1"/>
                <w:color w:val="auto"/>
              </w:rPr>
              <w:t>Name of</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Construction/</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Expansion/</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Total</w:t>
            </w:r>
          </w:p>
        </w:tc>
        <w:tc>
          <w:tcPr>
            <w:tcW w:w="11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780" w:type="dxa"/>
            <w:vAlign w:val="bottom"/>
          </w:tcPr>
          <w:p>
            <w:pPr>
              <w:jc w:val="center"/>
              <w:ind w:left="79"/>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Non-Owned</w:t>
            </w:r>
          </w:p>
        </w:tc>
        <w:tc>
          <w:tcPr>
            <w:tcW w:w="1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Company-Owned Anchors</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Count</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Ownership(1)</w:t>
            </w:r>
          </w:p>
        </w:tc>
        <w:tc>
          <w:tcPr>
            <w:tcW w:w="1600" w:type="dxa"/>
            <w:vAlign w:val="bottom"/>
            <w:gridSpan w:val="2"/>
          </w:tcPr>
          <w:p>
            <w:pPr>
              <w:ind w:left="320"/>
              <w:spacing w:after="0"/>
              <w:rPr>
                <w:sz w:val="20"/>
                <w:szCs w:val="20"/>
                <w:color w:val="auto"/>
              </w:rPr>
            </w:pPr>
            <w:r>
              <w:rPr>
                <w:rFonts w:ascii="Arial" w:cs="Arial" w:eastAsia="Arial" w:hAnsi="Arial"/>
                <w:sz w:val="11"/>
                <w:szCs w:val="11"/>
                <w:b w:val="1"/>
                <w:bCs w:val="1"/>
                <w:color w:val="auto"/>
              </w:rPr>
              <w:t>Center/Location(2)</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Acquisition</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Renovation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GLA(3)</w:t>
            </w:r>
          </w:p>
        </w:tc>
        <w:tc>
          <w:tcPr>
            <w:tcW w:w="11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GLA</w:t>
            </w:r>
          </w:p>
        </w:tc>
        <w:tc>
          <w:tcPr>
            <w:tcW w:w="780" w:type="dxa"/>
            <w:vAlign w:val="bottom"/>
          </w:tcPr>
          <w:p>
            <w:pPr>
              <w:jc w:val="center"/>
              <w:ind w:left="79"/>
              <w:spacing w:after="0"/>
              <w:rPr>
                <w:sz w:val="20"/>
                <w:szCs w:val="20"/>
                <w:color w:val="auto"/>
              </w:rPr>
            </w:pPr>
            <w:r>
              <w:rPr>
                <w:rFonts w:ascii="Arial" w:cs="Arial" w:eastAsia="Arial" w:hAnsi="Arial"/>
                <w:sz w:val="11"/>
                <w:szCs w:val="11"/>
                <w:b w:val="1"/>
                <w:bCs w:val="1"/>
                <w:color w:val="auto"/>
                <w:w w:val="93"/>
              </w:rPr>
              <w:t>GLA Leased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1"/>
              </w:rPr>
              <w:t>Anchors (3)</w:t>
            </w:r>
          </w:p>
        </w:tc>
        <w:tc>
          <w:tcPr>
            <w:tcW w:w="1500" w:type="dxa"/>
            <w:vAlign w:val="bottom"/>
          </w:tcPr>
          <w:p>
            <w:pPr>
              <w:jc w:val="right"/>
              <w:ind w:right="617"/>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rPr>
                <w:sz w:val="16"/>
                <w:szCs w:val="16"/>
                <w:color w:val="auto"/>
              </w:rPr>
            </w:pPr>
          </w:p>
        </w:tc>
        <w:tc>
          <w:tcPr>
            <w:tcW w:w="2720" w:type="dxa"/>
            <w:vAlign w:val="bottom"/>
            <w:gridSpan w:val="4"/>
            <w:shd w:val="clear" w:color="auto" w:fill="CCEEFF"/>
          </w:tcPr>
          <w:p>
            <w:pPr>
              <w:ind w:left="120"/>
              <w:spacing w:after="0"/>
              <w:rPr>
                <w:sz w:val="20"/>
                <w:szCs w:val="20"/>
                <w:color w:val="auto"/>
              </w:rPr>
            </w:pPr>
            <w:r>
              <w:rPr>
                <w:rFonts w:ascii="Arial" w:cs="Arial" w:eastAsia="Arial" w:hAnsi="Arial"/>
                <w:sz w:val="13"/>
                <w:szCs w:val="13"/>
                <w:b w:val="1"/>
                <w:bCs w:val="1"/>
                <w:color w:val="auto"/>
              </w:rPr>
              <w:t>CONSOLIDATED CENTERS:</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2"/>
              </w:rPr>
              <w:t>1</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2"/>
              </w:rPr>
              <w:t>50.1%</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6"/>
              </w:rPr>
              <w:t>Chandler Fashion Center(4)</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2001/2002</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1,318,000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633,000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95.8</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w w:val="90"/>
              </w:rPr>
              <w:t>Dillard's, Macy's,</w:t>
            </w:r>
          </w:p>
        </w:tc>
        <w:tc>
          <w:tcPr>
            <w:tcW w:w="15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3"/>
                <w:szCs w:val="13"/>
                <w:color w:val="auto"/>
              </w:rPr>
              <w:t>Chandler, Arizona</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Nordstrom</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2"/>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Danbury Fair Mall</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1986/2005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1,271,000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527,000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JCPenney,</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Forever 21(5), Lord &amp;</w:t>
            </w: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Danbury, Connecticut</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Taylor, Primark,</w:t>
            </w: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Sears(6)</w:t>
            </w: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2"/>
              </w:rPr>
              <w:t>3</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Desert Sky Mall(7)</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1981/2002</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746,000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280,000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98.9</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w w:val="90"/>
              </w:rPr>
              <w:t>Burlington,</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8"/>
              </w:rPr>
              <w:t>La Curacao, Mercado de</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3"/>
                <w:szCs w:val="13"/>
                <w:color w:val="auto"/>
              </w:rPr>
              <w:t>Phoenix, Arizona</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Dillard's</w:t>
            </w:r>
          </w:p>
        </w:tc>
        <w:tc>
          <w:tcPr>
            <w:tcW w:w="1500" w:type="dxa"/>
            <w:vAlign w:val="bottom"/>
          </w:tcPr>
          <w:p>
            <w:pPr>
              <w:jc w:val="center"/>
              <w:spacing w:after="0"/>
              <w:rPr>
                <w:sz w:val="20"/>
                <w:szCs w:val="20"/>
                <w:color w:val="auto"/>
              </w:rPr>
            </w:pPr>
            <w:r>
              <w:rPr>
                <w:rFonts w:ascii="Arial" w:cs="Arial" w:eastAsia="Arial" w:hAnsi="Arial"/>
                <w:sz w:val="13"/>
                <w:szCs w:val="13"/>
                <w:color w:val="auto"/>
                <w:w w:val="88"/>
              </w:rPr>
              <w:t>los Cielos</w:t>
            </w:r>
          </w:p>
        </w:tc>
        <w:tc>
          <w:tcPr>
            <w:tcW w:w="0" w:type="dxa"/>
            <w:vAlign w:val="bottom"/>
          </w:tcPr>
          <w:p>
            <w:pPr>
              <w:spacing w:after="0"/>
              <w:rPr>
                <w:sz w:val="1"/>
                <w:szCs w:val="1"/>
                <w:color w:val="auto"/>
              </w:rPr>
            </w:pPr>
          </w:p>
        </w:tc>
      </w:tr>
      <w:tr>
        <w:trPr>
          <w:trHeight w:val="62"/>
        </w:trPr>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2"/>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Eastland Mall(4)(8)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1978/1998</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1,034,000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Dillard's,</w:t>
            </w:r>
          </w:p>
        </w:tc>
        <w:tc>
          <w:tcPr>
            <w:tcW w:w="15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Evansville, Indiana</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58"/>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5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20" w:type="dxa"/>
            <w:vAlign w:val="bottom"/>
          </w:tcPr>
          <w:p>
            <w:pPr>
              <w:jc w:val="center"/>
              <w:ind w:right="37"/>
              <w:spacing w:after="0"/>
              <w:rPr>
                <w:sz w:val="20"/>
                <w:szCs w:val="20"/>
                <w:color w:val="auto"/>
              </w:rPr>
            </w:pPr>
            <w:r>
              <w:rPr>
                <w:rFonts w:ascii="Arial" w:cs="Arial" w:eastAsia="Arial" w:hAnsi="Arial"/>
                <w:sz w:val="13"/>
                <w:szCs w:val="13"/>
                <w:color w:val="auto"/>
                <w:w w:val="82"/>
              </w:rPr>
              <w:t>5</w:t>
            </w:r>
          </w:p>
        </w:tc>
        <w:tc>
          <w:tcPr>
            <w:tcW w:w="102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w w:val="99"/>
              </w:rPr>
              <w:t>Fashion Outlets of Chicago</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2013/—</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537,000</w:t>
            </w:r>
          </w:p>
        </w:tc>
        <w:tc>
          <w:tcPr>
            <w:tcW w:w="100" w:type="dxa"/>
            <w:vAlign w:val="bottom"/>
          </w:tcPr>
          <w:p>
            <w:pPr>
              <w:spacing w:after="0"/>
              <w:rPr>
                <w:sz w:val="15"/>
                <w:szCs w:val="15"/>
                <w:color w:val="auto"/>
              </w:rPr>
            </w:pP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537,000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97.5</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920" w:type="dxa"/>
            <w:vAlign w:val="bottom"/>
          </w:tcPr>
          <w:p>
            <w:pPr>
              <w:jc w:val="center"/>
              <w:ind w:right="58"/>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97"/>
        </w:trPr>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rPr>
              <w:t>Rosemont, Illinois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2"/>
              </w:rPr>
              <w:t>6</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Fashion Outlets of Niagara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1982/2011</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689,000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689,000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58"/>
              <w:spacing w:after="0"/>
              <w:rPr>
                <w:sz w:val="20"/>
                <w:szCs w:val="20"/>
                <w:color w:val="auto"/>
              </w:rPr>
            </w:pPr>
            <w:r>
              <w:rPr>
                <w:rFonts w:ascii="Arial" w:cs="Arial" w:eastAsia="Arial" w:hAnsi="Arial"/>
                <w:sz w:val="13"/>
                <w:szCs w:val="13"/>
                <w:color w:val="auto"/>
                <w:w w:val="91"/>
              </w:rPr>
              <w:t>—</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Falls USA</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Niagara Falls, New York</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2"/>
              </w:rPr>
              <w:t>7</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2"/>
              </w:rPr>
              <w:t>50.1%</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Freehold Raceway Mall</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1990/2005</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1,673,000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775,000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97.5</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w w:val="81"/>
              </w:rPr>
              <w:t>JCPenney,</w:t>
            </w:r>
          </w:p>
        </w:tc>
        <w:tc>
          <w:tcPr>
            <w:tcW w:w="150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90"/>
              </w:rPr>
              <w:t>Dick's Sporting</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3"/>
              </w:rPr>
              <w:t>Lord &amp; Taylor,</w:t>
            </w:r>
          </w:p>
        </w:tc>
        <w:tc>
          <w:tcPr>
            <w:tcW w:w="15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Goods, Primark,</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rPr>
              <w:t>Freehold, New Jersey</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Macy's,</w:t>
            </w:r>
          </w:p>
        </w:tc>
        <w:tc>
          <w:tcPr>
            <w:tcW w:w="1500" w:type="dxa"/>
            <w:vAlign w:val="bottom"/>
          </w:tcPr>
          <w:p>
            <w:pPr>
              <w:jc w:val="center"/>
              <w:ind w:right="17"/>
              <w:spacing w:after="0"/>
              <w:rPr>
                <w:sz w:val="20"/>
                <w:szCs w:val="20"/>
                <w:color w:val="auto"/>
              </w:rPr>
            </w:pPr>
            <w:r>
              <w:rPr>
                <w:rFonts w:ascii="Arial" w:cs="Arial" w:eastAsia="Arial" w:hAnsi="Arial"/>
                <w:sz w:val="13"/>
                <w:szCs w:val="13"/>
                <w:color w:val="auto"/>
                <w:w w:val="84"/>
              </w:rPr>
              <w:t>Sears(6)</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Nordstrom</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2"/>
              </w:rPr>
              <w:t>8</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Fresno Fashion Fair</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1970/1996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995,000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434,000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Forever 21, JCPenney,</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Fresno, California</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0" w:type="dxa"/>
            <w:vAlign w:val="bottom"/>
          </w:tcPr>
          <w:p>
            <w:pPr>
              <w:spacing w:after="0"/>
              <w:rPr>
                <w:sz w:val="1"/>
                <w:szCs w:val="1"/>
                <w:color w:val="auto"/>
              </w:rPr>
            </w:pPr>
          </w:p>
        </w:tc>
      </w:tr>
      <w:tr>
        <w:trPr>
          <w:trHeight w:val="70"/>
        </w:trPr>
        <w:tc>
          <w:tcPr>
            <w:tcW w:w="5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2"/>
              </w:rPr>
              <w:t>9</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Green Acres Mall(4)(8)</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1956/2013</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2016</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2,063,000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875,000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96.4</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ind w:right="58"/>
              <w:spacing w:after="0" w:line="148" w:lineRule="exact"/>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6"/>
              </w:rPr>
              <w:t>BJ's Wholesale Club,</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3"/>
                <w:szCs w:val="13"/>
                <w:color w:val="auto"/>
              </w:rPr>
              <w:t>Valley Stream, New York</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86"/>
              </w:rPr>
              <w:t>Century 21,</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86"/>
              </w:rPr>
              <w:t>JCPenney(9), Macy's</w:t>
            </w: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7"/>
              </w:rPr>
              <w:t>(two), Sears, Walmart</w:t>
            </w:r>
          </w:p>
        </w:tc>
        <w:tc>
          <w:tcPr>
            <w:tcW w:w="0" w:type="dxa"/>
            <w:vAlign w:val="bottom"/>
          </w:tcPr>
          <w:p>
            <w:pPr>
              <w:spacing w:after="0"/>
              <w:rPr>
                <w:sz w:val="1"/>
                <w:szCs w:val="1"/>
                <w:color w:val="auto"/>
              </w:rPr>
            </w:pPr>
          </w:p>
        </w:tc>
      </w:tr>
      <w:tr>
        <w:trPr>
          <w:trHeight w:val="181"/>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6"/>
              </w:rPr>
              <w:t>10</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Inland Center(7)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1966/2004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605,000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208,000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Forever 21, JCPenney</w:t>
            </w:r>
          </w:p>
        </w:tc>
        <w:tc>
          <w:tcPr>
            <w:tcW w:w="0" w:type="dxa"/>
            <w:vAlign w:val="bottom"/>
          </w:tcPr>
          <w:p>
            <w:pPr>
              <w:spacing w:after="0"/>
              <w:rPr>
                <w:sz w:val="1"/>
                <w:szCs w:val="1"/>
                <w:color w:val="auto"/>
              </w:rPr>
            </w:pPr>
          </w:p>
        </w:tc>
      </w:tr>
      <w:tr>
        <w:trPr>
          <w:trHeight w:val="205"/>
        </w:trPr>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San Bernardino, California</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6"/>
              </w:rPr>
              <w:t>11</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Kings Plaza Shopping</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1971/2012</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2018</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1,137,000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445,000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99.4</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w w:val="89"/>
              </w:rPr>
              <w:t>Macy's</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8"/>
              </w:rPr>
              <w:t>Burlington, JCPenney,</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rPr>
              <w:t>Center(8)</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Lowe's, Primark</w:t>
            </w:r>
          </w:p>
        </w:tc>
        <w:tc>
          <w:tcPr>
            <w:tcW w:w="0" w:type="dxa"/>
            <w:vAlign w:val="bottom"/>
          </w:tcPr>
          <w:p>
            <w:pPr>
              <w:spacing w:after="0"/>
              <w:rPr>
                <w:sz w:val="1"/>
                <w:szCs w:val="1"/>
                <w:color w:val="auto"/>
              </w:rPr>
            </w:pPr>
          </w:p>
        </w:tc>
      </w:tr>
      <w:tr>
        <w:trPr>
          <w:trHeight w:val="197"/>
        </w:trPr>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rPr>
              <w:t>Brooklyn, New York</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6"/>
              </w:rPr>
              <w:t>12</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 Cumbre Plaza(4)(8)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1967/2004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492,000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175,000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5"/>
        </w:trPr>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Santa Barbara, California</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6"/>
              </w:rPr>
              <w:t>13</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NorthPark Mall(4)(7)</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1973/1998</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2001</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934,000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399,000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84.2</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w w:val="92"/>
              </w:rPr>
              <w:t>Dillard's,</w:t>
            </w:r>
          </w:p>
        </w:tc>
        <w:tc>
          <w:tcPr>
            <w:tcW w:w="15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3"/>
                <w:szCs w:val="13"/>
                <w:color w:val="auto"/>
              </w:rPr>
              <w:t>Davenport, Iowa</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4"/>
              </w:rPr>
              <w:t>JCPenney, Von</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4"/>
              </w:rPr>
              <w:t>Maur</w:t>
            </w: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6"/>
              </w:rPr>
              <w:t>14</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Oaks, The</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1978/2002</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1,209,000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607,000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JCPenney,</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Thousand Oaks, California</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Macy's (two)</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70"/>
        </w:trPr>
        <w:tc>
          <w:tcPr>
            <w:tcW w:w="5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20" w:type="dxa"/>
            <w:vAlign w:val="bottom"/>
          </w:tcPr>
          <w:p>
            <w:pPr>
              <w:jc w:val="center"/>
              <w:ind w:right="37"/>
              <w:spacing w:after="0"/>
              <w:rPr>
                <w:sz w:val="20"/>
                <w:szCs w:val="20"/>
                <w:color w:val="auto"/>
              </w:rPr>
            </w:pPr>
            <w:r>
              <w:rPr>
                <w:rFonts w:ascii="Arial" w:cs="Arial" w:eastAsia="Arial" w:hAnsi="Arial"/>
                <w:sz w:val="13"/>
                <w:szCs w:val="13"/>
                <w:color w:val="auto"/>
                <w:w w:val="96"/>
              </w:rPr>
              <w:t>15</w:t>
            </w:r>
          </w:p>
        </w:tc>
        <w:tc>
          <w:tcPr>
            <w:tcW w:w="102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rPr>
              <w:t>Pacific View(7)</w:t>
            </w:r>
          </w:p>
        </w:tc>
        <w:tc>
          <w:tcPr>
            <w:tcW w:w="920" w:type="dxa"/>
            <w:vAlign w:val="bottom"/>
          </w:tcPr>
          <w:p>
            <w:pPr>
              <w:jc w:val="right"/>
              <w:spacing w:after="0"/>
              <w:rPr>
                <w:sz w:val="20"/>
                <w:szCs w:val="20"/>
                <w:color w:val="auto"/>
              </w:rPr>
            </w:pPr>
            <w:r>
              <w:rPr>
                <w:rFonts w:ascii="Arial" w:cs="Arial" w:eastAsia="Arial" w:hAnsi="Arial"/>
                <w:sz w:val="13"/>
                <w:szCs w:val="13"/>
                <w:color w:val="auto"/>
              </w:rPr>
              <w:t>1965/1996</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2001</w:t>
            </w:r>
          </w:p>
        </w:tc>
        <w:tc>
          <w:tcPr>
            <w:tcW w:w="12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900,000</w:t>
            </w:r>
          </w:p>
        </w:tc>
        <w:tc>
          <w:tcPr>
            <w:tcW w:w="100" w:type="dxa"/>
            <w:vAlign w:val="bottom"/>
          </w:tcPr>
          <w:p>
            <w:pPr>
              <w:spacing w:after="0"/>
              <w:rPr>
                <w:sz w:val="15"/>
                <w:szCs w:val="15"/>
                <w:color w:val="auto"/>
              </w:rPr>
            </w:pPr>
          </w:p>
        </w:tc>
        <w:tc>
          <w:tcPr>
            <w:tcW w:w="1060" w:type="dxa"/>
            <w:vAlign w:val="bottom"/>
          </w:tcPr>
          <w:p>
            <w:pPr>
              <w:jc w:val="right"/>
              <w:ind w:right="58"/>
              <w:spacing w:after="0"/>
              <w:rPr>
                <w:sz w:val="20"/>
                <w:szCs w:val="20"/>
                <w:color w:val="auto"/>
              </w:rPr>
            </w:pPr>
            <w:r>
              <w:rPr>
                <w:rFonts w:ascii="Arial" w:cs="Arial" w:eastAsia="Arial" w:hAnsi="Arial"/>
                <w:sz w:val="13"/>
                <w:szCs w:val="13"/>
                <w:color w:val="auto"/>
              </w:rPr>
              <w:t>416,000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85.2</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3"/>
              </w:rPr>
              <w:t>JCPenney, Target</w:t>
            </w: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Macy's</w:t>
            </w:r>
          </w:p>
        </w:tc>
        <w:tc>
          <w:tcPr>
            <w:tcW w:w="0" w:type="dxa"/>
            <w:vAlign w:val="bottom"/>
          </w:tcPr>
          <w:p>
            <w:pPr>
              <w:spacing w:after="0"/>
              <w:rPr>
                <w:sz w:val="1"/>
                <w:szCs w:val="1"/>
                <w:color w:val="auto"/>
              </w:rPr>
            </w:pPr>
          </w:p>
        </w:tc>
      </w:tr>
      <w:tr>
        <w:trPr>
          <w:trHeight w:val="197"/>
        </w:trPr>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rPr>
              <w:t>Ventura, California</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6"/>
              </w:rPr>
              <w:t>16</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Queens Center(8)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1973/1995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965,000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408,000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JCPenney,</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Queens, New York</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5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6"/>
              </w:rPr>
              <w:t>17</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Santa Monica Place</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1980/1999</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526,000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303,000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94.7</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ind w:right="58"/>
              <w:spacing w:after="0" w:line="148" w:lineRule="exact"/>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9"/>
              </w:rPr>
              <w:t>Bloomingdale's,</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3"/>
                <w:szCs w:val="13"/>
                <w:color w:val="auto"/>
              </w:rPr>
              <w:t>Santa Monica, California</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62"/>
        </w:trPr>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2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6"/>
              </w:rPr>
              <w:t>18</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84.9%</w:t>
            </w: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SanTan Village Regional</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2007/—</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1,124,000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716,000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Dillard's, Macy's</w:t>
            </w:r>
          </w:p>
        </w:tc>
        <w:tc>
          <w:tcPr>
            <w:tcW w:w="150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0"/>
              </w:rPr>
              <w:t>Dick's Sporting</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Center</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3"/>
              </w:rPr>
              <w:t>Goods</w:t>
            </w:r>
          </w:p>
        </w:tc>
        <w:tc>
          <w:tcPr>
            <w:tcW w:w="0" w:type="dxa"/>
            <w:vAlign w:val="bottom"/>
          </w:tcPr>
          <w:p>
            <w:pPr>
              <w:spacing w:after="0"/>
              <w:rPr>
                <w:sz w:val="1"/>
                <w:szCs w:val="1"/>
                <w:color w:val="auto"/>
              </w:rPr>
            </w:pPr>
          </w:p>
        </w:tc>
      </w:tr>
      <w:tr>
        <w:trPr>
          <w:trHeight w:val="205"/>
        </w:trPr>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Gilbert, Arizona</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6"/>
              </w:rPr>
              <w:t>19</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SouthPark Mall(4)</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1974/1998</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2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863,000</w:t>
            </w:r>
          </w:p>
        </w:tc>
        <w:tc>
          <w:tcPr>
            <w:tcW w:w="100" w:type="dxa"/>
            <w:vAlign w:val="bottom"/>
          </w:tcPr>
          <w:p>
            <w:pPr>
              <w:spacing w:after="0"/>
              <w:rPr>
                <w:sz w:val="12"/>
                <w:szCs w:val="12"/>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348,000</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86.0</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w w:val="89"/>
              </w:rPr>
              <w:t>Dillard's, Von</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3"/>
                <w:szCs w:val="13"/>
                <w:color w:val="auto"/>
              </w:rPr>
              <w:t>Moline, Illinois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Maur</w:t>
            </w:r>
          </w:p>
        </w:tc>
        <w:tc>
          <w:tcPr>
            <w:tcW w:w="1500" w:type="dxa"/>
            <w:vAlign w:val="bottom"/>
          </w:tcPr>
          <w:p>
            <w:pPr>
              <w:jc w:val="center"/>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837" w:right="3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26"/>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Year of</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Year of Most</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left="64"/>
              <w:spacing w:after="0"/>
              <w:rPr>
                <w:sz w:val="20"/>
                <w:szCs w:val="20"/>
                <w:color w:val="auto"/>
              </w:rPr>
            </w:pPr>
            <w:r>
              <w:rPr>
                <w:rFonts w:ascii="Arial" w:cs="Arial" w:eastAsia="Arial" w:hAnsi="Arial"/>
                <w:sz w:val="11"/>
                <w:szCs w:val="11"/>
                <w:b w:val="1"/>
                <w:bCs w:val="1"/>
                <w:color w:val="auto"/>
                <w:w w:val="84"/>
              </w:rPr>
              <w:t>Percentage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Original</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Recent</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Mall and</w:t>
            </w:r>
          </w:p>
        </w:tc>
        <w:tc>
          <w:tcPr>
            <w:tcW w:w="120" w:type="dxa"/>
            <w:vAlign w:val="bottom"/>
          </w:tcPr>
          <w:p>
            <w:pPr>
              <w:spacing w:after="0"/>
              <w:rPr>
                <w:sz w:val="10"/>
                <w:szCs w:val="10"/>
                <w:color w:val="auto"/>
              </w:rPr>
            </w:pPr>
          </w:p>
        </w:tc>
        <w:tc>
          <w:tcPr>
            <w:tcW w:w="780" w:type="dxa"/>
            <w:vAlign w:val="bottom"/>
          </w:tcPr>
          <w:p>
            <w:pPr>
              <w:jc w:val="center"/>
              <w:ind w:left="64"/>
              <w:spacing w:after="0" w:line="122" w:lineRule="exact"/>
              <w:rPr>
                <w:sz w:val="20"/>
                <w:szCs w:val="20"/>
                <w:color w:val="auto"/>
              </w:rPr>
            </w:pPr>
            <w:r>
              <w:rPr>
                <w:rFonts w:ascii="Arial" w:cs="Arial" w:eastAsia="Arial" w:hAnsi="Arial"/>
                <w:sz w:val="11"/>
                <w:szCs w:val="11"/>
                <w:b w:val="1"/>
                <w:bCs w:val="1"/>
                <w:color w:val="auto"/>
                <w:w w:val="93"/>
              </w:rPr>
              <w:t>of Mall and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12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Company's</w:t>
            </w:r>
          </w:p>
        </w:tc>
        <w:tc>
          <w:tcPr>
            <w:tcW w:w="1620" w:type="dxa"/>
            <w:vAlign w:val="bottom"/>
            <w:gridSpan w:val="2"/>
          </w:tcPr>
          <w:p>
            <w:pPr>
              <w:ind w:left="560"/>
              <w:spacing w:after="0" w:line="122" w:lineRule="exact"/>
              <w:rPr>
                <w:sz w:val="20"/>
                <w:szCs w:val="20"/>
                <w:color w:val="auto"/>
              </w:rPr>
            </w:pPr>
            <w:r>
              <w:rPr>
                <w:rFonts w:ascii="Arial" w:cs="Arial" w:eastAsia="Arial" w:hAnsi="Arial"/>
                <w:sz w:val="11"/>
                <w:szCs w:val="11"/>
                <w:b w:val="1"/>
                <w:bCs w:val="1"/>
                <w:color w:val="auto"/>
              </w:rPr>
              <w:t>Name of</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Construction/</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Expansion/</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20" w:type="dxa"/>
            <w:vAlign w:val="bottom"/>
          </w:tcPr>
          <w:p>
            <w:pPr>
              <w:spacing w:after="0"/>
              <w:rPr>
                <w:sz w:val="10"/>
                <w:szCs w:val="10"/>
                <w:color w:val="auto"/>
              </w:rPr>
            </w:pPr>
          </w:p>
        </w:tc>
        <w:tc>
          <w:tcPr>
            <w:tcW w:w="780" w:type="dxa"/>
            <w:vAlign w:val="bottom"/>
          </w:tcPr>
          <w:p>
            <w:pPr>
              <w:jc w:val="center"/>
              <w:ind w:left="84"/>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90"/>
              </w:rPr>
              <w:t>Non-Owned</w:t>
            </w:r>
          </w:p>
        </w:tc>
        <w:tc>
          <w:tcPr>
            <w:tcW w:w="1400" w:type="dxa"/>
            <w:vAlign w:val="bottom"/>
          </w:tcPr>
          <w:p>
            <w:pPr>
              <w:jc w:val="center"/>
              <w:ind w:right="37"/>
              <w:spacing w:after="0" w:line="122" w:lineRule="exact"/>
              <w:rPr>
                <w:sz w:val="20"/>
                <w:szCs w:val="20"/>
                <w:color w:val="auto"/>
              </w:rPr>
            </w:pPr>
            <w:r>
              <w:rPr>
                <w:rFonts w:ascii="Arial" w:cs="Arial" w:eastAsia="Arial" w:hAnsi="Arial"/>
                <w:sz w:val="11"/>
                <w:szCs w:val="11"/>
                <w:b w:val="1"/>
                <w:bCs w:val="1"/>
                <w:color w:val="auto"/>
                <w:w w:val="88"/>
              </w:rPr>
              <w:t>Company-Owned Anchors</w:t>
            </w:r>
          </w:p>
        </w:tc>
        <w:tc>
          <w:tcPr>
            <w:tcW w:w="0" w:type="dxa"/>
            <w:vAlign w:val="bottom"/>
          </w:tcPr>
          <w:p>
            <w:pPr>
              <w:spacing w:after="0"/>
              <w:rPr>
                <w:sz w:val="1"/>
                <w:szCs w:val="1"/>
                <w:color w:val="auto"/>
              </w:rPr>
            </w:pPr>
          </w:p>
        </w:tc>
      </w:tr>
      <w:tr>
        <w:trPr>
          <w:trHeight w:val="140"/>
        </w:trPr>
        <w:tc>
          <w:tcPr>
            <w:tcW w:w="500" w:type="dxa"/>
            <w:vAlign w:val="bottom"/>
          </w:tcPr>
          <w:p>
            <w:pPr>
              <w:jc w:val="right"/>
              <w:ind w:right="117"/>
              <w:spacing w:after="0"/>
              <w:rPr>
                <w:sz w:val="20"/>
                <w:szCs w:val="20"/>
                <w:color w:val="auto"/>
              </w:rPr>
            </w:pPr>
            <w:r>
              <w:rPr>
                <w:rFonts w:ascii="Arial" w:cs="Arial" w:eastAsia="Arial" w:hAnsi="Arial"/>
                <w:sz w:val="11"/>
                <w:szCs w:val="11"/>
                <w:b w:val="1"/>
                <w:bCs w:val="1"/>
                <w:color w:val="auto"/>
                <w:w w:val="94"/>
              </w:rPr>
              <w:t>Count</w:t>
            </w: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Ownership(1)</w:t>
            </w:r>
          </w:p>
        </w:tc>
        <w:tc>
          <w:tcPr>
            <w:tcW w:w="1620" w:type="dxa"/>
            <w:vAlign w:val="bottom"/>
            <w:gridSpan w:val="2"/>
          </w:tcPr>
          <w:p>
            <w:pPr>
              <w:ind w:left="320"/>
              <w:spacing w:after="0"/>
              <w:rPr>
                <w:sz w:val="20"/>
                <w:szCs w:val="20"/>
                <w:color w:val="auto"/>
              </w:rPr>
            </w:pPr>
            <w:r>
              <w:rPr>
                <w:rFonts w:ascii="Arial" w:cs="Arial" w:eastAsia="Arial" w:hAnsi="Arial"/>
                <w:sz w:val="11"/>
                <w:szCs w:val="11"/>
                <w:b w:val="1"/>
                <w:bCs w:val="1"/>
                <w:color w:val="auto"/>
              </w:rPr>
              <w:t>Center/Location(2)</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Acquisition</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Renovation</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GLA(3)</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GLA</w:t>
            </w:r>
          </w:p>
        </w:tc>
        <w:tc>
          <w:tcPr>
            <w:tcW w:w="120" w:type="dxa"/>
            <w:vAlign w:val="bottom"/>
          </w:tcPr>
          <w:p>
            <w:pPr>
              <w:spacing w:after="0"/>
              <w:rPr>
                <w:sz w:val="12"/>
                <w:szCs w:val="12"/>
                <w:color w:val="auto"/>
              </w:rPr>
            </w:pPr>
          </w:p>
        </w:tc>
        <w:tc>
          <w:tcPr>
            <w:tcW w:w="780" w:type="dxa"/>
            <w:vAlign w:val="bottom"/>
          </w:tcPr>
          <w:p>
            <w:pPr>
              <w:jc w:val="center"/>
              <w:ind w:left="64"/>
              <w:spacing w:after="0"/>
              <w:rPr>
                <w:sz w:val="20"/>
                <w:szCs w:val="20"/>
                <w:color w:val="auto"/>
              </w:rPr>
            </w:pPr>
            <w:r>
              <w:rPr>
                <w:rFonts w:ascii="Arial" w:cs="Arial" w:eastAsia="Arial" w:hAnsi="Arial"/>
                <w:sz w:val="11"/>
                <w:szCs w:val="11"/>
                <w:b w:val="1"/>
                <w:bCs w:val="1"/>
                <w:color w:val="auto"/>
                <w:w w:val="90"/>
              </w:rPr>
              <w:t>GLA Leased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1"/>
                <w:szCs w:val="11"/>
                <w:b w:val="1"/>
                <w:bCs w:val="1"/>
                <w:color w:val="auto"/>
                <w:w w:val="91"/>
              </w:rPr>
              <w:t>Anchors (3)</w:t>
            </w:r>
          </w:p>
        </w:tc>
        <w:tc>
          <w:tcPr>
            <w:tcW w:w="1400" w:type="dxa"/>
            <w:vAlign w:val="bottom"/>
          </w:tcPr>
          <w:p>
            <w:pPr>
              <w:jc w:val="center"/>
              <w:ind w:right="37"/>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shd w:val="clear" w:color="auto" w:fill="CCEEFF"/>
          </w:tcPr>
          <w:p>
            <w:pPr>
              <w:jc w:val="right"/>
              <w:ind w:right="177"/>
              <w:spacing w:after="0" w:line="148" w:lineRule="exact"/>
              <w:rPr>
                <w:sz w:val="20"/>
                <w:szCs w:val="20"/>
                <w:color w:val="auto"/>
              </w:rPr>
            </w:pPr>
            <w:r>
              <w:rPr>
                <w:rFonts w:ascii="Arial" w:cs="Arial" w:eastAsia="Arial" w:hAnsi="Arial"/>
                <w:sz w:val="13"/>
                <w:szCs w:val="13"/>
                <w:color w:val="auto"/>
              </w:rPr>
              <w:t>20</w:t>
            </w:r>
          </w:p>
        </w:tc>
        <w:tc>
          <w:tcPr>
            <w:tcW w:w="10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Stonewood Center(8)</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1953/1997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935,000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361,000</w:t>
            </w:r>
          </w:p>
        </w:tc>
        <w:tc>
          <w:tcPr>
            <w:tcW w:w="900" w:type="dxa"/>
            <w:vAlign w:val="bottom"/>
            <w:gridSpan w:val="2"/>
            <w:shd w:val="clear" w:color="auto" w:fill="CCEEFF"/>
          </w:tcPr>
          <w:p>
            <w:pPr>
              <w:jc w:val="right"/>
              <w:ind w:right="4"/>
              <w:spacing w:after="0" w:line="148" w:lineRule="exact"/>
              <w:rPr>
                <w:sz w:val="20"/>
                <w:szCs w:val="20"/>
                <w:color w:val="auto"/>
              </w:rPr>
            </w:pPr>
            <w:r>
              <w:rPr>
                <w:rFonts w:ascii="Arial" w:cs="Arial" w:eastAsia="Arial" w:hAnsi="Arial"/>
                <w:sz w:val="13"/>
                <w:szCs w:val="13"/>
                <w:color w:val="auto"/>
              </w:rPr>
              <w:t>94.0</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center"/>
              <w:ind w:right="37"/>
              <w:spacing w:after="0" w:line="148" w:lineRule="exact"/>
              <w:rPr>
                <w:sz w:val="20"/>
                <w:szCs w:val="20"/>
                <w:color w:val="auto"/>
              </w:rPr>
            </w:pPr>
            <w:r>
              <w:rPr>
                <w:rFonts w:ascii="Arial" w:cs="Arial" w:eastAsia="Arial" w:hAnsi="Arial"/>
                <w:sz w:val="13"/>
                <w:szCs w:val="13"/>
                <w:color w:val="auto"/>
                <w:w w:val="85"/>
              </w:rPr>
              <w:t>JCPenney, Kohl's,</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Downey, California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6"/>
              </w:rPr>
              <w:t>Macy's, Sears</w:t>
            </w:r>
          </w:p>
        </w:tc>
        <w:tc>
          <w:tcPr>
            <w:tcW w:w="0" w:type="dxa"/>
            <w:vAlign w:val="bottom"/>
          </w:tcPr>
          <w:p>
            <w:pPr>
              <w:spacing w:after="0"/>
              <w:rPr>
                <w:sz w:val="1"/>
                <w:szCs w:val="1"/>
                <w:color w:val="auto"/>
              </w:rPr>
            </w:pPr>
          </w:p>
        </w:tc>
      </w:tr>
      <w:tr>
        <w:trPr>
          <w:trHeight w:val="70"/>
        </w:trPr>
        <w:tc>
          <w:tcPr>
            <w:tcW w:w="5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21</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Superstition Springs</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1990/2002</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2002</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922,000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390,000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93.9</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jc w:val="center"/>
              <w:ind w:right="18"/>
              <w:spacing w:after="0" w:line="148" w:lineRule="exact"/>
              <w:rPr>
                <w:sz w:val="20"/>
                <w:szCs w:val="20"/>
                <w:color w:val="auto"/>
              </w:rPr>
            </w:pPr>
            <w:r>
              <w:rPr>
                <w:rFonts w:ascii="Arial" w:cs="Arial" w:eastAsia="Arial" w:hAnsi="Arial"/>
                <w:sz w:val="13"/>
                <w:szCs w:val="13"/>
                <w:color w:val="auto"/>
                <w:w w:val="92"/>
              </w:rPr>
              <w:t>Dillard's,</w:t>
            </w:r>
          </w:p>
        </w:tc>
        <w:tc>
          <w:tcPr>
            <w:tcW w:w="1400" w:type="dxa"/>
            <w:vAlign w:val="bottom"/>
          </w:tcPr>
          <w:p>
            <w:pPr>
              <w:ind w:lef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Center(4)(7)</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81"/>
              </w:rPr>
              <w:t>JCPenney,</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color w:val="auto"/>
              </w:rPr>
              <w:t>Mesa,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22</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Towne Mall(4)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1985/2005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350,000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179,000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77.8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8"/>
              </w:rPr>
              <w:t>Belk, JCPenney</w:t>
            </w: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Elizabethtown, Kentucky</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00" w:type="dxa"/>
            <w:vAlign w:val="bottom"/>
          </w:tcPr>
          <w:p>
            <w:pPr>
              <w:jc w:val="right"/>
              <w:ind w:right="177"/>
              <w:spacing w:after="0"/>
              <w:rPr>
                <w:sz w:val="20"/>
                <w:szCs w:val="20"/>
                <w:color w:val="auto"/>
              </w:rPr>
            </w:pPr>
            <w:r>
              <w:rPr>
                <w:rFonts w:ascii="Arial" w:cs="Arial" w:eastAsia="Arial" w:hAnsi="Arial"/>
                <w:sz w:val="13"/>
                <w:szCs w:val="13"/>
                <w:color w:val="auto"/>
              </w:rPr>
              <w:t>23</w:t>
            </w:r>
          </w:p>
        </w:tc>
        <w:tc>
          <w:tcPr>
            <w:tcW w:w="102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Tucson La Encantada</w:t>
            </w:r>
          </w:p>
        </w:tc>
        <w:tc>
          <w:tcPr>
            <w:tcW w:w="900" w:type="dxa"/>
            <w:vAlign w:val="bottom"/>
          </w:tcPr>
          <w:p>
            <w:pPr>
              <w:jc w:val="right"/>
              <w:spacing w:after="0"/>
              <w:rPr>
                <w:sz w:val="20"/>
                <w:szCs w:val="20"/>
                <w:color w:val="auto"/>
              </w:rPr>
            </w:pPr>
            <w:r>
              <w:rPr>
                <w:rFonts w:ascii="Arial" w:cs="Arial" w:eastAsia="Arial" w:hAnsi="Arial"/>
                <w:sz w:val="13"/>
                <w:szCs w:val="13"/>
                <w:color w:val="auto"/>
              </w:rPr>
              <w:t>2002/2002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246,000</w:t>
            </w:r>
          </w:p>
        </w:tc>
        <w:tc>
          <w:tcPr>
            <w:tcW w:w="1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246,000</w:t>
            </w:r>
          </w:p>
        </w:tc>
        <w:tc>
          <w:tcPr>
            <w:tcW w:w="900" w:type="dxa"/>
            <w:vAlign w:val="bottom"/>
            <w:gridSpan w:val="2"/>
          </w:tcPr>
          <w:p>
            <w:pPr>
              <w:jc w:val="right"/>
              <w:ind w:right="4"/>
              <w:spacing w:after="0"/>
              <w:rPr>
                <w:sz w:val="20"/>
                <w:szCs w:val="20"/>
                <w:color w:val="auto"/>
              </w:rPr>
            </w:pPr>
            <w:r>
              <w:rPr>
                <w:rFonts w:ascii="Arial" w:cs="Arial" w:eastAsia="Arial" w:hAnsi="Arial"/>
                <w:sz w:val="13"/>
                <w:szCs w:val="13"/>
                <w:color w:val="auto"/>
              </w:rPr>
              <w:t>98.0</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color w:val="auto"/>
              </w:rPr>
              <w:t>—</w:t>
            </w:r>
          </w:p>
        </w:tc>
        <w:tc>
          <w:tcPr>
            <w:tcW w:w="1400" w:type="dxa"/>
            <w:vAlign w:val="bottom"/>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Tucson, Arizona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24</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Valley Mall</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1978/1998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505,000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190,000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5"/>
              </w:rPr>
              <w:t>Target</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2"/>
              </w:rPr>
              <w:t>Belk, Dick's Sporting</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Harrisonburg, Virginia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5"/>
              </w:rPr>
              <w:t>Goods, JCPenney</w:t>
            </w:r>
          </w:p>
        </w:tc>
        <w:tc>
          <w:tcPr>
            <w:tcW w:w="0" w:type="dxa"/>
            <w:vAlign w:val="bottom"/>
          </w:tcPr>
          <w:p>
            <w:pPr>
              <w:spacing w:after="0"/>
              <w:rPr>
                <w:sz w:val="1"/>
                <w:szCs w:val="1"/>
                <w:color w:val="auto"/>
              </w:rPr>
            </w:pPr>
          </w:p>
        </w:tc>
      </w:tr>
      <w:tr>
        <w:trPr>
          <w:trHeight w:val="70"/>
        </w:trPr>
        <w:tc>
          <w:tcPr>
            <w:tcW w:w="5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00" w:type="dxa"/>
            <w:vAlign w:val="bottom"/>
          </w:tcPr>
          <w:p>
            <w:pPr>
              <w:jc w:val="right"/>
              <w:ind w:right="177"/>
              <w:spacing w:after="0"/>
              <w:rPr>
                <w:sz w:val="20"/>
                <w:szCs w:val="20"/>
                <w:color w:val="auto"/>
              </w:rPr>
            </w:pPr>
            <w:r>
              <w:rPr>
                <w:rFonts w:ascii="Arial" w:cs="Arial" w:eastAsia="Arial" w:hAnsi="Arial"/>
                <w:sz w:val="13"/>
                <w:szCs w:val="13"/>
                <w:color w:val="auto"/>
              </w:rPr>
              <w:t>25</w:t>
            </w:r>
          </w:p>
        </w:tc>
        <w:tc>
          <w:tcPr>
            <w:tcW w:w="102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Valley River Center</w:t>
            </w:r>
          </w:p>
        </w:tc>
        <w:tc>
          <w:tcPr>
            <w:tcW w:w="900" w:type="dxa"/>
            <w:vAlign w:val="bottom"/>
          </w:tcPr>
          <w:p>
            <w:pPr>
              <w:jc w:val="right"/>
              <w:spacing w:after="0"/>
              <w:rPr>
                <w:sz w:val="20"/>
                <w:szCs w:val="20"/>
                <w:color w:val="auto"/>
              </w:rPr>
            </w:pPr>
            <w:r>
              <w:rPr>
                <w:rFonts w:ascii="Arial" w:cs="Arial" w:eastAsia="Arial" w:hAnsi="Arial"/>
                <w:sz w:val="13"/>
                <w:szCs w:val="13"/>
                <w:color w:val="auto"/>
              </w:rPr>
              <w:t>1969/2006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871,000</w:t>
            </w:r>
          </w:p>
        </w:tc>
        <w:tc>
          <w:tcPr>
            <w:tcW w:w="1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408,000</w:t>
            </w:r>
          </w:p>
        </w:tc>
        <w:tc>
          <w:tcPr>
            <w:tcW w:w="900" w:type="dxa"/>
            <w:vAlign w:val="bottom"/>
            <w:gridSpan w:val="2"/>
          </w:tcPr>
          <w:p>
            <w:pPr>
              <w:jc w:val="right"/>
              <w:ind w:right="4"/>
              <w:spacing w:after="0"/>
              <w:rPr>
                <w:sz w:val="20"/>
                <w:szCs w:val="20"/>
                <w:color w:val="auto"/>
              </w:rPr>
            </w:pPr>
            <w:r>
              <w:rPr>
                <w:rFonts w:ascii="Arial" w:cs="Arial" w:eastAsia="Arial" w:hAnsi="Arial"/>
                <w:sz w:val="13"/>
                <w:szCs w:val="13"/>
                <w:color w:val="auto"/>
              </w:rPr>
              <w:t>93.4</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tcPr>
          <w:p>
            <w:pPr>
              <w:jc w:val="center"/>
              <w:ind w:right="37"/>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Eugene, Oregon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26</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Victor Valley, Mall of</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1986/2004</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577,000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254,000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97.0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Victorville, California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3"/>
              </w:rPr>
              <w:t>JCPenney, Sears(6)</w:t>
            </w:r>
          </w:p>
        </w:tc>
        <w:tc>
          <w:tcPr>
            <w:tcW w:w="0" w:type="dxa"/>
            <w:vAlign w:val="bottom"/>
          </w:tcPr>
          <w:p>
            <w:pPr>
              <w:spacing w:after="0"/>
              <w:rPr>
                <w:sz w:val="1"/>
                <w:szCs w:val="1"/>
                <w:color w:val="auto"/>
              </w:rPr>
            </w:pPr>
          </w:p>
        </w:tc>
      </w:tr>
      <w:tr>
        <w:trPr>
          <w:trHeight w:val="70"/>
        </w:trPr>
        <w:tc>
          <w:tcPr>
            <w:tcW w:w="5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27</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Vintage Faire Mall(4)</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1977/1996</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2008</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984,000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405,000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98.0</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9"/>
              </w:rPr>
              <w:t>Macy's</w:t>
            </w:r>
          </w:p>
        </w:tc>
        <w:tc>
          <w:tcPr>
            <w:tcW w:w="14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color w:val="auto"/>
              </w:rPr>
              <w:t>Modesto, California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Arial" w:cs="Arial" w:eastAsia="Arial" w:hAnsi="Arial"/>
                <w:sz w:val="13"/>
                <w:szCs w:val="13"/>
                <w:color w:val="auto"/>
                <w:w w:val="83"/>
              </w:rPr>
              <w:t>JCPenney, Macy's</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28</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Wilton Mall(4)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1990/2005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709,000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506,000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6"/>
              </w:rPr>
              <w:t>JCPenney</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8"/>
              </w:rPr>
              <w:t>Dick's Sporting Goods</w:t>
            </w: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6"/>
              </w:rPr>
              <w:t>Saratoga Springs, New York</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w w:val="93"/>
              </w:rPr>
              <w:t>Total Consolidated Centers</w:t>
            </w: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25,180,000</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12,214,000</w:t>
            </w:r>
          </w:p>
        </w:tc>
        <w:tc>
          <w:tcPr>
            <w:tcW w:w="104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93.7 %</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3740" w:type="dxa"/>
            <w:vAlign w:val="bottom"/>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rPr>
              <w:t>UNCONSOLIDATED JOINT VENTURE CENTERS: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29</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60%</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6"/>
              </w:rPr>
              <w:t>Arrowhead Towne Center(4)</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1993/2002</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1,197,000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390,000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97.1</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jc w:val="center"/>
              <w:ind w:right="18"/>
              <w:spacing w:after="0" w:line="148" w:lineRule="exact"/>
              <w:rPr>
                <w:sz w:val="20"/>
                <w:szCs w:val="20"/>
                <w:color w:val="auto"/>
              </w:rPr>
            </w:pPr>
            <w:r>
              <w:rPr>
                <w:rFonts w:ascii="Arial" w:cs="Arial" w:eastAsia="Arial" w:hAnsi="Arial"/>
                <w:sz w:val="13"/>
                <w:szCs w:val="13"/>
                <w:color w:val="auto"/>
                <w:w w:val="92"/>
              </w:rPr>
              <w:t>Dillard's,</w:t>
            </w:r>
          </w:p>
        </w:tc>
        <w:tc>
          <w:tcPr>
            <w:tcW w:w="14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color w:val="auto"/>
              </w:rPr>
              <w:t>Glendale, Arizona</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81"/>
              </w:rPr>
              <w:t>JCPenney,</w:t>
            </w:r>
          </w:p>
        </w:tc>
        <w:tc>
          <w:tcPr>
            <w:tcW w:w="140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8"/>
              </w:rPr>
              <w:t>Forever 21(5)</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30</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Biltmore Fashion Park</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1963/2003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597,000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292,000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93.1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9"/>
              </w:rPr>
              <w:t>Macy's, Saks Fifth</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Phoenix, Arizona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6"/>
              </w:rPr>
              <w:t>Avenue</w:t>
            </w:r>
          </w:p>
        </w:tc>
        <w:tc>
          <w:tcPr>
            <w:tcW w:w="0" w:type="dxa"/>
            <w:vAlign w:val="bottom"/>
          </w:tcPr>
          <w:p>
            <w:pPr>
              <w:spacing w:after="0"/>
              <w:rPr>
                <w:sz w:val="1"/>
                <w:szCs w:val="1"/>
                <w:color w:val="auto"/>
              </w:rPr>
            </w:pPr>
          </w:p>
        </w:tc>
      </w:tr>
      <w:tr>
        <w:trPr>
          <w:trHeight w:val="70"/>
        </w:trPr>
        <w:tc>
          <w:tcPr>
            <w:tcW w:w="5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31</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Broadway Plaza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1951/1985</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2016</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927,000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382,000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95.9</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9"/>
              </w:rPr>
              <w:t>Macy's</w:t>
            </w:r>
          </w:p>
        </w:tc>
        <w:tc>
          <w:tcPr>
            <w:tcW w:w="1400" w:type="dxa"/>
            <w:vAlign w:val="bottom"/>
          </w:tcPr>
          <w:p>
            <w:pPr>
              <w:jc w:val="center"/>
              <w:ind w:right="57"/>
              <w:spacing w:after="0" w:line="148" w:lineRule="exact"/>
              <w:rPr>
                <w:sz w:val="20"/>
                <w:szCs w:val="20"/>
                <w:color w:val="auto"/>
              </w:rPr>
            </w:pPr>
            <w:r>
              <w:rPr>
                <w:rFonts w:ascii="Arial" w:cs="Arial" w:eastAsia="Arial" w:hAnsi="Arial"/>
                <w:sz w:val="13"/>
                <w:szCs w:val="13"/>
                <w:color w:val="auto"/>
                <w:w w:val="88"/>
              </w:rPr>
              <w:t>Neiman Marcus,</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color w:val="auto"/>
              </w:rPr>
              <w:t>Walnut Creek, California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32</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50.1%</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Corte Madera, The Village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1985/1998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501,000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265,000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94.9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Macy's,</w:t>
            </w:r>
          </w:p>
        </w:tc>
        <w:tc>
          <w:tcPr>
            <w:tcW w:w="1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at</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2"/>
              </w:rPr>
              <w:t>Nordstrom</w:t>
            </w: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Corte Madera, California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00" w:type="dxa"/>
            <w:vAlign w:val="bottom"/>
          </w:tcPr>
          <w:p>
            <w:pPr>
              <w:jc w:val="right"/>
              <w:ind w:right="177"/>
              <w:spacing w:after="0"/>
              <w:rPr>
                <w:sz w:val="20"/>
                <w:szCs w:val="20"/>
                <w:color w:val="auto"/>
              </w:rPr>
            </w:pPr>
            <w:r>
              <w:rPr>
                <w:rFonts w:ascii="Arial" w:cs="Arial" w:eastAsia="Arial" w:hAnsi="Arial"/>
                <w:sz w:val="13"/>
                <w:szCs w:val="13"/>
                <w:color w:val="auto"/>
              </w:rPr>
              <w:t>33</w:t>
            </w:r>
          </w:p>
        </w:tc>
        <w:tc>
          <w:tcPr>
            <w:tcW w:w="1020" w:type="dxa"/>
            <w:vAlign w:val="bottom"/>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Country Club Plaza(10)</w:t>
            </w:r>
          </w:p>
        </w:tc>
        <w:tc>
          <w:tcPr>
            <w:tcW w:w="900" w:type="dxa"/>
            <w:vAlign w:val="bottom"/>
          </w:tcPr>
          <w:p>
            <w:pPr>
              <w:jc w:val="right"/>
              <w:spacing w:after="0"/>
              <w:rPr>
                <w:sz w:val="20"/>
                <w:szCs w:val="20"/>
                <w:color w:val="auto"/>
              </w:rPr>
            </w:pPr>
            <w:r>
              <w:rPr>
                <w:rFonts w:ascii="Arial" w:cs="Arial" w:eastAsia="Arial" w:hAnsi="Arial"/>
                <w:sz w:val="13"/>
                <w:szCs w:val="13"/>
                <w:color w:val="auto"/>
              </w:rPr>
              <w:t>1922/2016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947,000</w:t>
            </w:r>
          </w:p>
        </w:tc>
        <w:tc>
          <w:tcPr>
            <w:tcW w:w="1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947,000</w:t>
            </w:r>
          </w:p>
        </w:tc>
        <w:tc>
          <w:tcPr>
            <w:tcW w:w="12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color w:val="auto"/>
              </w:rPr>
              <w:t>—</w:t>
            </w:r>
          </w:p>
        </w:tc>
        <w:tc>
          <w:tcPr>
            <w:tcW w:w="1400" w:type="dxa"/>
            <w:vAlign w:val="bottom"/>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Kansas City, Missouri</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34</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51%</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Deptford Mall(4)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1975/2006</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1,040,000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372,000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96.0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1"/>
              </w:rPr>
              <w:t>JCPenney,</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9"/>
              </w:rPr>
              <w:t>Boscov's</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Deptford, New Jersey</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5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35</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51%</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FlatIron Crossing</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2000/2002</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1,428,000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729,000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95.9</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0"/>
              </w:rPr>
              <w:t>Dillard's, Macy's,</w:t>
            </w:r>
          </w:p>
        </w:tc>
        <w:tc>
          <w:tcPr>
            <w:tcW w:w="14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color w:val="auto"/>
              </w:rPr>
              <w:t>Broomfield, Colorado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color w:val="auto"/>
                <w:w w:val="92"/>
              </w:rPr>
              <w:t>Nordstrom</w:t>
            </w:r>
          </w:p>
        </w:tc>
        <w:tc>
          <w:tcPr>
            <w:tcW w:w="1400" w:type="dxa"/>
            <w:vAlign w:val="bottom"/>
          </w:tcPr>
          <w:p>
            <w:pPr>
              <w:jc w:val="center"/>
              <w:ind w:right="37"/>
              <w:spacing w:after="0"/>
              <w:rPr>
                <w:sz w:val="20"/>
                <w:szCs w:val="20"/>
                <w:color w:val="auto"/>
              </w:rPr>
            </w:pPr>
            <w:r>
              <w:rPr>
                <w:rFonts w:ascii="Arial" w:cs="Arial" w:eastAsia="Arial" w:hAnsi="Arial"/>
                <w:sz w:val="13"/>
                <w:szCs w:val="13"/>
                <w:color w:val="auto"/>
                <w:w w:val="85"/>
              </w:rPr>
              <w:t>Forever 21</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36</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Kierland Commons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1999/2005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437,000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437,000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96.5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Scottsdale, Arizona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37</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60%</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Lakewood Center</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1953/1975</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2008</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2,069,000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1,004,000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97.2</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5"/>
              </w:rPr>
              <w:t>Costco, Forever 21,</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Lakewood, California</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4"/>
              </w:rPr>
              <w:t>Home Depot, JCPenney,</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vMerge w:val="restart"/>
          </w:tcPr>
          <w:p>
            <w:pPr>
              <w:jc w:val="center"/>
              <w:ind w:right="37"/>
              <w:spacing w:after="0"/>
              <w:rPr>
                <w:sz w:val="20"/>
                <w:szCs w:val="20"/>
                <w:color w:val="auto"/>
              </w:rPr>
            </w:pPr>
            <w:r>
              <w:rPr>
                <w:rFonts w:ascii="Arial" w:cs="Arial" w:eastAsia="Arial" w:hAnsi="Arial"/>
                <w:sz w:val="13"/>
                <w:szCs w:val="13"/>
                <w:color w:val="auto"/>
                <w:w w:val="87"/>
              </w:rPr>
              <w:t>Macy's, Target</w:t>
            </w:r>
          </w:p>
        </w:tc>
        <w:tc>
          <w:tcPr>
            <w:tcW w:w="0" w:type="dxa"/>
            <w:vAlign w:val="bottom"/>
          </w:tcPr>
          <w:p>
            <w:pPr>
              <w:spacing w:after="0"/>
              <w:rPr>
                <w:sz w:val="1"/>
                <w:szCs w:val="1"/>
                <w:color w:val="auto"/>
              </w:rPr>
            </w:pPr>
          </w:p>
        </w:tc>
      </w:tr>
      <w:tr>
        <w:trPr>
          <w:trHeight w:val="49"/>
        </w:trPr>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38</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60%</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 Cerritos Center(11)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1971/1999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1,023,000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541,000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98.8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Macy's,</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Cerritos, California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2"/>
              </w:rPr>
              <w:t>Nordstrom</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5"/>
              </w:rPr>
              <w:t>Forever 21</w:t>
            </w:r>
          </w:p>
        </w:tc>
        <w:tc>
          <w:tcPr>
            <w:tcW w:w="0" w:type="dxa"/>
            <w:vAlign w:val="bottom"/>
          </w:tcPr>
          <w:p>
            <w:pPr>
              <w:spacing w:after="0"/>
              <w:rPr>
                <w:sz w:val="1"/>
                <w:szCs w:val="1"/>
                <w:color w:val="auto"/>
              </w:rPr>
            </w:pPr>
          </w:p>
        </w:tc>
      </w:tr>
      <w:tr>
        <w:trPr>
          <w:trHeight w:val="70"/>
        </w:trPr>
        <w:tc>
          <w:tcPr>
            <w:tcW w:w="5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39</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North Bridge, The Shops</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1998/2008</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670,000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410,000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86.3</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at(8)</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Chicago, Illinois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40</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Scottsdale Fashion Square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1961/2002</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Ongoing</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1,835,000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875,000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93.2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5"/>
              </w:rPr>
              <w:t>Dillard's</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Scottsdale, Arizona</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9"/>
              </w:rPr>
              <w:t>Macy's, Neiman</w:t>
            </w:r>
          </w:p>
        </w:tc>
        <w:tc>
          <w:tcPr>
            <w:tcW w:w="0" w:type="dxa"/>
            <w:vAlign w:val="bottom"/>
          </w:tcPr>
          <w:p>
            <w:pPr>
              <w:spacing w:after="0"/>
              <w:rPr>
                <w:sz w:val="1"/>
                <w:szCs w:val="1"/>
                <w:color w:val="auto"/>
              </w:rPr>
            </w:pPr>
          </w:p>
        </w:tc>
      </w:tr>
      <w:tr>
        <w:trPr>
          <w:trHeight w:val="156"/>
        </w:trPr>
        <w:tc>
          <w:tcPr>
            <w:tcW w:w="5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gridSpan w:val="2"/>
            <w:vMerge w:val="continue"/>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3"/>
                <w:szCs w:val="13"/>
                <w:color w:val="auto"/>
                <w:w w:val="88"/>
              </w:rPr>
              <w:t>Marcus, Nordstrom</w:t>
            </w:r>
          </w:p>
        </w:tc>
        <w:tc>
          <w:tcPr>
            <w:tcW w:w="0" w:type="dxa"/>
            <w:vAlign w:val="bottom"/>
          </w:tcPr>
          <w:p>
            <w:pPr>
              <w:spacing w:after="0"/>
              <w:rPr>
                <w:sz w:val="1"/>
                <w:szCs w:val="1"/>
                <w:color w:val="auto"/>
              </w:rPr>
            </w:pPr>
          </w:p>
        </w:tc>
      </w:tr>
      <w:tr>
        <w:trPr>
          <w:trHeight w:val="148"/>
        </w:trPr>
        <w:tc>
          <w:tcPr>
            <w:tcW w:w="500" w:type="dxa"/>
            <w:vAlign w:val="bottom"/>
          </w:tcPr>
          <w:p>
            <w:pPr>
              <w:jc w:val="right"/>
              <w:ind w:right="177"/>
              <w:spacing w:after="0" w:line="148" w:lineRule="exact"/>
              <w:rPr>
                <w:sz w:val="20"/>
                <w:szCs w:val="20"/>
                <w:color w:val="auto"/>
              </w:rPr>
            </w:pPr>
            <w:r>
              <w:rPr>
                <w:rFonts w:ascii="Arial" w:cs="Arial" w:eastAsia="Arial" w:hAnsi="Arial"/>
                <w:sz w:val="13"/>
                <w:szCs w:val="13"/>
                <w:color w:val="auto"/>
              </w:rPr>
              <w:t>41</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60%</w:t>
            </w:r>
          </w:p>
        </w:tc>
        <w:tc>
          <w:tcPr>
            <w:tcW w:w="100" w:type="dxa"/>
            <w:vAlign w:val="bottom"/>
          </w:tcPr>
          <w:p>
            <w:pPr>
              <w:spacing w:after="0"/>
              <w:rPr>
                <w:sz w:val="12"/>
                <w:szCs w:val="12"/>
                <w:color w:val="auto"/>
              </w:rPr>
            </w:pPr>
          </w:p>
        </w:tc>
        <w:tc>
          <w:tcPr>
            <w:tcW w:w="16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South Plains Mall(4)</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1972/1998</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2017</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1,136,000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477,000</w:t>
            </w:r>
          </w:p>
        </w:tc>
        <w:tc>
          <w:tcPr>
            <w:tcW w:w="900" w:type="dxa"/>
            <w:vAlign w:val="bottom"/>
            <w:gridSpan w:val="2"/>
          </w:tcPr>
          <w:p>
            <w:pPr>
              <w:jc w:val="right"/>
              <w:ind w:right="4"/>
              <w:spacing w:after="0" w:line="148" w:lineRule="exact"/>
              <w:rPr>
                <w:sz w:val="20"/>
                <w:szCs w:val="20"/>
                <w:color w:val="auto"/>
              </w:rPr>
            </w:pPr>
            <w:r>
              <w:rPr>
                <w:rFonts w:ascii="Arial" w:cs="Arial" w:eastAsia="Arial" w:hAnsi="Arial"/>
                <w:sz w:val="13"/>
                <w:szCs w:val="13"/>
                <w:color w:val="auto"/>
              </w:rPr>
              <w:t>88.0</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1"/>
              </w:rPr>
              <w:t>Bealls, Dillard's (two),</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color w:val="auto"/>
              </w:rPr>
              <w:t>Lubbock, Texas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42</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51%</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Twenty Ninth Street(8)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1963/1979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845,000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553,000</w:t>
            </w:r>
          </w:p>
        </w:tc>
        <w:tc>
          <w:tcPr>
            <w:tcW w:w="9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96.8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0"/>
              </w:rPr>
              <w:t>Home Depot</w:t>
            </w: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Boulder, Colorado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240" w:top="742" w:right="8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26"/>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1"/>
              </w:rPr>
              <w:t>Year of</w:t>
            </w: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Year of Most</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left="60"/>
              <w:spacing w:after="0"/>
              <w:rPr>
                <w:sz w:val="20"/>
                <w:szCs w:val="20"/>
                <w:color w:val="auto"/>
              </w:rPr>
            </w:pPr>
            <w:r>
              <w:rPr>
                <w:rFonts w:ascii="Arial" w:cs="Arial" w:eastAsia="Arial" w:hAnsi="Arial"/>
                <w:sz w:val="11"/>
                <w:szCs w:val="11"/>
                <w:b w:val="1"/>
                <w:bCs w:val="1"/>
                <w:color w:val="auto"/>
                <w:w w:val="84"/>
              </w:rPr>
              <w:t>Percentage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Original</w:t>
            </w: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Recent</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Mall and</w:t>
            </w:r>
          </w:p>
        </w:tc>
        <w:tc>
          <w:tcPr>
            <w:tcW w:w="120" w:type="dxa"/>
            <w:vAlign w:val="bottom"/>
          </w:tcPr>
          <w:p>
            <w:pPr>
              <w:spacing w:after="0"/>
              <w:rPr>
                <w:sz w:val="10"/>
                <w:szCs w:val="10"/>
                <w:color w:val="auto"/>
              </w:rPr>
            </w:pPr>
          </w:p>
        </w:tc>
        <w:tc>
          <w:tcPr>
            <w:tcW w:w="780" w:type="dxa"/>
            <w:vAlign w:val="bottom"/>
          </w:tcPr>
          <w:p>
            <w:pPr>
              <w:jc w:val="center"/>
              <w:ind w:left="60"/>
              <w:spacing w:after="0" w:line="122" w:lineRule="exact"/>
              <w:rPr>
                <w:sz w:val="20"/>
                <w:szCs w:val="20"/>
                <w:color w:val="auto"/>
              </w:rPr>
            </w:pPr>
            <w:r>
              <w:rPr>
                <w:rFonts w:ascii="Arial" w:cs="Arial" w:eastAsia="Arial" w:hAnsi="Arial"/>
                <w:sz w:val="11"/>
                <w:szCs w:val="11"/>
                <w:b w:val="1"/>
                <w:bCs w:val="1"/>
                <w:color w:val="auto"/>
                <w:w w:val="93"/>
              </w:rPr>
              <w:t>of Mall and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140" w:type="dxa"/>
            <w:vAlign w:val="bottom"/>
            <w:gridSpan w:val="3"/>
          </w:tcPr>
          <w:p>
            <w:pPr>
              <w:ind w:left="140"/>
              <w:spacing w:after="0" w:line="122" w:lineRule="exact"/>
              <w:rPr>
                <w:sz w:val="20"/>
                <w:szCs w:val="20"/>
                <w:color w:val="auto"/>
              </w:rPr>
            </w:pPr>
            <w:r>
              <w:rPr>
                <w:rFonts w:ascii="Arial" w:cs="Arial" w:eastAsia="Arial" w:hAnsi="Arial"/>
                <w:sz w:val="11"/>
                <w:szCs w:val="11"/>
                <w:b w:val="1"/>
                <w:bCs w:val="1"/>
                <w:color w:val="auto"/>
              </w:rPr>
              <w:t>Company's</w:t>
            </w:r>
          </w:p>
        </w:tc>
        <w:tc>
          <w:tcPr>
            <w:tcW w:w="1700" w:type="dxa"/>
            <w:vAlign w:val="bottom"/>
            <w:gridSpan w:val="3"/>
          </w:tcPr>
          <w:p>
            <w:pPr>
              <w:ind w:left="540"/>
              <w:spacing w:after="0" w:line="122" w:lineRule="exact"/>
              <w:rPr>
                <w:sz w:val="20"/>
                <w:szCs w:val="20"/>
                <w:color w:val="auto"/>
              </w:rPr>
            </w:pPr>
            <w:r>
              <w:rPr>
                <w:rFonts w:ascii="Arial" w:cs="Arial" w:eastAsia="Arial" w:hAnsi="Arial"/>
                <w:sz w:val="11"/>
                <w:szCs w:val="11"/>
                <w:b w:val="1"/>
                <w:bCs w:val="1"/>
                <w:color w:val="auto"/>
              </w:rPr>
              <w:t>Name of</w:t>
            </w:r>
          </w:p>
        </w:tc>
        <w:tc>
          <w:tcPr>
            <w:tcW w:w="980" w:type="dxa"/>
            <w:vAlign w:val="bottom"/>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Construction/</w:t>
            </w: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Expansion/</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20" w:type="dxa"/>
            <w:vAlign w:val="bottom"/>
          </w:tcPr>
          <w:p>
            <w:pPr>
              <w:spacing w:after="0"/>
              <w:rPr>
                <w:sz w:val="10"/>
                <w:szCs w:val="10"/>
                <w:color w:val="auto"/>
              </w:rPr>
            </w:pPr>
          </w:p>
        </w:tc>
        <w:tc>
          <w:tcPr>
            <w:tcW w:w="780" w:type="dxa"/>
            <w:vAlign w:val="bottom"/>
          </w:tcPr>
          <w:p>
            <w:pPr>
              <w:jc w:val="center"/>
              <w:ind w:left="8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90"/>
              </w:rPr>
              <w:t>Non-Owned</w:t>
            </w:r>
          </w:p>
        </w:tc>
        <w:tc>
          <w:tcPr>
            <w:tcW w:w="140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88"/>
              </w:rPr>
              <w:t>Company-Owned Anchors</w:t>
            </w:r>
          </w:p>
        </w:tc>
        <w:tc>
          <w:tcPr>
            <w:tcW w:w="0" w:type="dxa"/>
            <w:vAlign w:val="bottom"/>
          </w:tcPr>
          <w:p>
            <w:pPr>
              <w:spacing w:after="0"/>
              <w:rPr>
                <w:sz w:val="1"/>
                <w:szCs w:val="1"/>
                <w:color w:val="auto"/>
              </w:rPr>
            </w:pPr>
          </w:p>
        </w:tc>
      </w:tr>
      <w:tr>
        <w:trPr>
          <w:trHeight w:val="140"/>
        </w:trPr>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Count</w:t>
            </w:r>
          </w:p>
        </w:tc>
        <w:tc>
          <w:tcPr>
            <w:tcW w:w="114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Ownership(1)</w:t>
            </w:r>
          </w:p>
        </w:tc>
        <w:tc>
          <w:tcPr>
            <w:tcW w:w="1700" w:type="dxa"/>
            <w:vAlign w:val="bottom"/>
            <w:gridSpan w:val="3"/>
          </w:tcPr>
          <w:p>
            <w:pPr>
              <w:ind w:left="300"/>
              <w:spacing w:after="0"/>
              <w:rPr>
                <w:sz w:val="20"/>
                <w:szCs w:val="20"/>
                <w:color w:val="auto"/>
              </w:rPr>
            </w:pPr>
            <w:r>
              <w:rPr>
                <w:rFonts w:ascii="Arial" w:cs="Arial" w:eastAsia="Arial" w:hAnsi="Arial"/>
                <w:sz w:val="11"/>
                <w:szCs w:val="11"/>
                <w:b w:val="1"/>
                <w:bCs w:val="1"/>
                <w:color w:val="auto"/>
              </w:rPr>
              <w:t>Center/Location(2)</w:t>
            </w:r>
          </w:p>
        </w:tc>
        <w:tc>
          <w:tcPr>
            <w:tcW w:w="9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0"/>
              </w:rPr>
              <w:t>Acquisition</w:t>
            </w: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Renovation</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GLA(3)</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GLA</w:t>
            </w:r>
          </w:p>
        </w:tc>
        <w:tc>
          <w:tcPr>
            <w:tcW w:w="120" w:type="dxa"/>
            <w:vAlign w:val="bottom"/>
          </w:tcPr>
          <w:p>
            <w:pPr>
              <w:spacing w:after="0"/>
              <w:rPr>
                <w:sz w:val="12"/>
                <w:szCs w:val="12"/>
                <w:color w:val="auto"/>
              </w:rPr>
            </w:pPr>
          </w:p>
        </w:tc>
        <w:tc>
          <w:tcPr>
            <w:tcW w:w="780" w:type="dxa"/>
            <w:vAlign w:val="bottom"/>
          </w:tcPr>
          <w:p>
            <w:pPr>
              <w:jc w:val="center"/>
              <w:ind w:left="60"/>
              <w:spacing w:after="0"/>
              <w:rPr>
                <w:sz w:val="20"/>
                <w:szCs w:val="20"/>
                <w:color w:val="auto"/>
              </w:rPr>
            </w:pPr>
            <w:r>
              <w:rPr>
                <w:rFonts w:ascii="Arial" w:cs="Arial" w:eastAsia="Arial" w:hAnsi="Arial"/>
                <w:sz w:val="11"/>
                <w:szCs w:val="11"/>
                <w:b w:val="1"/>
                <w:bCs w:val="1"/>
                <w:color w:val="auto"/>
                <w:w w:val="90"/>
              </w:rPr>
              <w:t>GLA Leased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1"/>
                <w:szCs w:val="11"/>
                <w:b w:val="1"/>
                <w:bCs w:val="1"/>
                <w:color w:val="auto"/>
                <w:w w:val="91"/>
              </w:rPr>
              <w:t>Anchors (3)</w:t>
            </w:r>
          </w:p>
        </w:tc>
        <w:tc>
          <w:tcPr>
            <w:tcW w:w="1400" w:type="dxa"/>
            <w:vAlign w:val="bottom"/>
          </w:tcPr>
          <w:p>
            <w:pPr>
              <w:jc w:val="right"/>
              <w:ind w:right="618"/>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82"/>
              </w:rPr>
              <w:t>43</w:t>
            </w:r>
          </w:p>
        </w:tc>
        <w:tc>
          <w:tcPr>
            <w:tcW w:w="10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4"/>
              </w:rPr>
              <w:t>50%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Tysons Corner Center</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1968/2005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1,971,000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1,087,000</w:t>
            </w:r>
          </w:p>
        </w:tc>
        <w:tc>
          <w:tcPr>
            <w:tcW w:w="9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93.1</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90"/>
              </w:rPr>
              <w:t>Bloomingdale's, L.L.</w:t>
            </w:r>
          </w:p>
        </w:tc>
        <w:tc>
          <w:tcPr>
            <w:tcW w:w="0" w:type="dxa"/>
            <w:vAlign w:val="bottom"/>
          </w:tcPr>
          <w:p>
            <w:pPr>
              <w:spacing w:after="0"/>
              <w:rPr>
                <w:sz w:val="1"/>
                <w:szCs w:val="1"/>
                <w:color w:val="auto"/>
              </w:rPr>
            </w:pPr>
          </w:p>
        </w:tc>
      </w:tr>
      <w:tr>
        <w:trPr>
          <w:trHeight w:val="135"/>
        </w:trPr>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0" w:type="dxa"/>
            <w:vAlign w:val="bottom"/>
            <w:shd w:val="clear" w:color="auto" w:fill="CCEEFF"/>
          </w:tcPr>
          <w:p>
            <w:pPr>
              <w:jc w:val="center"/>
              <w:ind w:right="38"/>
              <w:spacing w:after="0" w:line="135" w:lineRule="exact"/>
              <w:rPr>
                <w:sz w:val="20"/>
                <w:szCs w:val="20"/>
                <w:color w:val="auto"/>
              </w:rPr>
            </w:pPr>
            <w:r>
              <w:rPr>
                <w:rFonts w:ascii="Arial" w:cs="Arial" w:eastAsia="Arial" w:hAnsi="Arial"/>
                <w:sz w:val="13"/>
                <w:szCs w:val="13"/>
                <w:color w:val="auto"/>
                <w:w w:val="92"/>
              </w:rPr>
              <w:t>Bean, Lord &amp;</w:t>
            </w: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Tysons Corner, Virginia</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8"/>
              </w:rPr>
              <w:t>Taylor(12), Macy's,</w:t>
            </w: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148"/>
        </w:trPr>
        <w:tc>
          <w:tcPr>
            <w:tcW w:w="5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2"/>
              </w:rPr>
              <w:t>44</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60%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spacing w:after="0" w:line="148" w:lineRule="exact"/>
              <w:rPr>
                <w:sz w:val="20"/>
                <w:szCs w:val="20"/>
                <w:color w:val="auto"/>
              </w:rPr>
            </w:pPr>
            <w:r>
              <w:rPr>
                <w:rFonts w:ascii="Arial" w:cs="Arial" w:eastAsia="Arial" w:hAnsi="Arial"/>
                <w:sz w:val="13"/>
                <w:szCs w:val="13"/>
                <w:color w:val="auto"/>
              </w:rPr>
              <w:t>Washington Square(11)</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1974/1999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2005</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1,296,000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573,000</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95.1</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9"/>
              </w:rPr>
              <w:t>Macy's</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3"/>
            <w:vMerge w:val="restart"/>
          </w:tcPr>
          <w:p>
            <w:pPr>
              <w:spacing w:after="0"/>
              <w:rPr>
                <w:sz w:val="20"/>
                <w:szCs w:val="20"/>
                <w:color w:val="auto"/>
              </w:rPr>
            </w:pPr>
            <w:r>
              <w:rPr>
                <w:rFonts w:ascii="Arial" w:cs="Arial" w:eastAsia="Arial" w:hAnsi="Arial"/>
                <w:sz w:val="13"/>
                <w:szCs w:val="13"/>
                <w:color w:val="auto"/>
              </w:rPr>
              <w:t>Portland, Oregon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jc w:val="center"/>
              <w:ind w:right="38"/>
              <w:spacing w:after="0"/>
              <w:rPr>
                <w:sz w:val="20"/>
                <w:szCs w:val="20"/>
                <w:color w:val="auto"/>
              </w:rPr>
            </w:pPr>
            <w:r>
              <w:rPr>
                <w:rFonts w:ascii="Arial" w:cs="Arial" w:eastAsia="Arial" w:hAnsi="Arial"/>
                <w:sz w:val="13"/>
                <w:szCs w:val="13"/>
                <w:color w:val="auto"/>
                <w:w w:val="85"/>
              </w:rPr>
              <w:t>JCPenney, Nordstrom</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2"/>
              </w:rPr>
              <w:t>45</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West Acres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1972/1986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691,000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426,000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Fargo, North Dakota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gridSpan w:val="6"/>
          </w:tcPr>
          <w:p>
            <w:pPr>
              <w:spacing w:after="0"/>
              <w:rPr>
                <w:sz w:val="20"/>
                <w:szCs w:val="20"/>
                <w:color w:val="auto"/>
              </w:rPr>
            </w:pPr>
            <w:r>
              <w:rPr>
                <w:rFonts w:ascii="Arial" w:cs="Arial" w:eastAsia="Arial" w:hAnsi="Arial"/>
                <w:sz w:val="13"/>
                <w:szCs w:val="13"/>
                <w:b w:val="1"/>
                <w:bCs w:val="1"/>
                <w:color w:val="auto"/>
              </w:rPr>
              <w:t>Total Unconsolidated Joint Ventures</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18,610,000</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9,760,000</w:t>
            </w:r>
          </w:p>
        </w:tc>
        <w:tc>
          <w:tcPr>
            <w:tcW w:w="104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94.4 %</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3820" w:type="dxa"/>
            <w:vAlign w:val="bottom"/>
            <w:gridSpan w:val="9"/>
            <w:shd w:val="clear" w:color="auto" w:fill="CCEEFF"/>
          </w:tcPr>
          <w:p>
            <w:pPr>
              <w:ind w:left="140"/>
              <w:spacing w:after="0"/>
              <w:rPr>
                <w:sz w:val="20"/>
                <w:szCs w:val="20"/>
                <w:color w:val="auto"/>
              </w:rPr>
            </w:pPr>
            <w:r>
              <w:rPr>
                <w:rFonts w:ascii="Arial" w:cs="Arial" w:eastAsia="Arial" w:hAnsi="Arial"/>
                <w:sz w:val="13"/>
                <w:szCs w:val="13"/>
                <w:b w:val="1"/>
                <w:bCs w:val="1"/>
                <w:color w:val="auto"/>
                <w:w w:val="97"/>
              </w:rPr>
              <w:t>REGIONAL SHOPPING CENTERS UNDER REDEVELOPMENT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2"/>
              </w:rPr>
              <w:t>46</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spacing w:after="0" w:line="148" w:lineRule="exact"/>
              <w:rPr>
                <w:sz w:val="20"/>
                <w:szCs w:val="20"/>
                <w:color w:val="auto"/>
              </w:rPr>
            </w:pPr>
            <w:r>
              <w:rPr>
                <w:rFonts w:ascii="Arial" w:cs="Arial" w:eastAsia="Arial" w:hAnsi="Arial"/>
                <w:sz w:val="13"/>
                <w:szCs w:val="13"/>
                <w:color w:val="auto"/>
              </w:rPr>
              <w:t>Fashion District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1977/2014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2019</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899,000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626,000</w:t>
            </w:r>
          </w:p>
        </w:tc>
        <w:tc>
          <w:tcPr>
            <w:tcW w:w="10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1020" w:type="dxa"/>
            <w:vAlign w:val="bottom"/>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Burlington, Century 21,</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Philadelphia(8)(13)</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jc w:val="center"/>
              <w:ind w:right="38"/>
              <w:spacing w:after="0"/>
              <w:rPr>
                <w:sz w:val="20"/>
                <w:szCs w:val="20"/>
                <w:color w:val="auto"/>
              </w:rPr>
            </w:pPr>
            <w:r>
              <w:rPr>
                <w:rFonts w:ascii="Arial" w:cs="Arial" w:eastAsia="Arial" w:hAnsi="Arial"/>
                <w:sz w:val="13"/>
                <w:szCs w:val="13"/>
                <w:color w:val="auto"/>
                <w:w w:val="91"/>
              </w:rPr>
              <w:t>Primark(15)</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Philadelphia, Pennsylvania</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2"/>
              </w:rPr>
              <w:t>47</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Paradise Valley Mall(4)(16)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1979/2002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1,202,000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421,000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18"/>
              <w:spacing w:after="0"/>
              <w:rPr>
                <w:sz w:val="20"/>
                <w:szCs w:val="20"/>
                <w:color w:val="auto"/>
              </w:rPr>
            </w:pPr>
            <w:r>
              <w:rPr>
                <w:rFonts w:ascii="Arial" w:cs="Arial" w:eastAsia="Arial" w:hAnsi="Arial"/>
                <w:sz w:val="13"/>
                <w:szCs w:val="13"/>
                <w:color w:val="auto"/>
                <w:w w:val="92"/>
              </w:rPr>
              <w:t>Dillard's,</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3"/>
              </w:rPr>
              <w:t>Costco</w:t>
            </w:r>
          </w:p>
        </w:tc>
        <w:tc>
          <w:tcPr>
            <w:tcW w:w="0" w:type="dxa"/>
            <w:vAlign w:val="bottom"/>
          </w:tcPr>
          <w:p>
            <w:pPr>
              <w:spacing w:after="0"/>
              <w:rPr>
                <w:sz w:val="1"/>
                <w:szCs w:val="1"/>
                <w:color w:val="auto"/>
              </w:rPr>
            </w:pPr>
          </w:p>
        </w:tc>
      </w:tr>
      <w:tr>
        <w:trPr>
          <w:trHeight w:val="135"/>
        </w:trPr>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Phoenix, Arizona</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8"/>
              <w:spacing w:after="0" w:line="135" w:lineRule="exact"/>
              <w:rPr>
                <w:sz w:val="20"/>
                <w:szCs w:val="20"/>
                <w:color w:val="auto"/>
              </w:rPr>
            </w:pPr>
            <w:r>
              <w:rPr>
                <w:rFonts w:ascii="Arial" w:cs="Arial" w:eastAsia="Arial" w:hAnsi="Arial"/>
                <w:sz w:val="13"/>
                <w:szCs w:val="13"/>
                <w:color w:val="auto"/>
                <w:w w:val="81"/>
              </w:rPr>
              <w:t>JCPenney,</w:t>
            </w: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gridSpan w:val="3"/>
            <w:vMerge w:val="continue"/>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0" w:type="dxa"/>
            <w:vAlign w:val="bottom"/>
            <w:tcBorders>
              <w:top w:val="single" w:sz="8" w:color="auto"/>
              <w:bottom w:val="single" w:sz="8" w:color="auto"/>
            </w:tcBorders>
          </w:tcPr>
          <w:p>
            <w:pPr>
              <w:jc w:val="center"/>
              <w:ind w:right="38"/>
              <w:spacing w:after="0"/>
              <w:rPr>
                <w:sz w:val="20"/>
                <w:szCs w:val="20"/>
                <w:color w:val="auto"/>
              </w:rPr>
            </w:pPr>
            <w:r>
              <w:rPr>
                <w:rFonts w:ascii="Arial" w:cs="Arial" w:eastAsia="Arial" w:hAnsi="Arial"/>
                <w:sz w:val="13"/>
                <w:szCs w:val="13"/>
                <w:color w:val="auto"/>
                <w:w w:val="82"/>
              </w:rPr>
              <w:t>47</w:t>
            </w: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gridSpan w:val="6"/>
          </w:tcPr>
          <w:p>
            <w:pPr>
              <w:spacing w:after="0"/>
              <w:rPr>
                <w:sz w:val="20"/>
                <w:szCs w:val="20"/>
                <w:color w:val="auto"/>
              </w:rPr>
            </w:pPr>
            <w:r>
              <w:rPr>
                <w:rFonts w:ascii="Arial" w:cs="Arial" w:eastAsia="Arial" w:hAnsi="Arial"/>
                <w:sz w:val="13"/>
                <w:szCs w:val="13"/>
                <w:b w:val="1"/>
                <w:bCs w:val="1"/>
                <w:color w:val="auto"/>
              </w:rPr>
              <w:t>Total Regional Shopping Centers</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45,891,000</w:t>
            </w:r>
          </w:p>
        </w:tc>
        <w:tc>
          <w:tcPr>
            <w:tcW w:w="1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23,021,000</w:t>
            </w:r>
          </w:p>
        </w:tc>
        <w:tc>
          <w:tcPr>
            <w:tcW w:w="104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94.0 %</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2840" w:type="dxa"/>
            <w:vAlign w:val="bottom"/>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w w:val="98"/>
              </w:rPr>
              <w:t>COMMUNITY/POWER SHOPPING CENTERS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 w:type="dxa"/>
            <w:vAlign w:val="bottom"/>
          </w:tcPr>
          <w:p>
            <w:pPr>
              <w:jc w:val="center"/>
              <w:ind w:right="18"/>
              <w:spacing w:after="0"/>
              <w:rPr>
                <w:sz w:val="20"/>
                <w:szCs w:val="20"/>
                <w:color w:val="auto"/>
              </w:rPr>
            </w:pPr>
            <w:r>
              <w:rPr>
                <w:rFonts w:ascii="Arial" w:cs="Arial" w:eastAsia="Arial" w:hAnsi="Arial"/>
                <w:sz w:val="13"/>
                <w:szCs w:val="13"/>
                <w:color w:val="auto"/>
                <w:w w:val="82"/>
              </w:rPr>
              <w:t>1</w:t>
            </w:r>
          </w:p>
        </w:tc>
        <w:tc>
          <w:tcPr>
            <w:tcW w:w="1020" w:type="dxa"/>
            <w:vAlign w:val="bottom"/>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Atlas Park, The Shops at(13)</w:t>
            </w:r>
          </w:p>
        </w:tc>
        <w:tc>
          <w:tcPr>
            <w:tcW w:w="800" w:type="dxa"/>
            <w:vAlign w:val="bottom"/>
          </w:tcPr>
          <w:p>
            <w:pPr>
              <w:jc w:val="right"/>
              <w:spacing w:after="0"/>
              <w:rPr>
                <w:sz w:val="20"/>
                <w:szCs w:val="20"/>
                <w:color w:val="auto"/>
              </w:rPr>
            </w:pPr>
            <w:r>
              <w:rPr>
                <w:rFonts w:ascii="Arial" w:cs="Arial" w:eastAsia="Arial" w:hAnsi="Arial"/>
                <w:sz w:val="13"/>
                <w:szCs w:val="13"/>
                <w:color w:val="auto"/>
              </w:rPr>
              <w:t>2006/2011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369,000</w:t>
            </w:r>
          </w:p>
        </w:tc>
        <w:tc>
          <w:tcPr>
            <w:tcW w:w="1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369,000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89.9</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color w:val="auto"/>
              </w:rPr>
              <w:t>—</w:t>
            </w:r>
          </w:p>
        </w:tc>
        <w:tc>
          <w:tcPr>
            <w:tcW w:w="1400" w:type="dxa"/>
            <w:vAlign w:val="bottom"/>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Queens, New York</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0" w:type="dxa"/>
            <w:vAlign w:val="bottom"/>
            <w:shd w:val="clear" w:color="auto" w:fill="CCEEFF"/>
          </w:tcPr>
          <w:p>
            <w:pPr>
              <w:jc w:val="center"/>
              <w:ind w:right="18"/>
              <w:spacing w:after="0"/>
              <w:rPr>
                <w:sz w:val="20"/>
                <w:szCs w:val="20"/>
                <w:color w:val="auto"/>
              </w:rPr>
            </w:pPr>
            <w:r>
              <w:rPr>
                <w:rFonts w:ascii="Arial" w:cs="Arial" w:eastAsia="Arial" w:hAnsi="Arial"/>
                <w:sz w:val="13"/>
                <w:szCs w:val="13"/>
                <w:color w:val="auto"/>
                <w:w w:val="82"/>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Boulevard Shops(13)</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2001/2002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184,000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184,000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Chandler, Arizona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center"/>
              <w:ind w:right="18"/>
              <w:spacing w:after="0" w:line="148" w:lineRule="exact"/>
              <w:rPr>
                <w:sz w:val="20"/>
                <w:szCs w:val="20"/>
                <w:color w:val="auto"/>
              </w:rPr>
            </w:pPr>
            <w:r>
              <w:rPr>
                <w:rFonts w:ascii="Arial" w:cs="Arial" w:eastAsia="Arial" w:hAnsi="Arial"/>
                <w:sz w:val="13"/>
                <w:szCs w:val="13"/>
                <w:color w:val="auto"/>
                <w:w w:val="82"/>
              </w:rPr>
              <w:t>3</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spacing w:after="0" w:line="148" w:lineRule="exact"/>
              <w:rPr>
                <w:sz w:val="20"/>
                <w:szCs w:val="20"/>
                <w:color w:val="auto"/>
              </w:rPr>
            </w:pPr>
            <w:r>
              <w:rPr>
                <w:rFonts w:ascii="Arial" w:cs="Arial" w:eastAsia="Arial" w:hAnsi="Arial"/>
                <w:sz w:val="13"/>
                <w:szCs w:val="13"/>
                <w:color w:val="auto"/>
              </w:rPr>
              <w:t>Southridge Center(4)(16)</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1975/1998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848,000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459,000</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77.4</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8"/>
              </w:rPr>
              <w:t>Des Moines Area</w:t>
            </w:r>
          </w:p>
        </w:tc>
        <w:tc>
          <w:tcPr>
            <w:tcW w:w="1400" w:type="dxa"/>
            <w:vAlign w:val="bottom"/>
          </w:tcPr>
          <w:p>
            <w:pPr>
              <w:jc w:val="center"/>
              <w:ind w:right="58"/>
              <w:spacing w:after="0" w:line="148" w:lineRule="exact"/>
              <w:rPr>
                <w:sz w:val="20"/>
                <w:szCs w:val="20"/>
                <w:color w:val="auto"/>
              </w:rPr>
            </w:pPr>
            <w:r>
              <w:rPr>
                <w:rFonts w:ascii="Arial" w:cs="Arial" w:eastAsia="Arial" w:hAnsi="Arial"/>
                <w:sz w:val="13"/>
                <w:szCs w:val="13"/>
                <w:color w:val="auto"/>
                <w:w w:val="85"/>
              </w:rPr>
              <w:t>Target</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3"/>
            <w:vMerge w:val="restart"/>
          </w:tcPr>
          <w:p>
            <w:pPr>
              <w:spacing w:after="0"/>
              <w:rPr>
                <w:sz w:val="20"/>
                <w:szCs w:val="20"/>
                <w:color w:val="auto"/>
              </w:rPr>
            </w:pPr>
            <w:r>
              <w:rPr>
                <w:rFonts w:ascii="Arial" w:cs="Arial" w:eastAsia="Arial" w:hAnsi="Arial"/>
                <w:sz w:val="13"/>
                <w:szCs w:val="13"/>
                <w:color w:val="auto"/>
              </w:rPr>
              <w:t>Des Moines, Iowa</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91"/>
              </w:rPr>
              <w:t>Community</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38"/>
              <w:spacing w:after="0"/>
              <w:rPr>
                <w:sz w:val="20"/>
                <w:szCs w:val="20"/>
                <w:color w:val="auto"/>
              </w:rPr>
            </w:pPr>
            <w:r>
              <w:rPr>
                <w:rFonts w:ascii="Arial" w:cs="Arial" w:eastAsia="Arial" w:hAnsi="Arial"/>
                <w:sz w:val="13"/>
                <w:szCs w:val="13"/>
                <w:color w:val="auto"/>
                <w:w w:val="90"/>
              </w:rPr>
              <w:t>College</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jc w:val="center"/>
              <w:ind w:right="18"/>
              <w:spacing w:after="0"/>
              <w:rPr>
                <w:sz w:val="20"/>
                <w:szCs w:val="20"/>
                <w:color w:val="auto"/>
              </w:rPr>
            </w:pPr>
            <w:r>
              <w:rPr>
                <w:rFonts w:ascii="Arial" w:cs="Arial" w:eastAsia="Arial" w:hAnsi="Arial"/>
                <w:sz w:val="13"/>
                <w:szCs w:val="13"/>
                <w:color w:val="auto"/>
                <w:w w:val="82"/>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Superstition Springs Power</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1990/2002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206,000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6"/>
              </w:rPr>
              <w:t>Best Buy,</w:t>
            </w:r>
          </w:p>
        </w:tc>
        <w:tc>
          <w:tcPr>
            <w:tcW w:w="1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Center(16)</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5"/>
              </w:rPr>
              <w:t>Burlington</w:t>
            </w: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Mesa, Arizona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jc w:val="center"/>
              <w:ind w:right="18"/>
              <w:spacing w:after="0" w:line="148" w:lineRule="exact"/>
              <w:rPr>
                <w:sz w:val="20"/>
                <w:szCs w:val="20"/>
                <w:color w:val="auto"/>
              </w:rPr>
            </w:pPr>
            <w:r>
              <w:rPr>
                <w:rFonts w:ascii="Arial" w:cs="Arial" w:eastAsia="Arial" w:hAnsi="Arial"/>
                <w:sz w:val="13"/>
                <w:szCs w:val="13"/>
                <w:color w:val="auto"/>
                <w:w w:val="82"/>
              </w:rPr>
              <w:t>5</w:t>
            </w: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spacing w:after="0" w:line="148" w:lineRule="exact"/>
              <w:rPr>
                <w:sz w:val="20"/>
                <w:szCs w:val="20"/>
                <w:color w:val="auto"/>
              </w:rPr>
            </w:pPr>
            <w:r>
              <w:rPr>
                <w:rFonts w:ascii="Arial" w:cs="Arial" w:eastAsia="Arial" w:hAnsi="Arial"/>
                <w:sz w:val="13"/>
                <w:szCs w:val="13"/>
                <w:color w:val="auto"/>
              </w:rPr>
              <w:t>The Marketplace at</w:t>
            </w:r>
          </w:p>
        </w:tc>
        <w:tc>
          <w:tcPr>
            <w:tcW w:w="98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268,000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147,000</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100.0</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1020" w:type="dxa"/>
            <w:vAlign w:val="bottom"/>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0"/>
              </w:rPr>
              <w:t>Home Depot</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Flagstaff(8)(16)</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Flagstaff, Arizona</w:t>
            </w: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0" w:type="dxa"/>
            <w:vAlign w:val="bottom"/>
            <w:tcBorders>
              <w:bottom w:val="single" w:sz="8" w:color="auto"/>
            </w:tcBorders>
            <w:shd w:val="clear" w:color="auto" w:fill="CCEEFF"/>
          </w:tcPr>
          <w:p>
            <w:pPr>
              <w:jc w:val="center"/>
              <w:ind w:right="18"/>
              <w:spacing w:after="0"/>
              <w:rPr>
                <w:sz w:val="20"/>
                <w:szCs w:val="20"/>
                <w:color w:val="auto"/>
              </w:rPr>
            </w:pPr>
            <w:r>
              <w:rPr>
                <w:rFonts w:ascii="Arial" w:cs="Arial" w:eastAsia="Arial" w:hAnsi="Arial"/>
                <w:sz w:val="13"/>
                <w:szCs w:val="13"/>
                <w:color w:val="auto"/>
                <w:w w:val="82"/>
              </w:rPr>
              <w:t>5</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8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Total Community/Power Shopping Centers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1,875,000</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1,212,000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color w:val="auto"/>
                <w:w w:val="82"/>
              </w:rPr>
              <w:t>52</w:t>
            </w: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b w:val="1"/>
                <w:bCs w:val="1"/>
                <w:color w:val="auto"/>
              </w:rPr>
              <w:t>Total before Other Assets</w:t>
            </w: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47,766,000</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24,233,000</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ind w:left="140"/>
              <w:spacing w:after="0"/>
              <w:rPr>
                <w:sz w:val="20"/>
                <w:szCs w:val="20"/>
                <w:color w:val="auto"/>
              </w:rPr>
            </w:pPr>
            <w:r>
              <w:rPr>
                <w:rFonts w:ascii="Arial" w:cs="Arial" w:eastAsia="Arial" w:hAnsi="Arial"/>
                <w:sz w:val="13"/>
                <w:szCs w:val="13"/>
                <w:b w:val="1"/>
                <w:bCs w:val="1"/>
                <w:color w:val="auto"/>
                <w:w w:val="92"/>
              </w:rPr>
              <w:t>OTHER ASSETS:</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Various(16)(17)</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427,000</w:t>
            </w:r>
          </w:p>
        </w:tc>
        <w:tc>
          <w:tcPr>
            <w:tcW w:w="1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224,000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color w:val="auto"/>
              </w:rPr>
              <w:t>—</w:t>
            </w:r>
          </w:p>
        </w:tc>
        <w:tc>
          <w:tcPr>
            <w:tcW w:w="1400" w:type="dxa"/>
            <w:vAlign w:val="bottom"/>
          </w:tcPr>
          <w:p>
            <w:pPr>
              <w:jc w:val="center"/>
              <w:ind w:right="38"/>
              <w:spacing w:after="0"/>
              <w:rPr>
                <w:sz w:val="20"/>
                <w:szCs w:val="20"/>
                <w:color w:val="auto"/>
              </w:rPr>
            </w:pPr>
            <w:r>
              <w:rPr>
                <w:rFonts w:ascii="Arial" w:cs="Arial" w:eastAsia="Arial" w:hAnsi="Arial"/>
                <w:sz w:val="13"/>
                <w:szCs w:val="13"/>
                <w:color w:val="auto"/>
                <w:w w:val="97"/>
              </w:rPr>
              <w:t>Kohl's</w:t>
            </w:r>
          </w:p>
        </w:tc>
        <w:tc>
          <w:tcPr>
            <w:tcW w:w="0" w:type="dxa"/>
            <w:vAlign w:val="bottom"/>
          </w:tcPr>
          <w:p>
            <w:pPr>
              <w:spacing w:after="0"/>
              <w:rPr>
                <w:sz w:val="1"/>
                <w:szCs w:val="1"/>
                <w:color w:val="auto"/>
              </w:rPr>
            </w:pPr>
          </w:p>
        </w:tc>
      </w:tr>
      <w:tr>
        <w:trPr>
          <w:trHeight w:val="181"/>
        </w:trPr>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Estrella Falls(16)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Goodyear, Arizona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spacing w:after="0" w:line="148" w:lineRule="exact"/>
              <w:rPr>
                <w:sz w:val="20"/>
                <w:szCs w:val="20"/>
                <w:color w:val="auto"/>
              </w:rPr>
            </w:pPr>
            <w:r>
              <w:rPr>
                <w:rFonts w:ascii="Arial" w:cs="Arial" w:eastAsia="Arial" w:hAnsi="Arial"/>
                <w:sz w:val="13"/>
                <w:szCs w:val="13"/>
                <w:color w:val="auto"/>
              </w:rPr>
              <w:t>Scottsdale Fashion Square-</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1984/2002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2016</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124,000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tcPr>
          <w:p>
            <w:pPr>
              <w:ind w:lef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Office(13)</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Scottsdale, Arizona</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Tysons Corner Center-</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1999/2005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174,000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Office(13)</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Tysons Corner, Virginia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3"/>
          </w:tcPr>
          <w:p>
            <w:pPr>
              <w:spacing w:after="0" w:line="148" w:lineRule="exact"/>
              <w:rPr>
                <w:sz w:val="20"/>
                <w:szCs w:val="20"/>
                <w:color w:val="auto"/>
              </w:rPr>
            </w:pPr>
            <w:r>
              <w:rPr>
                <w:rFonts w:ascii="Arial" w:cs="Arial" w:eastAsia="Arial" w:hAnsi="Arial"/>
                <w:sz w:val="13"/>
                <w:szCs w:val="13"/>
                <w:color w:val="auto"/>
              </w:rPr>
              <w:t>Hyatt Regency Tysons</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9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290,000</w:t>
            </w:r>
          </w:p>
        </w:tc>
        <w:tc>
          <w:tcPr>
            <w:tcW w:w="120" w:type="dxa"/>
            <w:vAlign w:val="bottom"/>
          </w:tcPr>
          <w:p>
            <w:pPr>
              <w:spacing w:after="0"/>
              <w:rPr>
                <w:sz w:val="12"/>
                <w:szCs w:val="12"/>
                <w:color w:val="auto"/>
              </w:rPr>
            </w:pPr>
          </w:p>
        </w:tc>
        <w:tc>
          <w:tcPr>
            <w:tcW w:w="10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ind w:left="340"/>
              <w:spacing w:after="0" w:line="148" w:lineRule="exact"/>
              <w:rPr>
                <w:sz w:val="20"/>
                <w:szCs w:val="20"/>
                <w:color w:val="auto"/>
              </w:rPr>
            </w:pPr>
            <w:r>
              <w:rPr>
                <w:rFonts w:ascii="Arial" w:cs="Arial" w:eastAsia="Arial" w:hAnsi="Arial"/>
                <w:sz w:val="13"/>
                <w:szCs w:val="13"/>
                <w:color w:val="auto"/>
              </w:rPr>
              <w:t>—</w:t>
            </w:r>
          </w:p>
        </w:tc>
        <w:tc>
          <w:tcPr>
            <w:tcW w:w="1400" w:type="dxa"/>
            <w:vAlign w:val="bottom"/>
          </w:tcPr>
          <w:p>
            <w:pPr>
              <w:ind w:lef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Corner Center(13)</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Tysons Corner, Virginia</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VITA Tysons Corner</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510,000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Center(13)</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Tysons Corner, Virginia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84"/>
              </w:rPr>
              <w:t>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Tysons Tower(13)</w:t>
            </w:r>
          </w:p>
        </w:tc>
        <w:tc>
          <w:tcPr>
            <w:tcW w:w="800" w:type="dxa"/>
            <w:vAlign w:val="bottom"/>
          </w:tcPr>
          <w:p>
            <w:pPr>
              <w:jc w:val="right"/>
              <w:spacing w:after="0"/>
              <w:rPr>
                <w:sz w:val="20"/>
                <w:szCs w:val="20"/>
                <w:color w:val="auto"/>
              </w:rPr>
            </w:pPr>
            <w:r>
              <w:rPr>
                <w:rFonts w:ascii="Arial" w:cs="Arial" w:eastAsia="Arial" w:hAnsi="Arial"/>
                <w:sz w:val="13"/>
                <w:szCs w:val="13"/>
                <w:color w:val="auto"/>
              </w:rPr>
              <w:t>2014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2014</w:t>
            </w: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529,000</w:t>
            </w:r>
          </w:p>
        </w:tc>
        <w:tc>
          <w:tcPr>
            <w:tcW w:w="1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color w:val="auto"/>
              </w:rPr>
              <w:t>—</w:t>
            </w:r>
          </w:p>
        </w:tc>
        <w:tc>
          <w:tcPr>
            <w:tcW w:w="1400" w:type="dxa"/>
            <w:vAlign w:val="bottom"/>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Tysons Corner, Virginia</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 w:type="dxa"/>
            <w:vAlign w:val="bottom"/>
            <w:shd w:val="clear" w:color="auto" w:fill="CCEEFF"/>
          </w:tcPr>
          <w:p>
            <w:pPr>
              <w:spacing w:after="0"/>
              <w:rPr>
                <w:sz w:val="17"/>
                <w:szCs w:val="17"/>
                <w:color w:val="auto"/>
              </w:rPr>
            </w:pPr>
          </w:p>
        </w:tc>
        <w:tc>
          <w:tcPr>
            <w:tcW w:w="2840" w:type="dxa"/>
            <w:vAlign w:val="bottom"/>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rPr>
              <w:t>OTHER ASSETS UNDER DEVELOPMENT: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84"/>
              </w:rPr>
              <w:t>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3"/>
                <w:szCs w:val="13"/>
                <w:color w:val="auto"/>
              </w:rPr>
              <w:t>One Westside(13)(18)</w:t>
            </w:r>
          </w:p>
        </w:tc>
        <w:tc>
          <w:tcPr>
            <w:tcW w:w="800" w:type="dxa"/>
            <w:vAlign w:val="bottom"/>
          </w:tcPr>
          <w:p>
            <w:pPr>
              <w:jc w:val="right"/>
              <w:spacing w:after="0"/>
              <w:rPr>
                <w:sz w:val="20"/>
                <w:szCs w:val="20"/>
                <w:color w:val="auto"/>
              </w:rPr>
            </w:pPr>
            <w:r>
              <w:rPr>
                <w:rFonts w:ascii="Arial" w:cs="Arial" w:eastAsia="Arial" w:hAnsi="Arial"/>
                <w:sz w:val="13"/>
                <w:szCs w:val="13"/>
                <w:color w:val="auto"/>
              </w:rPr>
              <w:t>1985/1998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60"/>
              <w:spacing w:after="0"/>
              <w:rPr>
                <w:sz w:val="20"/>
                <w:szCs w:val="20"/>
                <w:color w:val="auto"/>
              </w:rPr>
            </w:pPr>
            <w:r>
              <w:rPr>
                <w:rFonts w:ascii="Arial" w:cs="Arial" w:eastAsia="Arial" w:hAnsi="Arial"/>
                <w:sz w:val="13"/>
                <w:szCs w:val="13"/>
                <w:color w:val="auto"/>
              </w:rPr>
              <w:t>Ongoing</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680,000</w:t>
            </w:r>
          </w:p>
        </w:tc>
        <w:tc>
          <w:tcPr>
            <w:tcW w:w="1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color w:val="auto"/>
              </w:rPr>
              <w:t>—</w:t>
            </w:r>
          </w:p>
        </w:tc>
        <w:tc>
          <w:tcPr>
            <w:tcW w:w="1400" w:type="dxa"/>
            <w:vAlign w:val="bottom"/>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5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Los Angeles, California</w:t>
            </w: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Total Other Assets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2,813,000</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303,000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3"/>
                <w:szCs w:val="13"/>
                <w:b w:val="1"/>
                <w:bCs w:val="1"/>
                <w:color w:val="auto"/>
              </w:rPr>
              <w:t>Grand Total</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50,579,000</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24,536,000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240" w:top="742" w:right="89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________________________</w:t>
      </w:r>
    </w:p>
    <w:p>
      <w:pPr>
        <w:spacing w:after="0" w:line="150" w:lineRule="exact"/>
        <w:rPr>
          <w:sz w:val="20"/>
          <w:szCs w:val="20"/>
          <w:color w:val="auto"/>
        </w:rPr>
      </w:pPr>
    </w:p>
    <w:p>
      <w:pPr>
        <w:ind w:left="820" w:right="40" w:hanging="407"/>
        <w:spacing w:after="0" w:line="246" w:lineRule="auto"/>
        <w:tabs>
          <w:tab w:leader="none" w:pos="8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114" w:lineRule="exact"/>
        <w:rPr>
          <w:rFonts w:ascii="Arial" w:cs="Arial" w:eastAsia="Arial" w:hAnsi="Arial"/>
          <w:sz w:val="14"/>
          <w:szCs w:val="14"/>
          <w:color w:val="auto"/>
        </w:rPr>
      </w:pPr>
    </w:p>
    <w:p>
      <w:pPr>
        <w:ind w:left="820" w:right="60" w:hanging="407"/>
        <w:spacing w:after="0" w:line="249" w:lineRule="auto"/>
        <w:tabs>
          <w:tab w:leader="none" w:pos="8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With respect to 42 Centers, the underlying land controlled by the Company is owned in fee entirely by the Company or, in the case of Joint Venture Centers, by the joint venture property partnership or limited liability company. With respect to the remaining ten Centers, portions of the underlying land controlled by the Company are owned by third parties and leased to the Company, or the joint venture property partnership or limited liability company, pursuant to long-term ground leases. Under the terms of a typical ground lease, the Company, or the joint venture property partnership or limited liability company, has an option or right of first refusal to purchase the land. The termination dates of the ground leases range from 2028 to 2098.</w:t>
      </w:r>
    </w:p>
    <w:p>
      <w:pPr>
        <w:spacing w:after="0" w:line="123" w:lineRule="exact"/>
        <w:rPr>
          <w:rFonts w:ascii="Arial" w:cs="Arial" w:eastAsia="Arial" w:hAnsi="Arial"/>
          <w:sz w:val="14"/>
          <w:szCs w:val="14"/>
          <w:color w:val="auto"/>
        </w:rPr>
      </w:pPr>
    </w:p>
    <w:p>
      <w:pPr>
        <w:ind w:left="820" w:hanging="407"/>
        <w:spacing w:after="0" w:line="252" w:lineRule="auto"/>
        <w:tabs>
          <w:tab w:leader="none" w:pos="8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GLA includes GLA attributable to Anchors (whether owned or non-owned) and Mall and Freestanding Stores as of December 31, 2019.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w:t>
      </w:r>
    </w:p>
    <w:p>
      <w:pPr>
        <w:spacing w:after="0" w:line="120" w:lineRule="exact"/>
        <w:rPr>
          <w:rFonts w:ascii="Arial" w:cs="Arial" w:eastAsia="Arial" w:hAnsi="Arial"/>
          <w:sz w:val="14"/>
          <w:szCs w:val="14"/>
          <w:color w:val="auto"/>
        </w:rPr>
      </w:pPr>
    </w:p>
    <w:p>
      <w:pPr>
        <w:jc w:val="both"/>
        <w:ind w:left="820" w:right="300" w:hanging="407"/>
        <w:spacing w:after="0" w:line="257" w:lineRule="auto"/>
        <w:tabs>
          <w:tab w:leader="none" w:pos="8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Centers have vacant Anchor locations. The Company is actively seeking replacement tenants or has entered into replacement leases for many of these vacant sites and/or is currently executing or considering redevelopment opportunities for these locations. The Company continues to collect rent under the terms of an agreement regarding one of these vacant Anchors.</w:t>
      </w:r>
    </w:p>
    <w:p>
      <w:pPr>
        <w:spacing w:after="0" w:line="104" w:lineRule="exact"/>
        <w:rPr>
          <w:rFonts w:ascii="Arial" w:cs="Arial" w:eastAsia="Arial" w:hAnsi="Arial"/>
          <w:sz w:val="14"/>
          <w:szCs w:val="14"/>
          <w:color w:val="auto"/>
        </w:rPr>
      </w:pPr>
    </w:p>
    <w:p>
      <w:pPr>
        <w:ind w:left="820" w:right="180" w:hanging="407"/>
        <w:spacing w:after="0" w:line="273" w:lineRule="auto"/>
        <w:tabs>
          <w:tab w:leader="none" w:pos="8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Forever 21 has announced plans to close two of their stores in early 2020 at Arrowhead Towne Center and Danbury Fair Mall. The Company is actively seeking replacement tenants for these Company-owned sites.</w:t>
      </w:r>
    </w:p>
    <w:p>
      <w:pPr>
        <w:spacing w:after="0" w:line="106" w:lineRule="exact"/>
        <w:rPr>
          <w:rFonts w:ascii="Arial" w:cs="Arial" w:eastAsia="Arial" w:hAnsi="Arial"/>
          <w:sz w:val="14"/>
          <w:szCs w:val="14"/>
          <w:color w:val="auto"/>
        </w:rPr>
      </w:pPr>
    </w:p>
    <w:p>
      <w:pPr>
        <w:ind w:left="820" w:right="160" w:hanging="407"/>
        <w:spacing w:after="0" w:line="273" w:lineRule="auto"/>
        <w:tabs>
          <w:tab w:leader="none" w:pos="8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three Sears stores are closing in early 2020. The Company continues to collect rent under the terms of the related leases. The Company is actively seeking replacement tenants for these Company-owned sites.</w:t>
      </w:r>
    </w:p>
    <w:p>
      <w:pPr>
        <w:spacing w:after="0" w:line="106"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Center had a Sears store, not owned by the Company, that closed.</w:t>
      </w:r>
    </w:p>
    <w:p>
      <w:pPr>
        <w:spacing w:after="0" w:line="136"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Portions of the land on which the Center is situated are subject to one or more long-term ground leases.</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JCPenney announced plans to close their Green Acres Mall store in 2020. The Company is actively releasing this store.</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Nordstrom has announced plans to open a 116,000 square foot store at Country Club Plaza in 2021.</w:t>
      </w:r>
    </w:p>
    <w:p>
      <w:pPr>
        <w:spacing w:after="0" w:line="136" w:lineRule="exact"/>
        <w:rPr>
          <w:rFonts w:ascii="Arial" w:cs="Arial" w:eastAsia="Arial" w:hAnsi="Arial"/>
          <w:sz w:val="14"/>
          <w:szCs w:val="14"/>
          <w:color w:val="auto"/>
        </w:rPr>
      </w:pPr>
    </w:p>
    <w:p>
      <w:pPr>
        <w:ind w:left="800" w:hanging="387"/>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Center has a vacant former Sears to be demolished for redevelopment.</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Lord &amp; Taylor store closed in January 2020. The joint venture is actively evaluating redevelopment opportunities.</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Included in Unconsolidated Joint Venture Centers.</w:t>
      </w:r>
    </w:p>
    <w:p>
      <w:pPr>
        <w:spacing w:after="0" w:line="136" w:lineRule="exact"/>
        <w:rPr>
          <w:rFonts w:ascii="Arial" w:cs="Arial" w:eastAsia="Arial" w:hAnsi="Arial"/>
          <w:sz w:val="14"/>
          <w:szCs w:val="14"/>
          <w:color w:val="auto"/>
        </w:rPr>
      </w:pPr>
    </w:p>
    <w:p>
      <w:pPr>
        <w:ind w:left="820" w:right="700" w:hanging="407"/>
        <w:spacing w:after="0" w:line="273" w:lineRule="auto"/>
        <w:tabs>
          <w:tab w:leader="none" w:pos="81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Tenant spaces have been intentionally held off the market and remain vacant because of redevelopment plans. As a result, the Company believes the percentage of mall and freestanding GLA leased at this redevelopment property is not meaningful data.</w:t>
      </w:r>
    </w:p>
    <w:p>
      <w:pPr>
        <w:spacing w:after="0" w:line="106"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Primark has announced plans to open a 47,000 square foot store at Fashion District Philadelphia in Spring 2021.</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Included in Consolidated Centers.</w:t>
      </w:r>
    </w:p>
    <w:p>
      <w:pPr>
        <w:spacing w:after="0" w:line="136" w:lineRule="exact"/>
        <w:rPr>
          <w:rFonts w:ascii="Arial" w:cs="Arial" w:eastAsia="Arial" w:hAnsi="Arial"/>
          <w:sz w:val="14"/>
          <w:szCs w:val="14"/>
          <w:color w:val="auto"/>
        </w:rPr>
      </w:pPr>
    </w:p>
    <w:p>
      <w:pPr>
        <w:ind w:left="820" w:right="80" w:hanging="407"/>
        <w:spacing w:after="0" w:line="273" w:lineRule="auto"/>
        <w:tabs>
          <w:tab w:leader="none" w:pos="817"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Company owns an office building and six stores located at shopping centers not owned by the Company. Of the six stores, one has been leased to Kohl's, two are vacant and three have been leased for non-Anchor uses. With respect to the office building and three of the six stores, the underlying land is owned in fee entirely by the Company. With respect to the remaining three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termination dates of the ground leases range from 2023 to 2027.</w:t>
      </w:r>
    </w:p>
    <w:p>
      <w:pPr>
        <w:spacing w:after="0" w:line="108" w:lineRule="exact"/>
        <w:rPr>
          <w:rFonts w:ascii="Arial" w:cs="Arial" w:eastAsia="Arial" w:hAnsi="Arial"/>
          <w:sz w:val="13"/>
          <w:szCs w:val="13"/>
          <w:color w:val="auto"/>
        </w:rPr>
      </w:pPr>
    </w:p>
    <w:p>
      <w:pPr>
        <w:ind w:left="820" w:right="280" w:hanging="407"/>
        <w:spacing w:after="0" w:line="273" w:lineRule="auto"/>
        <w:tabs>
          <w:tab w:leader="none" w:pos="817"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One Westside, formerly known as Westside Pavilion, was a regional shopping center that closed in January 2019. This property is under redevelopment into 584,000 square feet of creative office leased entirely to Google, along with 96,000 square feet of existing dining and entertainment space.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Mortgage Debt</w:t>
      </w:r>
    </w:p>
    <w:p>
      <w:pPr>
        <w:spacing w:after="0" w:line="14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certain information regarding the mortgages encumbering the Centers, including those Centers in which the Company has less than a 100% interest. The information set forth below is as of December 31, 2019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Effective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Annual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Earliest Date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Fixed or</w:t>
            </w:r>
          </w:p>
        </w:tc>
        <w:tc>
          <w:tcPr>
            <w:tcW w:w="180" w:type="dxa"/>
            <w:vAlign w:val="bottom"/>
          </w:tcPr>
          <w:p>
            <w:pPr>
              <w:spacing w:after="0"/>
              <w:rPr>
                <w:sz w:val="12"/>
                <w:szCs w:val="12"/>
                <w:color w:val="auto"/>
              </w:rPr>
            </w:pPr>
          </w:p>
        </w:tc>
        <w:tc>
          <w:tcPr>
            <w:tcW w:w="10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Maturity</w:t>
            </w:r>
          </w:p>
        </w:tc>
        <w:tc>
          <w:tcPr>
            <w:tcW w:w="10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Notes Can Be</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Debt</w:t>
            </w:r>
          </w:p>
        </w:tc>
        <w:tc>
          <w:tcPr>
            <w:tcW w:w="1460" w:type="dxa"/>
            <w:vAlign w:val="bottom"/>
            <w:gridSpan w:val="3"/>
            <w:vMerge w:val="continue"/>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Due on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Defeased or</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Rate(2)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Service(3)</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Date(4)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 Prepaid</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Centers:</w:t>
            </w: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Chandler Fashion Center(5)(6)</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255,174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4.18</w:t>
            </w:r>
          </w:p>
        </w:tc>
        <w:tc>
          <w:tcPr>
            <w:tcW w:w="460" w:type="dxa"/>
            <w:vAlign w:val="bottom"/>
            <w:gridSpan w:val="3"/>
          </w:tcPr>
          <w:p>
            <w:pPr>
              <w:ind w:left="40"/>
              <w:spacing w:after="0"/>
              <w:rPr>
                <w:sz w:val="20"/>
                <w:szCs w:val="20"/>
                <w:color w:val="auto"/>
              </w:rPr>
            </w:pPr>
            <w:r>
              <w:rPr>
                <w:rFonts w:ascii="Arial" w:cs="Arial" w:eastAsia="Arial" w:hAnsi="Arial"/>
                <w:sz w:val="16"/>
                <w:szCs w:val="16"/>
                <w:color w:val="auto"/>
              </w:rPr>
              <w:t>%  $</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10,496</w:t>
            </w:r>
          </w:p>
        </w:tc>
        <w:tc>
          <w:tcPr>
            <w:tcW w:w="120" w:type="dxa"/>
            <w:vAlign w:val="bottom"/>
          </w:tcPr>
          <w:p>
            <w:pPr>
              <w:spacing w:after="0"/>
              <w:rPr>
                <w:sz w:val="21"/>
                <w:szCs w:val="21"/>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7/5/24  $</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256,000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7/15/2020</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Danbury Fair Mall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194,718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18,456</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188,854</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Fashion Outlets of Chicago(7)</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299,112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4.61</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13,740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Fashion Outlets of Niagara Falls USA</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106,398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8,724</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103,810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Freehold Raceway Mall(5)</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398,379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3.94</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15,600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386,013</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11/1/22</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Fresno Fashion Fair</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323,659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11,652</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325,000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Green Acres Commons(8)</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Floating</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128,926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4.40</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4,993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130,000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 Acres Mall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277,747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17,364</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269,922</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Kings Plaza Shopping Center(9)</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535,097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3.71</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19,548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540,000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2/1/2023</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Oaks, The</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187,142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12,768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174,433</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Pacific View</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118,202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4.08</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8,016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110,597</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Queens Center</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20,928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Santa Monica Place(10)</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Floating</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297,817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3.34</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9,270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SanTan Village Regional Center(11)</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219,140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9,460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220,000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7/1/2023</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Towne Mall</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20,284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18,886</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Tucson La Encantada</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63,682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4,416</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59,788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Victor Valley, Mall of</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114,733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4,560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115,000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Vintage Faire Mall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252,389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15,072</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210,825</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4,392,599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37"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Annual</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Balance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Earliest Date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Fixed or</w:t>
            </w:r>
          </w:p>
        </w:tc>
        <w:tc>
          <w:tcPr>
            <w:tcW w:w="180" w:type="dxa"/>
            <w:vAlign w:val="bottom"/>
          </w:tcPr>
          <w:p>
            <w:pPr>
              <w:spacing w:after="0"/>
              <w:rPr>
                <w:sz w:val="12"/>
                <w:szCs w:val="12"/>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Maturity</w:t>
            </w:r>
          </w:p>
        </w:tc>
        <w:tc>
          <w:tcPr>
            <w:tcW w:w="96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Notes Can Be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Debt</w:t>
            </w:r>
          </w:p>
        </w:tc>
        <w:tc>
          <w:tcPr>
            <w:tcW w:w="136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Due on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Defeased or</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Floating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Amount(1)</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Service(3)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Date(4)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 Prepaid</w:t>
            </w:r>
          </w:p>
        </w:tc>
        <w:tc>
          <w:tcPr>
            <w:tcW w:w="0" w:type="dxa"/>
            <w:vAlign w:val="bottom"/>
          </w:tcPr>
          <w:p>
            <w:pPr>
              <w:spacing w:after="0"/>
              <w:rPr>
                <w:sz w:val="1"/>
                <w:szCs w:val="1"/>
                <w:color w:val="auto"/>
              </w:rPr>
            </w:pPr>
          </w:p>
        </w:tc>
      </w:tr>
      <w:tr>
        <w:trPr>
          <w:trHeight w:val="152"/>
        </w:trPr>
        <w:tc>
          <w:tcPr>
            <w:tcW w:w="31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Unconsolidated Joint Venture Centers (at</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Company's Pro Rata Share):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Arrowhead Towne Center(60%)</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240,000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4.05</w:t>
            </w:r>
          </w:p>
        </w:tc>
        <w:tc>
          <w:tcPr>
            <w:tcW w:w="420" w:type="dxa"/>
            <w:vAlign w:val="bottom"/>
            <w:gridSpan w:val="3"/>
          </w:tcPr>
          <w:p>
            <w:pPr>
              <w:spacing w:after="0"/>
              <w:rPr>
                <w:sz w:val="20"/>
                <w:szCs w:val="20"/>
                <w:color w:val="auto"/>
              </w:rPr>
            </w:pPr>
            <w:r>
              <w:rPr>
                <w:rFonts w:ascii="Arial" w:cs="Arial" w:eastAsia="Arial" w:hAnsi="Arial"/>
                <w:sz w:val="16"/>
                <w:szCs w:val="16"/>
                <w:color w:val="auto"/>
              </w:rPr>
              <w:t>%  $</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9,720</w:t>
            </w:r>
          </w:p>
        </w:tc>
        <w:tc>
          <w:tcPr>
            <w:tcW w:w="10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2/1/28  $</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212,719</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2/1/22</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Atlas Park, The Shops at(50%)(12)</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Floating</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35,742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1,336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36,183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Boulevard Shops(50%)(13)</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Floating</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9,253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3.91</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Broadway Plaza(50%)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224,462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9,405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189,724</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4/1/22</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Corte Madera, The Village at(50.1%)</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112,415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3.53</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3,945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98,753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Country Club Plaza(50%)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157,788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9,001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137,525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4/1/21</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Deptford Mall(51%)</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90,517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3.55</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5,795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81,750</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FlatIron Crossing(51%)</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115,976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8,525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110,538</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Kierland Commons(50%)</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106,836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88,724</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Lakewood Center(60%)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214,660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13,144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185,306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Los Cerritos Center(60%)</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315,000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12,600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278,711</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11/1/21</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Bridge, The Shops at(50%)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187,045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6,900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160,523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One Westside(25%)(14)</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Floating</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3.71</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Scottsdale Fashion Square(50%)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223,190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13,281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201,331</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South Plains Mall(60%)</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120,000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4.22</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5,065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Twenty Ninth Street(51%)</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76,500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3,137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76,500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Tysons Corner Center(50%)</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373,024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4.13</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24,643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333,233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Tysons Tower(50%)(15)</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94,380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3,164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95,000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12/18/2021</w:t>
            </w:r>
          </w:p>
        </w:tc>
        <w:tc>
          <w:tcPr>
            <w:tcW w:w="0" w:type="dxa"/>
            <w:vAlign w:val="bottom"/>
          </w:tcPr>
          <w:p>
            <w:pPr>
              <w:spacing w:after="0"/>
              <w:rPr>
                <w:sz w:val="1"/>
                <w:szCs w:val="1"/>
                <w:color w:val="auto"/>
              </w:rPr>
            </w:pPr>
          </w:p>
        </w:tc>
      </w:tr>
      <w:tr>
        <w:trPr>
          <w:trHeight w:val="25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Washington Square(60%)</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329,494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3.65</w:t>
            </w:r>
          </w:p>
        </w:tc>
        <w:tc>
          <w:tcPr>
            <w:tcW w:w="160" w:type="dxa"/>
            <w:vAlign w:val="bottom"/>
          </w:tcPr>
          <w:p>
            <w:pP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12,045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311,863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 Acres - Development(19%)(16)</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51"/>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West Acres(19%)</w:t>
            </w: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Fixed</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14,250</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4.61</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3/1/32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8,256</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81"/>
        </w:trPr>
        <w:tc>
          <w:tcPr>
            <w:tcW w:w="3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3,040,712</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93" w:lineRule="exact"/>
        <w:rPr>
          <w:sz w:val="20"/>
          <w:szCs w:val="20"/>
          <w:color w:val="auto"/>
        </w:rPr>
      </w:pPr>
    </w:p>
    <w:p>
      <w:pPr>
        <w:ind w:left="820" w:right="140" w:hanging="407"/>
        <w:spacing w:after="0" w:line="257" w:lineRule="auto"/>
        <w:tabs>
          <w:tab w:leader="none" w:pos="8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mortgage notes payable balances include the unamortized debt premiums (discounts). Debt premiums (discounts) represent the excess (deficiency) of the fair value of debt over (under) the principal value of debt assumed in various acquisitions. The debt premiums (discounts) are being amortized into interest expense over the term of the related debt in a manner which approximates the effective interest method.</w:t>
      </w:r>
    </w:p>
    <w:p>
      <w:pPr>
        <w:spacing w:after="0" w:line="104"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4"/>
          <w:szCs w:val="14"/>
          <w:color w:val="auto"/>
        </w:rPr>
        <w:t>The debt premiums (discounts) as of December 31, 2019 consisted of the following:</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8120" w:type="dxa"/>
            <w:vAlign w:val="bottom"/>
            <w:gridSpan w:val="3"/>
          </w:tcPr>
          <w:p>
            <w:pPr>
              <w:ind w:left="20"/>
              <w:spacing w:after="0"/>
              <w:rPr>
                <w:sz w:val="20"/>
                <w:szCs w:val="20"/>
                <w:color w:val="auto"/>
              </w:rPr>
            </w:pPr>
            <w:r>
              <w:rPr>
                <w:rFonts w:ascii="Arial" w:cs="Arial" w:eastAsia="Arial" w:hAnsi="Arial"/>
                <w:sz w:val="14"/>
                <w:szCs w:val="14"/>
                <w:color w:val="auto"/>
              </w:rPr>
              <w:t>Property Pledged as Collateral</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Consolidated Centers: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8120" w:type="dxa"/>
            <w:vAlign w:val="bottom"/>
            <w:gridSpan w:val="3"/>
          </w:tcPr>
          <w:p>
            <w:pPr>
              <w:ind w:left="20"/>
              <w:spacing w:after="0"/>
              <w:rPr>
                <w:sz w:val="20"/>
                <w:szCs w:val="20"/>
                <w:color w:val="auto"/>
              </w:rPr>
            </w:pPr>
            <w:r>
              <w:rPr>
                <w:rFonts w:ascii="Arial" w:cs="Arial" w:eastAsia="Arial" w:hAnsi="Arial"/>
                <w:sz w:val="14"/>
                <w:szCs w:val="14"/>
                <w:color w:val="auto"/>
              </w:rPr>
              <w:t>Fashion Outlets of Niagara Falls USA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0"/>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Unconsolidated Joint Venture Centers (at Company's Pro Rata Share):</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97"/>
        </w:trPr>
        <w:tc>
          <w:tcPr>
            <w:tcW w:w="8120" w:type="dxa"/>
            <w:vAlign w:val="bottom"/>
            <w:gridSpan w:val="3"/>
          </w:tcPr>
          <w:p>
            <w:pPr>
              <w:ind w:left="20"/>
              <w:spacing w:after="0"/>
              <w:rPr>
                <w:sz w:val="20"/>
                <w:szCs w:val="20"/>
                <w:color w:val="auto"/>
              </w:rPr>
            </w:pPr>
            <w:r>
              <w:rPr>
                <w:rFonts w:ascii="Arial" w:cs="Arial" w:eastAsia="Arial" w:hAnsi="Arial"/>
                <w:sz w:val="14"/>
                <w:szCs w:val="14"/>
                <w:color w:val="auto"/>
              </w:rPr>
              <w:t>Deptford Mall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507</w:t>
            </w:r>
          </w:p>
        </w:tc>
      </w:tr>
      <w:tr>
        <w:trPr>
          <w:trHeight w:val="209"/>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FlatIron Crossing</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1,260</w:t>
            </w:r>
          </w:p>
        </w:tc>
      </w:tr>
      <w:tr>
        <w:trPr>
          <w:trHeight w:val="197"/>
        </w:trPr>
        <w:tc>
          <w:tcPr>
            <w:tcW w:w="81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Lakewood Center</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(9,083)</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820" w:right="80"/>
        <w:spacing w:after="0" w:line="257" w:lineRule="auto"/>
        <w:rPr>
          <w:sz w:val="20"/>
          <w:szCs w:val="20"/>
          <w:color w:val="auto"/>
        </w:rPr>
      </w:pPr>
      <w:r>
        <w:rPr>
          <w:rFonts w:ascii="Arial" w:cs="Arial" w:eastAsia="Arial" w:hAnsi="Arial"/>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2019 were $16.0 million for Consolidated Centers and $5.3 million for Unconsolidated Joint Venture Centers (at Company's pro rata share).</w:t>
      </w:r>
    </w:p>
    <w:p>
      <w:pPr>
        <w:spacing w:after="0" w:line="104" w:lineRule="exact"/>
        <w:rPr>
          <w:sz w:val="20"/>
          <w:szCs w:val="20"/>
          <w:color w:val="auto"/>
        </w:rPr>
      </w:pPr>
    </w:p>
    <w:p>
      <w:pPr>
        <w:ind w:left="820" w:hanging="407"/>
        <w:spacing w:after="0"/>
        <w:tabs>
          <w:tab w:leader="none" w:pos="8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debt premiums (discounts) and deferred finance costs.</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annual debt service represents the annual payment of principal and interest.</w:t>
      </w:r>
    </w:p>
    <w:p>
      <w:pPr>
        <w:spacing w:after="0" w:line="149" w:lineRule="exact"/>
        <w:rPr>
          <w:rFonts w:ascii="Arial" w:cs="Arial" w:eastAsia="Arial" w:hAnsi="Arial"/>
          <w:sz w:val="14"/>
          <w:szCs w:val="14"/>
          <w:color w:val="auto"/>
        </w:rPr>
      </w:pPr>
    </w:p>
    <w:p>
      <w:pPr>
        <w:ind w:left="820" w:hanging="407"/>
        <w:spacing w:after="0" w:line="273" w:lineRule="auto"/>
        <w:tabs>
          <w:tab w:leader="none" w:pos="81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2" w:lineRule="exact"/>
        <w:rPr>
          <w:rFonts w:ascii="Arial" w:cs="Arial" w:eastAsia="Arial" w:hAnsi="Arial"/>
          <w:sz w:val="14"/>
          <w:szCs w:val="14"/>
          <w:color w:val="auto"/>
        </w:rPr>
      </w:pPr>
    </w:p>
    <w:p>
      <w:pPr>
        <w:ind w:left="820" w:hanging="407"/>
        <w:spacing w:after="0"/>
        <w:tabs>
          <w:tab w:leader="none" w:pos="8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49.9% interest in the loan has been assumed by a third party in connection with a financing arrangement.</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June 27, 2019, the Company replaced the existing loan on the property with a new $256.0 million loan that bears interest at an effective rate of 4.18% and matures on July 5, 2024.</w:t>
      </w:r>
    </w:p>
    <w:p>
      <w:pPr>
        <w:sectPr>
          <w:pgSz w:w="11900" w:h="16838" w:orient="portrait"/>
          <w:cols w:equalWidth="0" w:num="1">
            <w:col w:w="11340"/>
          </w:cols>
          <w:pgMar w:left="240" w:top="726" w:right="31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726" w:right="319" w:bottom="1440" w:gutter="0" w:footer="0" w:header="0"/>
          <w:type w:val="continuous"/>
        </w:sectPr>
      </w:pPr>
    </w:p>
    <w:bookmarkStart w:id="33" w:name="page34"/>
    <w:bookmarkEnd w:id="33"/>
    <w:p>
      <w:pPr>
        <w:ind w:left="820" w:right="640" w:hanging="407"/>
        <w:spacing w:after="0" w:line="273"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January 10, 2019, the Company replaced the existing loan on the property with a new $300.0 million loan that bears interest at an effective rate of 4.61% and matures on February 1, 2031.</w:t>
      </w:r>
    </w:p>
    <w:p>
      <w:pPr>
        <w:spacing w:after="0" w:line="92" w:lineRule="exact"/>
        <w:rPr>
          <w:rFonts w:ascii="Arial" w:cs="Arial" w:eastAsia="Arial" w:hAnsi="Arial"/>
          <w:sz w:val="14"/>
          <w:szCs w:val="14"/>
          <w:color w:val="auto"/>
        </w:rPr>
      </w:pPr>
    </w:p>
    <w:p>
      <w:pPr>
        <w:ind w:left="820" w:hanging="407"/>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loan bears interest at LIBOR plus 2.15%.</w:t>
      </w:r>
    </w:p>
    <w:p>
      <w:pPr>
        <w:spacing w:after="0" w:line="149" w:lineRule="exact"/>
        <w:rPr>
          <w:rFonts w:ascii="Arial" w:cs="Arial" w:eastAsia="Arial" w:hAnsi="Arial"/>
          <w:sz w:val="14"/>
          <w:szCs w:val="14"/>
          <w:color w:val="auto"/>
        </w:rPr>
      </w:pPr>
    </w:p>
    <w:p>
      <w:pPr>
        <w:ind w:left="820" w:right="560" w:hanging="407"/>
        <w:spacing w:after="0" w:line="273"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December 3, 2019, the Company replaced the existing loan on the property with a new $540.0 million loan that bears interest at an effective rate of 3.71% and matures on January 1, 2030.</w:t>
      </w:r>
    </w:p>
    <w:p>
      <w:pPr>
        <w:spacing w:after="0" w:line="106" w:lineRule="exact"/>
        <w:rPr>
          <w:rFonts w:ascii="Arial" w:cs="Arial" w:eastAsia="Arial" w:hAnsi="Arial"/>
          <w:sz w:val="14"/>
          <w:szCs w:val="14"/>
          <w:color w:val="auto"/>
        </w:rPr>
      </w:pPr>
    </w:p>
    <w:p>
      <w:pPr>
        <w:ind w:left="820" w:right="220" w:hanging="407"/>
        <w:spacing w:after="0" w:line="273" w:lineRule="auto"/>
        <w:tabs>
          <w:tab w:leader="none" w:pos="81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loan bears interest at LIBOR plus 1.35%. The loan is covered by an interest rate cap agreement that effectively prevents LIBOR from exceeding 4.0% during the period ending December 9, 2020.</w:t>
      </w:r>
    </w:p>
    <w:p>
      <w:pPr>
        <w:spacing w:after="0" w:line="92" w:lineRule="exact"/>
        <w:rPr>
          <w:rFonts w:ascii="Arial" w:cs="Arial" w:eastAsia="Arial" w:hAnsi="Arial"/>
          <w:sz w:val="14"/>
          <w:szCs w:val="14"/>
          <w:color w:val="auto"/>
        </w:rPr>
      </w:pPr>
    </w:p>
    <w:p>
      <w:pPr>
        <w:ind w:left="820" w:right="260" w:hanging="407"/>
        <w:spacing w:after="0" w:line="273" w:lineRule="auto"/>
        <w:tabs>
          <w:tab w:leader="none" w:pos="811"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June 3, 2019, the Company’s joint venture in SanTan Village Regional Center replaced the existing loan on the property with a new $220.0 million loan that bears interest at an effective rate of 4.34% and matures on July 1, 2029.</w:t>
      </w:r>
    </w:p>
    <w:p>
      <w:pPr>
        <w:spacing w:after="0" w:line="106" w:lineRule="exact"/>
        <w:rPr>
          <w:rFonts w:ascii="Arial" w:cs="Arial" w:eastAsia="Arial" w:hAnsi="Arial"/>
          <w:sz w:val="14"/>
          <w:szCs w:val="14"/>
          <w:color w:val="auto"/>
        </w:rPr>
      </w:pPr>
    </w:p>
    <w:p>
      <w:pPr>
        <w:ind w:left="820" w:right="120" w:hanging="407"/>
        <w:spacing w:after="0" w:line="257" w:lineRule="auto"/>
        <w:tabs>
          <w:tab w:leader="none" w:pos="81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loan bears interest at LIBOR plus 2.00%.</w:t>
      </w:r>
    </w:p>
    <w:p>
      <w:pPr>
        <w:spacing w:after="0" w:line="117" w:lineRule="exact"/>
        <w:rPr>
          <w:rFonts w:ascii="Arial" w:cs="Arial" w:eastAsia="Arial" w:hAnsi="Arial"/>
          <w:sz w:val="14"/>
          <w:szCs w:val="14"/>
          <w:color w:val="auto"/>
        </w:rPr>
      </w:pPr>
    </w:p>
    <w:p>
      <w:pPr>
        <w:ind w:left="820" w:hanging="407"/>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loan bears interest at LIBOR plus 1.85%, matures on December 5, 2023 and can be expanded, depending on certain conditions, up to $23.0 million.</w:t>
      </w:r>
    </w:p>
    <w:p>
      <w:pPr>
        <w:spacing w:after="0" w:line="136" w:lineRule="exact"/>
        <w:rPr>
          <w:rFonts w:ascii="Arial" w:cs="Arial" w:eastAsia="Arial" w:hAnsi="Arial"/>
          <w:sz w:val="14"/>
          <w:szCs w:val="14"/>
          <w:color w:val="auto"/>
        </w:rPr>
      </w:pPr>
    </w:p>
    <w:p>
      <w:pPr>
        <w:ind w:left="820" w:right="240" w:hanging="407"/>
        <w:spacing w:after="0" w:line="273" w:lineRule="auto"/>
        <w:tabs>
          <w:tab w:leader="none" w:pos="81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December 18, 2019, the Company’s joint venture in One Westside placed a construction loan on the property that allows for borrowing of up to $414.6 million, bears interest at LIBOR plus 1.70%, which can be reduced to LIBOR plus 1.50% upon the completion of certain conditions, and matures on December 18, 2024.</w:t>
      </w:r>
    </w:p>
    <w:p>
      <w:pPr>
        <w:spacing w:after="0" w:line="106" w:lineRule="exact"/>
        <w:rPr>
          <w:rFonts w:ascii="Arial" w:cs="Arial" w:eastAsia="Arial" w:hAnsi="Arial"/>
          <w:sz w:val="14"/>
          <w:szCs w:val="14"/>
          <w:color w:val="auto"/>
        </w:rPr>
      </w:pPr>
    </w:p>
    <w:p>
      <w:pPr>
        <w:ind w:left="820" w:hanging="407"/>
        <w:spacing w:after="0" w:line="273" w:lineRule="auto"/>
        <w:tabs>
          <w:tab w:leader="none" w:pos="81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September 12, 2019, the Company’s joint venture in Tysons Tower placed a new $190.0 million loan on the property that bears interest at an effective rate of 3.38% and matures on November 11, 2029.</w:t>
      </w:r>
    </w:p>
    <w:p>
      <w:pPr>
        <w:spacing w:after="0" w:line="106" w:lineRule="exact"/>
        <w:rPr>
          <w:rFonts w:ascii="Arial" w:cs="Arial" w:eastAsia="Arial" w:hAnsi="Arial"/>
          <w:sz w:val="14"/>
          <w:szCs w:val="14"/>
          <w:color w:val="auto"/>
        </w:rPr>
      </w:pPr>
    </w:p>
    <w:p>
      <w:pPr>
        <w:ind w:left="820" w:right="480" w:hanging="407"/>
        <w:spacing w:after="0" w:line="273" w:lineRule="auto"/>
        <w:tabs>
          <w:tab w:leader="none" w:pos="81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October 17, 2019, the Company’s joint venture in West Acres placed a construction loan on the property that allows for borrowing of up to $6.5 million, bears interest at an effective rate of 3.72% and matures on October 10, 2029.</w:t>
      </w:r>
    </w:p>
    <w:p>
      <w:pPr>
        <w:spacing w:after="0" w:line="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62"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None of the Company, the Operating Partnership, the Management Companies or their respective affiliates is currently involved in any material legal proceedings.</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37" w:right="2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8"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common stock of the Company is listed and traded on the New York Stock Exchange under the symbol "MAC". The common stock began trading on March 10, 1994 at a price of $19 per share. As of February 20, 2020, there were approximately 575 stockholders of record.</w:t>
      </w:r>
    </w:p>
    <w:p>
      <w:pPr>
        <w:spacing w:after="0" w:line="103"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To maintain its qualification as a REIT, the Company is required each year to distribute to stockholders at least 90% of its net taxable income after certain adjustments. The Company paid all of its 2019 and 2018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62"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The following graph provides a comparison, from December 31, 2014 through December 31, 2019, of the yearly percentage change in the cumulative total stockholder return (assuming reinvestment of dividends) of the Company, the Standard &amp; Poor's ("S&amp;P") 500 Index, the S&amp;P Midcap 400 Index, and the FTSE Nareit Equity Retail Index. The FTSE Nareit Equity Retail Index is an industry index of publicly-traded REITs that include the Company.</w:t>
      </w:r>
    </w:p>
    <w:p>
      <w:pPr>
        <w:spacing w:after="0" w:line="79"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The graph assumes that the value of the investment in each of the Company's common stock and the indices was $100 at the close of the market on December 31, 2014.</w:t>
      </w:r>
    </w:p>
    <w:p>
      <w:pPr>
        <w:spacing w:after="0" w:line="89"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Upon written request directed to the Secretary of the Company, the Company will provide any stockholder with a list of the REITs included in the FTSE Nareit Equity Retail Index. The historical information set forth below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0" w:right="259" w:bottom="1440" w:gutter="0" w:footer="0" w:header="0"/>
        </w:sectPr>
      </w:pPr>
    </w:p>
    <w:bookmarkStart w:id="35" w:name="page36"/>
    <w:bookmarkEnd w:id="35"/>
    <w:p>
      <w:pPr>
        <w:ind w:left="460"/>
        <w:spacing w:after="0"/>
        <w:rPr>
          <w:sz w:val="20"/>
          <w:szCs w:val="20"/>
          <w:color w:val="auto"/>
        </w:rPr>
      </w:pPr>
      <w:r>
        <w:rPr>
          <w:rFonts w:ascii="Arial" w:cs="Arial" w:eastAsia="Arial" w:hAnsi="Arial"/>
          <w:sz w:val="16"/>
          <w:szCs w:val="16"/>
          <w:color w:val="auto"/>
        </w:rPr>
        <w:t>Data for the S&amp;P 500 Index, the S&amp;P Midcap 400 Index and the FTSE Nareit Equity Retail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115570</wp:posOffset>
            </wp:positionV>
            <wp:extent cx="5634355" cy="4116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435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Copyright© 2020 S&amp;P, a division of The McGraw-Hill Companies Inc. All rights reserved.</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8"/>
              </w:rPr>
              <w:t>12/31/14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8"/>
              </w:rPr>
              <w:t>12/31/15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8"/>
              </w:rPr>
              <w:t>12/31/16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4"/>
              </w:rPr>
              <w:t>12/31/17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8"/>
              </w:rPr>
              <w:t>12/31/18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4"/>
              </w:rPr>
              <w:t>12/31/19</w:t>
            </w: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Macerich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105.01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92.86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43.74</w:t>
            </w: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4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101.38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113.51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138.29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132.23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173.86</w:t>
            </w: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Midcap 400 Index</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97.82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137.30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154.07</w:t>
            </w:r>
          </w:p>
        </w:tc>
      </w:tr>
      <w:tr>
        <w:trPr>
          <w:trHeight w:val="191"/>
        </w:trPr>
        <w:tc>
          <w:tcPr>
            <w:tcW w:w="2820" w:type="dxa"/>
            <w:vAlign w:val="bottom"/>
          </w:tcPr>
          <w:p>
            <w:pPr>
              <w:ind w:left="20"/>
              <w:spacing w:after="0"/>
              <w:rPr>
                <w:sz w:val="20"/>
                <w:szCs w:val="20"/>
                <w:color w:val="auto"/>
              </w:rPr>
            </w:pPr>
            <w:r>
              <w:rPr>
                <w:rFonts w:ascii="Arial" w:cs="Arial" w:eastAsia="Arial" w:hAnsi="Arial"/>
                <w:sz w:val="14"/>
                <w:szCs w:val="14"/>
                <w:color w:val="auto"/>
              </w:rPr>
              <w:t>FTSE Nareit Equity Retail Index</w:t>
            </w:r>
          </w:p>
        </w:tc>
        <w:tc>
          <w:tcPr>
            <w:tcW w:w="140" w:type="dxa"/>
            <w:vAlign w:val="bottom"/>
          </w:tcPr>
          <w:p>
            <w:pPr>
              <w:spacing w:after="0"/>
              <w:rPr>
                <w:sz w:val="16"/>
                <w:szCs w:val="16"/>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104.56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105.55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100.51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95.53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105.70</w:t>
            </w: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60"/>
          </w:cols>
          <w:pgMar w:left="240" w:top="1084" w:right="11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4"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23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57"/>
              <w:spacing w:after="0"/>
              <w:rPr>
                <w:sz w:val="20"/>
                <w:szCs w:val="20"/>
                <w:color w:val="auto"/>
              </w:rPr>
            </w:pPr>
            <w:r>
              <w:rPr>
                <w:rFonts w:ascii="Arial" w:cs="Arial" w:eastAsia="Arial" w:hAnsi="Arial"/>
                <w:sz w:val="16"/>
                <w:szCs w:val="16"/>
                <w:b w:val="1"/>
                <w:bCs w:val="1"/>
                <w:color w:val="auto"/>
              </w:rPr>
              <w:t>Total 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Average Price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36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400" w:type="dxa"/>
            <w:vAlign w:val="bottom"/>
          </w:tcPr>
          <w:p>
            <w:pPr>
              <w:jc w:val="right"/>
              <w:ind w:right="17"/>
              <w:spacing w:after="0"/>
              <w:rPr>
                <w:sz w:val="20"/>
                <w:szCs w:val="20"/>
                <w:color w:val="auto"/>
              </w:rPr>
            </w:pPr>
            <w:r>
              <w:rPr>
                <w:rFonts w:ascii="Arial" w:cs="Arial" w:eastAsia="Arial" w:hAnsi="Arial"/>
                <w:sz w:val="16"/>
                <w:szCs w:val="16"/>
                <w:b w:val="1"/>
                <w:bCs w:val="1"/>
                <w:color w:val="auto"/>
                <w:w w:val="91"/>
              </w:rPr>
              <w:t>Shares Purchased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Paid per Share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October 1, 2019 to October 31, 2019</w:t>
            </w: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278,707,048</w:t>
            </w:r>
          </w:p>
        </w:tc>
      </w:tr>
      <w:tr>
        <w:trPr>
          <w:trHeight w:val="24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November 1, 2019 to November 30, 2019</w:t>
            </w:r>
          </w:p>
        </w:tc>
        <w:tc>
          <w:tcPr>
            <w:tcW w:w="1400" w:type="dxa"/>
            <w:vAlign w:val="bottom"/>
          </w:tcPr>
          <w:p>
            <w:pPr>
              <w:jc w:val="right"/>
              <w:ind w:right="57"/>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278,707,048</w:t>
            </w: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 2019 to December 31, 2019</w:t>
            </w: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278,707,048</w:t>
            </w:r>
          </w:p>
        </w:tc>
      </w:tr>
      <w:tr>
        <w:trPr>
          <w:trHeight w:val="250"/>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1220" w:hanging="564"/>
        <w:spacing w:after="0" w:line="275" w:lineRule="auto"/>
        <w:tabs>
          <w:tab w:leader="none" w:pos="1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48"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The following sets forth selected financial data for the Company on a historical basis. The following data should be read in conjunction with the consolidated financial statements (and the notes thereto) of the Company and "Management's Discussion and Analysis of Financial Condition and Results of Operations," each included elsewhere in this Form 10-K. All dollars and share amounts are in thousands, except per share data.</w:t>
      </w:r>
    </w:p>
    <w:p>
      <w:pPr>
        <w:spacing w:after="0" w:line="144"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w w:val="92"/>
              </w:rPr>
              <w:t>Years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0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4780" w:type="dxa"/>
            <w:vAlign w:val="bottom"/>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Leasing revenue (1)</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858,874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883,996</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922,152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970,119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1,231,367</w:t>
            </w:r>
          </w:p>
        </w:tc>
      </w:tr>
      <w:tr>
        <w:trPr>
          <w:trHeight w:val="197"/>
        </w:trPr>
        <w:tc>
          <w:tcPr>
            <w:tcW w:w="4780" w:type="dxa"/>
            <w:vAlign w:val="bottom"/>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27,879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32,875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28,116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31,688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30,528</w:t>
            </w:r>
          </w:p>
        </w:tc>
      </w:tr>
      <w:tr>
        <w:trPr>
          <w:trHeight w:val="203"/>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Management Companies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40,709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43,480</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43,394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39,464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26,254</w:t>
            </w:r>
          </w:p>
        </w:tc>
      </w:tr>
      <w:tr>
        <w:trPr>
          <w:trHeight w:val="196"/>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927,462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960,351</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993,662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1,041,271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1,288,149</w:t>
            </w: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7"/>
        </w:trPr>
        <w:tc>
          <w:tcPr>
            <w:tcW w:w="4780" w:type="dxa"/>
            <w:vAlign w:val="bottom"/>
          </w:tcPr>
          <w:p>
            <w:pPr>
              <w:ind w:left="120"/>
              <w:spacing w:after="0"/>
              <w:rPr>
                <w:sz w:val="20"/>
                <w:szCs w:val="20"/>
                <w:color w:val="auto"/>
              </w:rPr>
            </w:pPr>
            <w:r>
              <w:rPr>
                <w:rFonts w:ascii="Arial" w:cs="Arial" w:eastAsia="Arial" w:hAnsi="Arial"/>
                <w:sz w:val="14"/>
                <w:szCs w:val="14"/>
                <w:color w:val="auto"/>
              </w:rPr>
              <w:t>Shopping center and operating expenses</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271,547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277,470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295,190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307,623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379,815</w:t>
            </w:r>
          </w:p>
        </w:tc>
      </w:tr>
      <w:tr>
        <w:trPr>
          <w:trHeight w:val="209"/>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Leasing expense (1)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8,267</w:t>
            </w:r>
          </w:p>
        </w:tc>
      </w:tr>
      <w:tr>
        <w:trPr>
          <w:trHeight w:val="197"/>
        </w:trPr>
        <w:tc>
          <w:tcPr>
            <w:tcW w:w="4780" w:type="dxa"/>
            <w:vAlign w:val="bottom"/>
          </w:tcPr>
          <w:p>
            <w:pPr>
              <w:ind w:left="120"/>
              <w:spacing w:after="0"/>
              <w:rPr>
                <w:sz w:val="20"/>
                <w:szCs w:val="20"/>
                <w:color w:val="auto"/>
              </w:rPr>
            </w:pPr>
            <w:r>
              <w:rPr>
                <w:rFonts w:ascii="Arial" w:cs="Arial" w:eastAsia="Arial" w:hAnsi="Arial"/>
                <w:sz w:val="14"/>
                <w:szCs w:val="14"/>
                <w:color w:val="auto"/>
              </w:rPr>
              <w:t>Management Companies' operating expenses</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66,795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91,910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87,701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87,196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84,073</w:t>
            </w:r>
          </w:p>
        </w:tc>
      </w:tr>
      <w:tr>
        <w:trPr>
          <w:trHeight w:val="209"/>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REIT general and administrative expenses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29,870</w:t>
            </w:r>
          </w:p>
        </w:tc>
      </w:tr>
      <w:tr>
        <w:trPr>
          <w:trHeight w:val="197"/>
        </w:trPr>
        <w:tc>
          <w:tcPr>
            <w:tcW w:w="4780" w:type="dxa"/>
            <w:vAlign w:val="bottom"/>
          </w:tcPr>
          <w:p>
            <w:pPr>
              <w:ind w:left="120"/>
              <w:spacing w:after="0"/>
              <w:rPr>
                <w:sz w:val="20"/>
                <w:szCs w:val="20"/>
                <w:color w:val="auto"/>
              </w:rPr>
            </w:pPr>
            <w:r>
              <w:rPr>
                <w:rFonts w:ascii="Arial" w:cs="Arial" w:eastAsia="Arial" w:hAnsi="Arial"/>
                <w:sz w:val="14"/>
                <w:szCs w:val="14"/>
                <w:color w:val="auto"/>
              </w:rPr>
              <w:t>Costs related to shareholder activism (2)</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19,369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Costs related to unsolicited takeover offer (3)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25,204</w:t>
            </w:r>
          </w:p>
        </w:tc>
      </w:tr>
      <w:tr>
        <w:trPr>
          <w:trHeight w:val="197"/>
        </w:trPr>
        <w:tc>
          <w:tcPr>
            <w:tcW w:w="47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330,726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327,436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335,431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348,488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464,472</w:t>
            </w:r>
          </w:p>
        </w:tc>
      </w:tr>
      <w:tr>
        <w:trPr>
          <w:trHeight w:val="209"/>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138,254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171,776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211,943</w:t>
            </w:r>
          </w:p>
        </w:tc>
      </w:tr>
      <w:tr>
        <w:trPr>
          <w:trHeight w:val="197"/>
        </w:trPr>
        <w:tc>
          <w:tcPr>
            <w:tcW w:w="4780" w:type="dxa"/>
            <w:vAlign w:val="bottom"/>
          </w:tcPr>
          <w:p>
            <w:pPr>
              <w:ind w:left="120"/>
              <w:spacing w:after="0"/>
              <w:rPr>
                <w:sz w:val="20"/>
                <w:szCs w:val="20"/>
                <w:color w:val="auto"/>
              </w:rPr>
            </w:pPr>
            <w:r>
              <w:rPr>
                <w:rFonts w:ascii="Arial" w:cs="Arial" w:eastAsia="Arial" w:hAnsi="Arial"/>
                <w:sz w:val="14"/>
                <w:szCs w:val="14"/>
                <w:color w:val="auto"/>
              </w:rPr>
              <w:t>Loss (gain) on extinguishment of debt, net</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(1,487)</w:t>
            </w:r>
          </w:p>
        </w:tc>
      </w:tr>
      <w:tr>
        <w:trPr>
          <w:trHeight w:val="202"/>
        </w:trPr>
        <w:tc>
          <w:tcPr>
            <w:tcW w:w="47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859,918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934,931</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930,758</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944,617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1,202,157</w:t>
            </w:r>
          </w:p>
        </w:tc>
      </w:tr>
      <w:tr>
        <w:trPr>
          <w:trHeight w:val="197"/>
        </w:trPr>
        <w:tc>
          <w:tcPr>
            <w:tcW w:w="4780" w:type="dxa"/>
            <w:vAlign w:val="bottom"/>
          </w:tcPr>
          <w:p>
            <w:pPr>
              <w:ind w:left="20"/>
              <w:spacing w:after="0"/>
              <w:rPr>
                <w:sz w:val="20"/>
                <w:szCs w:val="20"/>
                <w:color w:val="auto"/>
              </w:rPr>
            </w:pPr>
            <w:r>
              <w:rPr>
                <w:rFonts w:ascii="Arial" w:cs="Arial" w:eastAsia="Arial" w:hAnsi="Arial"/>
                <w:sz w:val="14"/>
                <w:szCs w:val="14"/>
                <w:color w:val="auto"/>
              </w:rPr>
              <w:t>Equity in income of unconsolidated joint ventures</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48,508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71,773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85,546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56,941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45,164</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Co-venture expense (4)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(11,804)</w:t>
            </w:r>
          </w:p>
        </w:tc>
      </w:tr>
      <w:tr>
        <w:trPr>
          <w:trHeight w:val="197"/>
        </w:trPr>
        <w:tc>
          <w:tcPr>
            <w:tcW w:w="478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(15,594)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3,223</w:t>
            </w: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or write down of assets, net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(11,909)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(31,825)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42,446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415,348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400,337</w:t>
            </w:r>
          </w:p>
        </w:tc>
      </w:tr>
      <w:tr>
        <w:trPr>
          <w:trHeight w:val="196"/>
        </w:trPr>
        <w:tc>
          <w:tcPr>
            <w:tcW w:w="47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102,554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68,972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161,673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554,839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522,912</w:t>
            </w: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5,734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8,952</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15,543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37,844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35,350</w:t>
            </w:r>
          </w:p>
        </w:tc>
      </w:tr>
      <w:tr>
        <w:trPr>
          <w:trHeight w:val="175"/>
        </w:trPr>
        <w:tc>
          <w:tcPr>
            <w:tcW w:w="4780" w:type="dxa"/>
            <w:vAlign w:val="bottom"/>
          </w:tcPr>
          <w:p>
            <w:pPr>
              <w:ind w:left="20"/>
              <w:spacing w:after="0"/>
              <w:rPr>
                <w:sz w:val="20"/>
                <w:szCs w:val="20"/>
                <w:color w:val="auto"/>
              </w:rPr>
            </w:pPr>
            <w:r>
              <w:rPr>
                <w:rFonts w:ascii="Arial" w:cs="Arial" w:eastAsia="Arial" w:hAnsi="Arial"/>
                <w:sz w:val="14"/>
                <w:szCs w:val="14"/>
                <w:color w:val="auto"/>
              </w:rPr>
              <w:t>Net income attributable to the Company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96,820</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60,020</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146,130</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516,995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487,562</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common share ("EPS") attributable to the Company: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7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0.42</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3.08</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 (5)(6)</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38" w:name="page39"/>
    <w:bookmarkEnd w:id="38"/>
    <w:tbl>
      <w:tblPr>
        <w:tblLayout w:type="fixed"/>
        <w:tblInd w:w="10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w:t>
            </w: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7"/>
                <w:szCs w:val="17"/>
                <w:color w:val="auto"/>
              </w:rPr>
            </w:pPr>
          </w:p>
        </w:tc>
      </w:tr>
      <w:tr>
        <w:trPr>
          <w:trHeight w:val="20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Investment in real estate (before accumulated depreciation)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8,993,049</w:t>
            </w: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8,878,820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9,127,533</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9,209,211</w:t>
            </w: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10,689,656</w:t>
            </w:r>
          </w:p>
        </w:tc>
        <w:tc>
          <w:tcPr>
            <w:tcW w:w="140" w:type="dxa"/>
            <w:vAlign w:val="bottom"/>
          </w:tcPr>
          <w:p>
            <w:pPr>
              <w:spacing w:after="0"/>
              <w:rPr>
                <w:sz w:val="17"/>
                <w:szCs w:val="17"/>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8,853,571</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9,605,862</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9,958,148</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11,235,584</w:t>
            </w:r>
          </w:p>
        </w:tc>
        <w:tc>
          <w:tcPr>
            <w:tcW w:w="140" w:type="dxa"/>
            <w:vAlign w:val="bottom"/>
            <w:shd w:val="clear" w:color="auto" w:fill="CCEEFF"/>
          </w:tcPr>
          <w:p>
            <w:pPr>
              <w:spacing w:after="0"/>
              <w:rPr>
                <w:sz w:val="18"/>
                <w:szCs w:val="18"/>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Total mortgage and notes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5,209,976</w:t>
            </w: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4,982,460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5,170,264</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4,965,900</w:t>
            </w: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5,260,750</w:t>
            </w:r>
          </w:p>
        </w:tc>
        <w:tc>
          <w:tcPr>
            <w:tcW w:w="140" w:type="dxa"/>
            <w:vAlign w:val="bottom"/>
          </w:tcPr>
          <w:p>
            <w:pPr>
              <w:spacing w:after="0"/>
              <w:rPr>
                <w:sz w:val="17"/>
                <w:szCs w:val="17"/>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(7)</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2,830,970</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3,967,999</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4,427,168</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5,071,239</w:t>
            </w:r>
          </w:p>
        </w:tc>
        <w:tc>
          <w:tcPr>
            <w:tcW w:w="140" w:type="dxa"/>
            <w:vAlign w:val="bottom"/>
            <w:shd w:val="clear" w:color="auto" w:fill="CCEEFF"/>
          </w:tcPr>
          <w:p>
            <w:pPr>
              <w:spacing w:after="0"/>
              <w:rPr>
                <w:sz w:val="18"/>
                <w:szCs w:val="18"/>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OTHER DATA:</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6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Funds from operations ("FFO") attributable to common stockholders and unit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9"/>
        </w:trPr>
        <w:tc>
          <w:tcPr>
            <w:tcW w:w="4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holders, excluding financing expense in connection with Chandler Freehold—</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94"/>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(8)</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536,961</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564,436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582,878</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642,304</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642,268</w:t>
            </w:r>
          </w:p>
        </w:tc>
        <w:tc>
          <w:tcPr>
            <w:tcW w:w="140" w:type="dxa"/>
            <w:vAlign w:val="bottom"/>
            <w:shd w:val="clear" w:color="auto" w:fill="CCEEFF"/>
          </w:tcPr>
          <w:p>
            <w:pPr>
              <w:spacing w:after="0"/>
              <w:rPr>
                <w:sz w:val="16"/>
                <w:szCs w:val="16"/>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Cash flows provided by (used in):</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4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355,157</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386,389</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429,534</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554,956</w:t>
            </w:r>
          </w:p>
        </w:tc>
        <w:tc>
          <w:tcPr>
            <w:tcW w:w="140" w:type="dxa"/>
            <w:vAlign w:val="bottom"/>
            <w:shd w:val="clear" w:color="auto" w:fill="CCEEFF"/>
          </w:tcPr>
          <w:p>
            <w:pPr>
              <w:spacing w:after="0"/>
              <w:rPr>
                <w:sz w:val="18"/>
                <w:szCs w:val="18"/>
                <w:color w:val="auto"/>
              </w:rPr>
            </w:pPr>
          </w:p>
        </w:tc>
      </w:tr>
      <w:tr>
        <w:trPr>
          <w:trHeight w:val="197"/>
        </w:trPr>
        <w:tc>
          <w:tcPr>
            <w:tcW w:w="4640" w:type="dxa"/>
            <w:vAlign w:val="bottom"/>
          </w:tcPr>
          <w:p>
            <w:pPr>
              <w:ind w:left="120"/>
              <w:spacing w:after="0"/>
              <w:rPr>
                <w:sz w:val="20"/>
                <w:szCs w:val="20"/>
                <w:color w:val="auto"/>
              </w:rPr>
            </w:pPr>
            <w:r>
              <w:rPr>
                <w:rFonts w:ascii="Arial" w:cs="Arial" w:eastAsia="Arial" w:hAnsi="Arial"/>
                <w:sz w:val="14"/>
                <w:szCs w:val="14"/>
                <w:color w:val="auto"/>
              </w:rPr>
              <w:t>Investing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(112,026)</w:t>
            </w: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176,323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178,988</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454,066</w:t>
            </w: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(70,136)</w:t>
            </w:r>
          </w:p>
        </w:tc>
        <w:tc>
          <w:tcPr>
            <w:tcW w:w="140" w:type="dxa"/>
            <w:vAlign w:val="bottom"/>
          </w:tcPr>
          <w:p>
            <w:pPr>
              <w:spacing w:after="0"/>
              <w:rPr>
                <w:sz w:val="17"/>
                <w:szCs w:val="17"/>
                <w:color w:val="auto"/>
              </w:rPr>
            </w:pPr>
          </w:p>
        </w:tc>
      </w:tr>
      <w:tr>
        <w:trPr>
          <w:trHeight w:val="209"/>
        </w:trPr>
        <w:tc>
          <w:tcPr>
            <w:tcW w:w="4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(278,216)</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(566,269)</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(867,502)</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(452,329)</w:t>
            </w:r>
          </w:p>
        </w:tc>
        <w:tc>
          <w:tcPr>
            <w:tcW w:w="140" w:type="dxa"/>
            <w:vAlign w:val="bottom"/>
            <w:shd w:val="clear" w:color="auto" w:fill="CCEEFF"/>
          </w:tcPr>
          <w:p>
            <w:pPr>
              <w:spacing w:after="0"/>
              <w:rPr>
                <w:sz w:val="18"/>
                <w:szCs w:val="18"/>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Number of Centers at year end</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7"/>
                <w:szCs w:val="17"/>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Regional Shopping Centers portfolio occupancy</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Regional Shopping Centers portfolio sales per square foot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801</w:t>
            </w: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660</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630</w:t>
            </w: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635</w:t>
            </w:r>
          </w:p>
        </w:tc>
        <w:tc>
          <w:tcPr>
            <w:tcW w:w="140" w:type="dxa"/>
            <w:vAlign w:val="bottom"/>
          </w:tcPr>
          <w:p>
            <w:pPr>
              <w:spacing w:after="0"/>
              <w:rPr>
                <w:sz w:val="17"/>
                <w:szCs w:val="17"/>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outstanding—EPS basic</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157,916</w:t>
            </w:r>
          </w:p>
        </w:tc>
        <w:tc>
          <w:tcPr>
            <w:tcW w:w="140" w:type="dxa"/>
            <w:vAlign w:val="bottom"/>
            <w:shd w:val="clear" w:color="auto" w:fill="CCEEFF"/>
          </w:tcPr>
          <w:p>
            <w:pPr>
              <w:spacing w:after="0"/>
              <w:rPr>
                <w:sz w:val="18"/>
                <w:szCs w:val="18"/>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outstanding—EPS diluted (6)</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141,340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141,144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141,913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146,711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158,060</w:t>
            </w:r>
          </w:p>
        </w:tc>
        <w:tc>
          <w:tcPr>
            <w:tcW w:w="140" w:type="dxa"/>
            <w:vAlign w:val="bottom"/>
          </w:tcPr>
          <w:p>
            <w:pPr>
              <w:spacing w:after="0"/>
              <w:rPr>
                <w:sz w:val="17"/>
                <w:szCs w:val="17"/>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declared per common share (9)</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40" w:type="dxa"/>
            <w:vAlign w:val="bottom"/>
            <w:shd w:val="clear" w:color="auto" w:fill="CCEEFF"/>
          </w:tcPr>
          <w:p>
            <w:pPr>
              <w:spacing w:after="0"/>
              <w:rPr>
                <w:sz w:val="18"/>
                <w:szCs w:val="18"/>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93" w:lineRule="exact"/>
        <w:rPr>
          <w:sz w:val="20"/>
          <w:szCs w:val="20"/>
          <w:color w:val="auto"/>
        </w:rPr>
      </w:pPr>
    </w:p>
    <w:p>
      <w:pPr>
        <w:ind w:left="820" w:right="400" w:hanging="407"/>
        <w:spacing w:after="0" w:line="273" w:lineRule="auto"/>
        <w:tabs>
          <w:tab w:leader="none" w:pos="8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w:t>
      </w:r>
    </w:p>
    <w:p>
      <w:pPr>
        <w:spacing w:after="0" w:line="92" w:lineRule="exact"/>
        <w:rPr>
          <w:rFonts w:ascii="Arial" w:cs="Arial" w:eastAsia="Arial" w:hAnsi="Arial"/>
          <w:sz w:val="14"/>
          <w:szCs w:val="14"/>
          <w:color w:val="auto"/>
        </w:rPr>
      </w:pPr>
    </w:p>
    <w:p>
      <w:pPr>
        <w:ind w:left="820"/>
        <w:spacing w:after="0" w:line="273" w:lineRule="auto"/>
        <w:rPr>
          <w:rFonts w:ascii="Arial" w:cs="Arial" w:eastAsia="Arial" w:hAnsi="Arial"/>
          <w:sz w:val="14"/>
          <w:szCs w:val="14"/>
          <w:color w:val="auto"/>
        </w:rPr>
      </w:pPr>
      <w:r>
        <w:rPr>
          <w:rFonts w:ascii="Arial" w:cs="Arial" w:eastAsia="Arial" w:hAnsi="Arial"/>
          <w:sz w:val="13"/>
          <w:szCs w:val="13"/>
          <w:color w:val="auto"/>
        </w:rPr>
        <w:t>Upon adoption of the new standard, the Company has presented all revenues associated with leases as leasing revenue on its consolidated statements of operations. For comparison purposes, the Company has reclassified minimum rents, percentage rents, tenant recoveries and other leasing income to leasing revenue for the years ended December 31, 2018, 2017, 2016 and 2015 to conform to the presentation for the the year ended December 31, 2019. The new standard requires the Company to reduce leasing revenue for credit losses associated with lease receivables. The standard also requires that the provision for bad debts relating to leases be presented as a reduction of leasing revenue. For the years ended December 31, 2018, 2017, 2016 and 2015, the provision for bad debts is included in shopping center and operating expenses.</w:t>
      </w:r>
    </w:p>
    <w:p>
      <w:pPr>
        <w:spacing w:after="0" w:line="108" w:lineRule="exact"/>
        <w:rPr>
          <w:rFonts w:ascii="Arial" w:cs="Arial" w:eastAsia="Arial" w:hAnsi="Arial"/>
          <w:sz w:val="14"/>
          <w:szCs w:val="14"/>
          <w:color w:val="auto"/>
        </w:rPr>
      </w:pPr>
    </w:p>
    <w:p>
      <w:pPr>
        <w:ind w:left="820"/>
        <w:spacing w:after="0" w:line="277" w:lineRule="auto"/>
        <w:rPr>
          <w:rFonts w:ascii="Arial" w:cs="Arial" w:eastAsia="Arial" w:hAnsi="Arial"/>
          <w:sz w:val="14"/>
          <w:szCs w:val="14"/>
          <w:color w:val="auto"/>
        </w:rPr>
      </w:pPr>
      <w:r>
        <w:rPr>
          <w:rFonts w:ascii="Arial" w:cs="Arial" w:eastAsia="Arial" w:hAnsi="Arial"/>
          <w:sz w:val="13"/>
          <w:szCs w:val="13"/>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years ended December 31, 2018, 2017, 2016 and 2015 to conform to the presentation for the the year ended December 31, 2019.</w:t>
      </w:r>
    </w:p>
    <w:p>
      <w:pPr>
        <w:spacing w:after="0" w:line="106"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4"/>
          <w:szCs w:val="14"/>
          <w:color w:val="auto"/>
        </w:rPr>
        <w:t>See "Item 7. Management's Discussion and Analysis of Financial Condition and Management's Overview and Summary—Other Transactions and Events".</w:t>
      </w:r>
    </w:p>
    <w:p>
      <w:pPr>
        <w:spacing w:after="0" w:line="136" w:lineRule="exact"/>
        <w:rPr>
          <w:rFonts w:ascii="Arial" w:cs="Arial" w:eastAsia="Arial" w:hAnsi="Arial"/>
          <w:sz w:val="14"/>
          <w:szCs w:val="14"/>
          <w:color w:val="auto"/>
        </w:rPr>
      </w:pPr>
    </w:p>
    <w:p>
      <w:pPr>
        <w:ind w:left="820" w:right="60" w:hanging="407"/>
        <w:spacing w:after="0" w:line="273" w:lineRule="auto"/>
        <w:tabs>
          <w:tab w:leader="none" w:pos="8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the year ended December 31, 2018, the Company incurred $19.4 million in costs associated with activities related to shareholder activism. These costs were primarily for legal and advisory services.</w:t>
      </w:r>
    </w:p>
    <w:p>
      <w:pPr>
        <w:spacing w:after="0" w:line="106" w:lineRule="exact"/>
        <w:rPr>
          <w:rFonts w:ascii="Arial" w:cs="Arial" w:eastAsia="Arial" w:hAnsi="Arial"/>
          <w:sz w:val="14"/>
          <w:szCs w:val="14"/>
          <w:color w:val="auto"/>
        </w:rPr>
      </w:pPr>
    </w:p>
    <w:p>
      <w:pPr>
        <w:ind w:left="820" w:right="200" w:hanging="407"/>
        <w:spacing w:after="0" w:line="273" w:lineRule="auto"/>
        <w:tabs>
          <w:tab w:leader="none" w:pos="8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the year ended December 31, 2015, the Company incurred $25.2 million in legal and advisory costs in response to an unsolicited, conditional proposal from Simon Property Group, Inc.</w:t>
      </w:r>
    </w:p>
    <w:p>
      <w:pPr>
        <w:spacing w:after="0" w:line="106" w:lineRule="exact"/>
        <w:rPr>
          <w:rFonts w:ascii="Arial" w:cs="Arial" w:eastAsia="Arial" w:hAnsi="Arial"/>
          <w:sz w:val="14"/>
          <w:szCs w:val="14"/>
          <w:color w:val="auto"/>
        </w:rPr>
      </w:pPr>
    </w:p>
    <w:p>
      <w:pPr>
        <w:jc w:val="both"/>
        <w:ind w:left="820" w:right="40" w:hanging="407"/>
        <w:spacing w:after="0" w:line="277" w:lineRule="auto"/>
        <w:tabs>
          <w:tab w:leader="none" w:pos="812"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January 1, 2018, upon adoption of ASU 2014-09, "Revenue From Contracts With Customers (ASC 606)", the Company changed its accounting for Chandler Freehold from a co-venture arrangement to a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93" w:lineRule="exact"/>
        <w:rPr>
          <w:rFonts w:ascii="Arial" w:cs="Arial" w:eastAsia="Arial" w:hAnsi="Arial"/>
          <w:sz w:val="13"/>
          <w:szCs w:val="13"/>
          <w:color w:val="auto"/>
        </w:rPr>
      </w:pPr>
    </w:p>
    <w:p>
      <w:pPr>
        <w:ind w:left="820" w:right="100" w:hanging="407"/>
        <w:spacing w:after="0" w:line="273" w:lineRule="auto"/>
        <w:tabs>
          <w:tab w:leader="none" w:pos="8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Assumes the conversion of Operating Partnership units to the extent they are dilutive to the EPS computation. It also assumes the conversion of MACWH, LP common and preferred units to the extent that they are dilutive to the EPS computation.</w:t>
      </w:r>
    </w:p>
    <w:p>
      <w:pPr>
        <w:spacing w:after="0" w:line="106" w:lineRule="exact"/>
        <w:rPr>
          <w:rFonts w:ascii="Arial" w:cs="Arial" w:eastAsia="Arial" w:hAnsi="Arial"/>
          <w:sz w:val="14"/>
          <w:szCs w:val="14"/>
          <w:color w:val="auto"/>
        </w:rPr>
      </w:pPr>
    </w:p>
    <w:p>
      <w:pPr>
        <w:ind w:left="820" w:right="120" w:hanging="407"/>
        <w:spacing w:after="0" w:line="273" w:lineRule="auto"/>
        <w:tabs>
          <w:tab w:leader="none" w:pos="8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the dilutive effect, if any, of share and unit-based compensation plans calculated using the treasury stock method and the dilutive effect, if any, of all other dilutive securities calculated using the "if converted" method.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39" w:name="page40"/>
    <w:bookmarkEnd w:id="39"/>
    <w:p>
      <w:pPr>
        <w:ind w:left="820" w:right="300" w:hanging="407"/>
        <w:spacing w:after="0" w:line="273" w:lineRule="auto"/>
        <w:tabs>
          <w:tab w:leader="none" w:pos="8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Equity includes the noncontrolling interests in the Operating Partnership, nonredeemable noncontrolling interests in consolidated joint ventures and common and non-participating convertible preferred units of MACWH, LP.</w:t>
      </w:r>
    </w:p>
    <w:p>
      <w:pPr>
        <w:spacing w:after="0" w:line="92" w:lineRule="exact"/>
        <w:rPr>
          <w:rFonts w:ascii="Arial" w:cs="Arial" w:eastAsia="Arial" w:hAnsi="Arial"/>
          <w:sz w:val="14"/>
          <w:szCs w:val="14"/>
          <w:color w:val="auto"/>
        </w:rPr>
      </w:pPr>
    </w:p>
    <w:p>
      <w:pPr>
        <w:ind w:left="820" w:hanging="407"/>
        <w:spacing w:after="0"/>
        <w:tabs>
          <w:tab w:leader="none" w:pos="8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"Item 7. Management's Discussion and Analysis of Financial Condition and Results of Operations—Funds From Operations ("FFO")".</w:t>
      </w:r>
    </w:p>
    <w:p>
      <w:pPr>
        <w:spacing w:after="0" w:line="149" w:lineRule="exact"/>
        <w:rPr>
          <w:rFonts w:ascii="Arial" w:cs="Arial" w:eastAsia="Arial" w:hAnsi="Arial"/>
          <w:sz w:val="14"/>
          <w:szCs w:val="14"/>
          <w:color w:val="auto"/>
        </w:rPr>
      </w:pPr>
    </w:p>
    <w:p>
      <w:pPr>
        <w:ind w:left="820" w:right="160" w:hanging="407"/>
        <w:spacing w:after="0" w:line="252" w:lineRule="auto"/>
        <w:tabs>
          <w:tab w:leader="none" w:pos="8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October 30, 2015, the Company declared two special dividends/distributions ("Special Dividend"), each of $2.00 per share of common stock and per OP Unit to stockholders and OP Unit holders of record on November 12, 2015. The first Special Dividend was paid on December 8, 2015 and the second Special Dividend was paid on January 6, 2016. The Special Dividends were funded from proceeds in connection with the financing and sale of ownership interests in the Lakewood Center, Los Cerritos Center, South Plains Mall and Washington Square (collectively referred to as the "PPR Portfolio") and Arrowhead Towne Center.</w:t>
      </w:r>
    </w:p>
    <w:p>
      <w:pPr>
        <w:spacing w:after="0" w:line="200" w:lineRule="exact"/>
        <w:rPr>
          <w:sz w:val="20"/>
          <w:szCs w:val="20"/>
          <w:color w:val="auto"/>
        </w:rPr>
      </w:pPr>
    </w:p>
    <w:p>
      <w:pPr>
        <w:spacing w:after="0" w:line="299" w:lineRule="exact"/>
        <w:rPr>
          <w:sz w:val="20"/>
          <w:szCs w:val="20"/>
          <w:color w:val="auto"/>
        </w:rPr>
      </w:pPr>
    </w:p>
    <w:p>
      <w:pPr>
        <w:ind w:right="1280"/>
        <w:spacing w:after="0" w:line="42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Management's Overview and Summary</w:t>
      </w:r>
    </w:p>
    <w:p>
      <w:pPr>
        <w:ind w:right="140" w:firstLine="446"/>
        <w:spacing w:after="0" w:line="271" w:lineRule="auto"/>
        <w:rPr>
          <w:sz w:val="20"/>
          <w:szCs w:val="20"/>
          <w:color w:val="auto"/>
        </w:rPr>
      </w:pPr>
      <w:r>
        <w:rPr>
          <w:rFonts w:ascii="Arial" w:cs="Arial" w:eastAsia="Arial" w:hAnsi="Arial"/>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2019, the Operating Partnership owned or had an ownership interest in 47 regional shopping centers and five community/power shopping centers. These 52 regional and community/power shopping centers (which include any related office space) consist of approximately 51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9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years ended December 31, 2019, 2018 and 2017. It compares the results of operations and cash flows for the year ended December 31, 2019 to the results of operations and cash flows for the year ended December 31, 2018. Also included is a comparison of the results of operations and cash flows for the year ended December 31, 2018 to the results of operations and cash flows for the year ended December 31, 2017. This information should be read in conjunction with the accompanying consolidated financial statements and notes thereto.</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 and Dispositions: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statements reflect the following acquisitions, dispositions and changes in ownership subsequent to the occurrence of each transaction.</w:t>
      </w:r>
    </w:p>
    <w:p>
      <w:pPr>
        <w:spacing w:after="0" w:line="167"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On January 18, 2017, the Company sold Cascade Mall, a 589,000 square foot regional shopping center in Burlington, Washington; and Northgate Mall, a 750,000 square foot regional shopping center in San Rafael, California, in a combined transaction for $170.0 million, resulting in a gain on the sale of assets of $59.6 million. The proceeds were used to pay off the mortgage note payable on Northgate Mall and to repurchase shares of the Company's common stock under the 2017 Stock Buyback Program (See "Other Transactions and Events").</w:t>
      </w:r>
    </w:p>
    <w:p>
      <w:pPr>
        <w:spacing w:after="0" w:line="119"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On March 17, 2017, the Company's joint venture in Country Club Plaza sold an ownership interest in an office building for $78.0 million, resulting in a gain on sale of assets of $4.6 million. The Company's pro rata share of the gain on sale of assets of $2.3 million was included in equity in income of unconsolidated joint ventures. The Company used its share of the proceeds to fund repurchases under the 2017 Stock Buyback Program (See "Other Transactions and Events").</w:t>
      </w:r>
    </w:p>
    <w:p>
      <w:pPr>
        <w:spacing w:after="0" w:line="119"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an ownership interest in an office building for $61.5 million, resulting in a gain on sale of assets of $13.1 million. The Company's pro rata share of the gain on sale of assets of $6.5 million was included in equity in income of unconsolidated joint ventures. The Company used its share of the proceeds to fund repurchases under the 2017 Stock Buyback Program (See "Other Transactions and Events").</w:t>
      </w:r>
    </w:p>
    <w:p>
      <w:pPr>
        <w:spacing w:after="0" w:line="106"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$86.4 million, resulting in a gain on sale of assets of $14.6 million. The Company used the proceeds from the sale to pay down its line of credit and for other general corporate purposes.</w:t>
      </w:r>
    </w:p>
    <w:p>
      <w:pPr>
        <w:spacing w:after="0" w:line="114"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On December 14, 2017, the Company’s joint venture in Westcor/Queen Creek LLC sold land for $30.5 million, resulting in a gain on sale of assets of $14.9 million. The Company’s share of the gain on sale was $5.4 million, which was included in equity in income of unconsolidated joint ventures. The Company used its portion of the proceeds to pay down its line of credit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40" w:name="page41"/>
    <w:bookmarkEnd w:id="40"/>
    <w:p>
      <w:pPr>
        <w:jc w:val="both"/>
        <w:ind w:right="200" w:firstLine="446"/>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66"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 million. The Company completed the sale of the 75% ownership interest in the property to Hudson Pacific Properties on August 31, 2018, resulting in a gain on sale of assets of $46.2 million. The sales price was funded by a cash payment of $36.9 million and the assumption of a pro rata share of the mortgage note payable on the property of $105.6 million. The Company used the proceeds to fund its share of the cost to defease the mortgage note payable on the property (See "Financing Activity"). From March 1, 2018 to the completion of the sale, the Company accounted for its interest in the property as a collaborative arrangement (See Note 15—Collaborative Arrangement of the Company's consolidated financial statements). Upon completion of the sale, the Company has accounted for its ownership interest in the property under the equity method of accounting.</w:t>
      </w:r>
    </w:p>
    <w:p>
      <w:pPr>
        <w:spacing w:after="0" w:line="11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114"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Activity:</w:t>
      </w:r>
    </w:p>
    <w:p>
      <w:pPr>
        <w:spacing w:after="0" w:line="158"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On February 1, 2017, the Company's joint venture in West Acres replaced the existing loan on the property with a new $80.0 million loan that bears interest at an effective rate of 4.61% and matures on March 1, 2032. The Company used its share of the excess proceeds to pay down its line of credit and for general corporate purposes.</w:t>
      </w:r>
    </w:p>
    <w:p>
      <w:pPr>
        <w:spacing w:after="0" w:line="114"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On March 16, 2017, the Company's joint venture in Kierland Commons replaced the existing loan on the property with a new $225.0 million loan that bears interest at an effective rate of 3.98% and matures on April 1, 2027. The Company used its share of the excess proceeds to pay down its line of credit and for general corporate purposes.</w:t>
      </w:r>
    </w:p>
    <w:p>
      <w:pPr>
        <w:spacing w:after="0" w:line="100" w:lineRule="exact"/>
        <w:rPr>
          <w:sz w:val="20"/>
          <w:szCs w:val="20"/>
          <w:color w:val="auto"/>
        </w:rPr>
      </w:pPr>
    </w:p>
    <w:p>
      <w:pPr>
        <w:ind w:right="20" w:firstLine="446"/>
        <w:spacing w:after="0" w:line="286" w:lineRule="auto"/>
        <w:rPr>
          <w:sz w:val="20"/>
          <w:szCs w:val="20"/>
          <w:color w:val="auto"/>
        </w:rPr>
      </w:pPr>
      <w:r>
        <w:rPr>
          <w:rFonts w:ascii="Arial" w:cs="Arial" w:eastAsia="Arial" w:hAnsi="Arial"/>
          <w:sz w:val="17"/>
          <w:szCs w:val="17"/>
          <w:color w:val="auto"/>
        </w:rPr>
        <w:t>On September 29, 2017, the Company placed a new $110.0 million loan on Green Acres Commons that bears interest at LIBOR plus 2.15% and matures on March 29, 2021, including extension options. The Company expanded the loan and borrowed the additional $20.0 million available on the loan on March 1, 2018. The Company used the proceeds to pay down its line of credit and for general corporate purposes.</w:t>
      </w:r>
    </w:p>
    <w:p>
      <w:pPr>
        <w:spacing w:after="0" w:line="98"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On October 19, 2017, the Company's joint venture in Chandler Fashion Center and Freehold Raceway Mall replaced the existing loan on Freehold Raceway Mall with a new $400.0 million loan that bears interest at an effective rate of 3.94% and matures on November 1, 2029. The Company used its share of the net proceeds to pay down its line of credit and for general corporate purposes.</w:t>
      </w:r>
    </w:p>
    <w:p>
      <w:pPr>
        <w:spacing w:after="0" w:line="114" w:lineRule="exact"/>
        <w:rPr>
          <w:sz w:val="20"/>
          <w:szCs w:val="20"/>
          <w:color w:val="auto"/>
        </w:rPr>
      </w:pPr>
    </w:p>
    <w:p>
      <w:pPr>
        <w:ind w:right="740" w:firstLine="446"/>
        <w:spacing w:after="0" w:line="277" w:lineRule="auto"/>
        <w:rPr>
          <w:sz w:val="20"/>
          <w:szCs w:val="20"/>
          <w:color w:val="auto"/>
        </w:rPr>
      </w:pPr>
      <w:r>
        <w:rPr>
          <w:rFonts w:ascii="Arial" w:cs="Arial" w:eastAsia="Arial" w:hAnsi="Arial"/>
          <w:sz w:val="18"/>
          <w:szCs w:val="18"/>
          <w:color w:val="auto"/>
        </w:rPr>
        <w:t>On November 1, 2017, the Company paid off in full the $95.0 million mortgage loan payable on Stonewood Center. The Company funded the repayment of the mortgage loan payable from borrowings under its line of credit.</w:t>
      </w:r>
    </w:p>
    <w:p>
      <w:pPr>
        <w:spacing w:after="0" w:line="8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On December 4, 2017, the Company replaced the existing loan on Santa Monica Place with a new $300.0 million loan that bears interest at LIBOR plus 1.35% and matures on December 9, 2022, including three one-year extension options. The loan is covered by an interest rate cap agreement that effectively prevents LIBOR from exceeding 4.00% through December 9, 2021. The Company used the net proceeds to pay down its line of credit and for general corporate purposes.</w:t>
      </w:r>
    </w:p>
    <w:p>
      <w:pPr>
        <w:spacing w:after="0" w:line="119" w:lineRule="exact"/>
        <w:rPr>
          <w:sz w:val="20"/>
          <w:szCs w:val="20"/>
          <w:color w:val="auto"/>
        </w:rPr>
      </w:pPr>
    </w:p>
    <w:p>
      <w:pPr>
        <w:ind w:right="180" w:firstLine="446"/>
        <w:spacing w:after="0" w:line="312" w:lineRule="auto"/>
        <w:rPr>
          <w:sz w:val="20"/>
          <w:szCs w:val="20"/>
          <w:color w:val="auto"/>
        </w:rPr>
      </w:pPr>
      <w:r>
        <w:rPr>
          <w:rFonts w:ascii="Arial" w:cs="Arial" w:eastAsia="Arial" w:hAnsi="Arial"/>
          <w:sz w:val="16"/>
          <w:szCs w:val="16"/>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79"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1" w:name="page42"/>
    <w:bookmarkEnd w:id="41"/>
    <w:p>
      <w:pPr>
        <w:jc w:val="both"/>
        <w:ind w:right="220" w:firstLine="446"/>
        <w:spacing w:after="0" w:line="259" w:lineRule="auto"/>
        <w:rPr>
          <w:sz w:val="20"/>
          <w:szCs w:val="20"/>
          <w:color w:val="auto"/>
        </w:rPr>
      </w:pPr>
      <w:r>
        <w:rPr>
          <w:rFonts w:ascii="Arial" w:cs="Arial" w:eastAsia="Arial" w:hAnsi="Arial"/>
          <w:sz w:val="18"/>
          <w:szCs w:val="18"/>
          <w:color w:val="auto"/>
        </w:rPr>
        <w:t>On August 31, 2018, concurrent with the sale of the ownership interest in One Westside (See "Acquisitions and Dispositions"), the Company's joint venture defeased the $140.8 million mortgage note payable on the property by providing a $149.2 million portfolio of marketable securities as replacement collateral in lieu of the property. The Company funded its $37.3 million share of the purchase price of the marketable securities portfolio with the proceeds from the sale of the ownership interest in the property.</w:t>
      </w:r>
    </w:p>
    <w:p>
      <w:pPr>
        <w:spacing w:after="0" w:line="106" w:lineRule="exact"/>
        <w:rPr>
          <w:sz w:val="20"/>
          <w:szCs w:val="20"/>
          <w:color w:val="auto"/>
        </w:rPr>
      </w:pPr>
    </w:p>
    <w:p>
      <w:pPr>
        <w:ind w:right="480" w:firstLine="446"/>
        <w:spacing w:after="0" w:line="342" w:lineRule="auto"/>
        <w:rPr>
          <w:sz w:val="20"/>
          <w:szCs w:val="20"/>
          <w:color w:val="auto"/>
        </w:rPr>
      </w:pPr>
      <w:r>
        <w:rPr>
          <w:rFonts w:ascii="Arial" w:cs="Arial" w:eastAsia="Arial" w:hAnsi="Arial"/>
          <w:sz w:val="16"/>
          <w:szCs w:val="16"/>
          <w:color w:val="auto"/>
        </w:rPr>
        <w:t>On September 14, 2018, the Company entered into four interest rate swap agreements that effectively convert a total of $400.0 million of the outstanding balance of the Company’s line of credit from floating rate debt of LIBOR plus 1.45% to fixed rate debt of 4.30% until September 30, 2021.</w:t>
      </w:r>
    </w:p>
    <w:p>
      <w:pPr>
        <w:spacing w:after="0" w:line="56"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 The Company used its share of the proceeds to pay down its line of credit and for general corporate purposes.</w:t>
      </w:r>
    </w:p>
    <w:p>
      <w:pPr>
        <w:spacing w:after="0" w:line="114"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100"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119" w:lineRule="exact"/>
        <w:rPr>
          <w:sz w:val="20"/>
          <w:szCs w:val="20"/>
          <w:color w:val="auto"/>
        </w:rPr>
      </w:pPr>
    </w:p>
    <w:p>
      <w:pPr>
        <w:jc w:val="both"/>
        <w:ind w:right="100" w:firstLine="446"/>
        <w:spacing w:after="0" w:line="264" w:lineRule="auto"/>
        <w:rPr>
          <w:sz w:val="20"/>
          <w:szCs w:val="20"/>
          <w:color w:val="auto"/>
        </w:rPr>
      </w:pPr>
      <w:r>
        <w:rPr>
          <w:rFonts w:ascii="Arial" w:cs="Arial" w:eastAsia="Arial" w:hAnsi="Arial"/>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114"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100"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term loan on the joint venture to allow for additional borrowings up to $100.0 million at LIBOR plus 2.00%. Concurrent with the amendment, the joint venture borrowed an additional $26.0 million. On August 16, 2019, the joint venture borrowed an additional $25.0 million. The Company used its share of the additional proceeds to pay down its line of credit and for general corporate purposes.</w:t>
      </w:r>
    </w:p>
    <w:p>
      <w:pPr>
        <w:spacing w:after="0" w:line="119" w:lineRule="exact"/>
        <w:rPr>
          <w:sz w:val="20"/>
          <w:szCs w:val="20"/>
          <w:color w:val="auto"/>
        </w:rPr>
      </w:pPr>
    </w:p>
    <w:p>
      <w:pPr>
        <w:jc w:val="both"/>
        <w:ind w:right="560" w:firstLine="446"/>
        <w:spacing w:after="0" w:line="264" w:lineRule="auto"/>
        <w:rPr>
          <w:sz w:val="20"/>
          <w:szCs w:val="20"/>
          <w:color w:val="auto"/>
        </w:rPr>
      </w:pPr>
      <w:r>
        <w:rPr>
          <w:rFonts w:ascii="Arial" w:cs="Arial" w:eastAsia="Arial" w:hAnsi="Arial"/>
          <w:sz w:val="18"/>
          <w:szCs w:val="18"/>
          <w:color w:val="auto"/>
        </w:rPr>
        <w:t>On September 12, 2019, the Company’s joint venture in Tysons Tower placed a new $190.0 million loan on the property that bears interest at an effective rate of 3.38% and matures on November 11, 2029. The Company used its share of the proceeds to pay down its line of credit and for general corporate purposes.</w:t>
      </w:r>
    </w:p>
    <w:p>
      <w:pPr>
        <w:spacing w:after="0" w:line="114"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On October 17, 2019, the Company’s joint venture in West Acres placed a construction loan on the property that allows for borrowing of up to $6.5 million, bears interest at an effective rate of 3.72% and matures on October 10, 2029. The joint venture intends to use the proceeds from the loan to fund the expansion of the property.</w:t>
      </w:r>
    </w:p>
    <w:p>
      <w:pPr>
        <w:spacing w:after="0" w:line="100"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On December 3, 2019, the Company replaced the existing loan on Kings Plaza Shopping Center with a new $540.0 million loan that bears interest at an effective rate of 3.71% and matures on January 1, 2030. The Company used the additional proceeds to pay down its line of credit and for general corporate purposes.</w:t>
      </w:r>
    </w:p>
    <w:p>
      <w:pPr>
        <w:spacing w:after="0" w:line="114" w:lineRule="exact"/>
        <w:rPr>
          <w:sz w:val="20"/>
          <w:szCs w:val="20"/>
          <w:color w:val="auto"/>
        </w:rPr>
      </w:pPr>
    </w:p>
    <w:p>
      <w:pPr>
        <w:ind w:right="60" w:firstLine="446"/>
        <w:spacing w:after="0" w:line="312" w:lineRule="auto"/>
        <w:rPr>
          <w:sz w:val="20"/>
          <w:szCs w:val="20"/>
          <w:color w:val="auto"/>
        </w:rPr>
      </w:pPr>
      <w:r>
        <w:rPr>
          <w:rFonts w:ascii="Arial" w:cs="Arial" w:eastAsia="Arial" w:hAnsi="Arial"/>
          <w:sz w:val="16"/>
          <w:szCs w:val="16"/>
          <w:color w:val="auto"/>
        </w:rPr>
        <w:t>On December 18, 2019, the Company’s joint venture in One Westside placed a $414.6 million construction loan on the redevelopment project (See "Redevelopment and Development Activities"). The loan bears interest at LIBOR plus 1.70%, which can be reduced to LIBOR plus 1.50% upon the completion of certain conditions and matures on December 18, 2024. The joint venture intends to use the loan proceeds to fund the completion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i w:val="1"/>
          <w:iCs w:val="1"/>
          <w:color w:val="auto"/>
        </w:rPr>
        <w:t>Redevelopment and Development Activity:</w:t>
      </w:r>
    </w:p>
    <w:p>
      <w:pPr>
        <w:spacing w:after="0" w:line="144" w:lineRule="exact"/>
        <w:rPr>
          <w:sz w:val="20"/>
          <w:szCs w:val="20"/>
          <w:color w:val="auto"/>
        </w:rPr>
      </w:pPr>
    </w:p>
    <w:p>
      <w:pPr>
        <w:ind w:right="360" w:firstLine="446"/>
        <w:spacing w:after="0" w:line="257" w:lineRule="auto"/>
        <w:rPr>
          <w:sz w:val="20"/>
          <w:szCs w:val="20"/>
          <w:color w:val="auto"/>
        </w:rPr>
      </w:pPr>
      <w:r>
        <w:rPr>
          <w:rFonts w:ascii="Arial" w:cs="Arial" w:eastAsia="Arial" w:hAnsi="Arial"/>
          <w:sz w:val="18"/>
          <w:szCs w:val="18"/>
          <w:color w:val="auto"/>
        </w:rPr>
        <w:t>On September 19, 2019, the Company's joint venture with Pennsylvania REIT opened the first phase of the redevelopment of Fashion District Philadelphia, an 899,000 square foot regional shopping center in Philadelphia, Pennsylvania. The project will have additional tenant openings throughout 2020 and early 2021. The total cost of the project is estimated to be between $400.0 million and $420.0 million, with $200.0 million to $210.0 million estimated to be the Company's pro rata share. The Company has funded $190.9 million of the total $381.8 million incurred by the joint venture as of December 31, 2019.</w:t>
      </w:r>
    </w:p>
    <w:p>
      <w:pPr>
        <w:spacing w:after="0" w:line="12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Company's joint venture in Scottsdale Fashion Square completed the redevelopment of a former Barney's store and an 80,000 square foot exterior expansion in the fourth quarter of 2019. The Company has funded $40.0 million of the total $80.0 million incurred by the joint venture as of December 31, 2019.</w:t>
      </w:r>
    </w:p>
    <w:p>
      <w:pPr>
        <w:spacing w:after="0" w:line="11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$50.4 million of the total $201.5 million incurred by the joint venture as of December 31, 2019. The joint venture expects to fund the remaining costs of the development with its new $414.6 million construction loan (See "Financing Activities").</w:t>
      </w:r>
    </w:p>
    <w:p>
      <w:pPr>
        <w:spacing w:after="0" w:line="9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$35.9 million of the total $71.7 million incurred by the joint venture as of December 31, 2019.</w:t>
      </w:r>
    </w:p>
    <w:p>
      <w:pPr>
        <w:spacing w:after="0" w:line="114" w:lineRule="exact"/>
        <w:rPr>
          <w:sz w:val="20"/>
          <w:szCs w:val="20"/>
          <w:color w:val="auto"/>
        </w:rPr>
      </w:pPr>
    </w:p>
    <w:p>
      <w:pPr>
        <w:ind w:right="480" w:firstLine="446"/>
        <w:spacing w:after="0" w:line="302" w:lineRule="auto"/>
        <w:rPr>
          <w:sz w:val="20"/>
          <w:szCs w:val="20"/>
          <w:color w:val="auto"/>
        </w:rPr>
      </w:pPr>
      <w:r>
        <w:rPr>
          <w:rFonts w:ascii="Arial" w:cs="Arial" w:eastAsia="Arial" w:hAnsi="Arial"/>
          <w:sz w:val="16"/>
          <w:szCs w:val="16"/>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redevelopments.The Company has funded $22.4 million at its pro rata share as of December 31, 2019.</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Transactions and Events:</w:t>
      </w:r>
    </w:p>
    <w:p>
      <w:pPr>
        <w:spacing w:after="0" w:line="144"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On February 12, 2017, the Company's Board of Directors authorized the repurchase of up to $500.0 million of its outstanding common shares as market conditions and the Company’s liquidity warrant (the "2017 Stock Buyback Program"). Repurchases may be made through open market purchases, privately negotiated transactions, structured or derivative transactions, including ASR transactions, or other methods of acquiring shares, from time to time as permitted by securities laws and other legal requirements. During the period from February 12, 2017 to December 31, 2017, the Company repurchased a total of 3,627,390 of its common shares for $221.4 million, representing an average price of $61.01 per share. The Company funded the repurchases from the net proceeds of the sale of Cascade Mall and Northgate Mall (See "Acquisitions and Dispositions"), its share of the proceeds from the sale of ownership interests in office buildings at Fashion District Philadelphia and Country Club Plaza (See "Acquisitions and Dispositions") and from borrowings under its line of credit. There were no repurchases during the years ended December 31, 2019 and 2018.</w:t>
      </w:r>
    </w:p>
    <w:p>
      <w:pPr>
        <w:spacing w:after="0" w:line="111"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On January 1, 2018, upon adoption of ASU 2014-09, "Revenue From Contracts With Customers (ASC 606)", the Company changed its accounting for Chandler Freehold from a co-venture arrangement to a financing arrangement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105" w:lineRule="exact"/>
        <w:rPr>
          <w:sz w:val="20"/>
          <w:szCs w:val="20"/>
          <w:color w:val="auto"/>
        </w:rPr>
      </w:pPr>
    </w:p>
    <w:p>
      <w:pPr>
        <w:ind w:right="520" w:firstLine="446"/>
        <w:spacing w:after="0" w:line="286" w:lineRule="auto"/>
        <w:rPr>
          <w:sz w:val="20"/>
          <w:szCs w:val="20"/>
          <w:color w:val="auto"/>
        </w:rPr>
      </w:pPr>
      <w:r>
        <w:rPr>
          <w:rFonts w:ascii="Arial" w:cs="Arial" w:eastAsia="Arial" w:hAnsi="Arial"/>
          <w:sz w:val="17"/>
          <w:szCs w:val="17"/>
          <w:color w:val="auto"/>
        </w:rPr>
        <w:t>On February 1 and 2, 2018, the Company reduced its workforce by approximately 10 percent. The Company incurred a one-time charge of $12.7 million in connection with the workforce reduction during the year ended December 31, 2018. As a result of the workforce reduction, the Company, exclusive of the one-time charge, reduced expenses by approximately $10.0 million during the year ending December 31, 2018.</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year ended December 31, 2018, the Company incurred $19.4 million in costs associated with activities related to shareholder activism.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primarily for legal and advisory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3" w:name="page44"/>
    <w:bookmarkEnd w:id="43"/>
    <w:p>
      <w:pPr>
        <w:ind w:right="120" w:firstLine="446"/>
        <w:spacing w:after="0" w:line="255" w:lineRule="auto"/>
        <w:rPr>
          <w:sz w:val="20"/>
          <w:szCs w:val="20"/>
          <w:color w:val="auto"/>
        </w:rPr>
      </w:pPr>
      <w:r>
        <w:rPr>
          <w:rFonts w:ascii="Arial" w:cs="Arial" w:eastAsia="Arial" w:hAnsi="Arial"/>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10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Upon adoption of the new standard, the Company has presented all revenues associated with leases as leasing revenue on its consolidated statements of operations. For comparison purposes, the Company has reclassified minimum rents, percentage rents, tenant recoveries and other leasing income to leasing revenue for the years ended December 31, 2018 and 2017 to conform to the presentation for the year ended December 31, 2019. The new standard requires the Company to reduce leasing revenue for credit losses associated with lease receivables. For the years ended December 31, 2018 and 2017, the provision for bad debts is included in shopping center and operating expenses. In addition, straight-line rent receivables are written off when the Company believes there is reasonable uncertainty regarding a tenant's ability to complete the term of the lease. As a result, the Company recognized a cumulative effect adjustment of $2.2 million upon adoption for the write off of straight-line rent receivables of tenants that were in litigation or bankruptcy.</w:t>
      </w:r>
    </w:p>
    <w:p>
      <w:pPr>
        <w:spacing w:after="0" w:line="100"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years ended December 31, 2018 and 2017 to conform to the presentation for the year ended December 31, 2019.</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Inflation:</w:t>
      </w:r>
    </w:p>
    <w:p>
      <w:pPr>
        <w:spacing w:after="0" w:line="144"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6"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w:t>
      </w:r>
    </w:p>
    <w:p>
      <w:pPr>
        <w:spacing w:after="0" w:line="158"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4" w:name="page45"/>
    <w:bookmarkEnd w:id="44"/>
    <w:p>
      <w:pPr>
        <w:ind w:right="20"/>
        <w:spacing w:after="0" w:line="269" w:lineRule="auto"/>
        <w:rPr>
          <w:sz w:val="20"/>
          <w:szCs w:val="20"/>
          <w:color w:val="auto"/>
        </w:rPr>
      </w:pPr>
      <w:r>
        <w:rPr>
          <w:rFonts w:ascii="Arial" w:cs="Arial" w:eastAsia="Arial" w:hAnsi="Arial"/>
          <w:sz w:val="17"/>
          <w:szCs w:val="17"/>
          <w:color w:val="auto"/>
        </w:rPr>
        <w:t>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99" w:lineRule="exact"/>
        <w:rPr>
          <w:sz w:val="20"/>
          <w:szCs w:val="20"/>
          <w:color w:val="auto"/>
        </w:rPr>
      </w:pPr>
    </w:p>
    <w:p>
      <w:pPr>
        <w:ind w:right="920" w:firstLine="446"/>
        <w:spacing w:after="0" w:line="277" w:lineRule="auto"/>
        <w:rPr>
          <w:sz w:val="20"/>
          <w:szCs w:val="20"/>
          <w:color w:val="auto"/>
        </w:rPr>
      </w:pPr>
      <w:r>
        <w:rPr>
          <w:rFonts w:ascii="Arial" w:cs="Arial" w:eastAsia="Arial" w:hAnsi="Arial"/>
          <w:sz w:val="18"/>
          <w:szCs w:val="18"/>
          <w:color w:val="auto"/>
        </w:rPr>
        <w:t>The Company immediately expenses costs associated with business combinations as period costs and capitalizes costs associated with asset acquisitions.</w:t>
      </w:r>
    </w:p>
    <w:p>
      <w:pPr>
        <w:spacing w:after="0" w:line="103"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Impairment:</w:t>
      </w:r>
    </w:p>
    <w:p>
      <w:pPr>
        <w:spacing w:after="0" w:line="144"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100" w:lineRule="exact"/>
        <w:rPr>
          <w:sz w:val="20"/>
          <w:szCs w:val="20"/>
          <w:color w:val="auto"/>
        </w:rPr>
      </w:pPr>
    </w:p>
    <w:p>
      <w:pPr>
        <w:jc w:val="both"/>
        <w:ind w:right="660" w:firstLine="446"/>
        <w:spacing w:after="0" w:line="286" w:lineRule="auto"/>
        <w:rPr>
          <w:sz w:val="20"/>
          <w:szCs w:val="20"/>
          <w:color w:val="auto"/>
        </w:rPr>
      </w:pPr>
      <w:r>
        <w:rPr>
          <w:rFonts w:ascii="Arial" w:cs="Arial" w:eastAsia="Arial" w:hAnsi="Arial"/>
          <w:sz w:val="17"/>
          <w:szCs w:val="17"/>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4"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03"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45" w:name="page46"/>
    <w:bookmarkEnd w:id="45"/>
    <w:p>
      <w:pPr>
        <w:ind w:right="20" w:firstLine="446"/>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00"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right="140" w:firstLine="446"/>
        <w:spacing w:after="0" w:line="342" w:lineRule="auto"/>
        <w:rPr>
          <w:sz w:val="20"/>
          <w:szCs w:val="20"/>
          <w:color w:val="auto"/>
        </w:rPr>
      </w:pPr>
      <w:r>
        <w:rPr>
          <w:rFonts w:ascii="Arial" w:cs="Arial" w:eastAsia="Arial" w:hAnsi="Arial"/>
          <w:sz w:val="16"/>
          <w:szCs w:val="16"/>
          <w:color w:val="auto"/>
        </w:rPr>
        <w:t>Many of the variations in the results of operations, discussed below, occurred because of the transactions affecting the Company's properties described above, including those related to the Redevelopment Properties, the JV Transition Centers and the Disposition Properties (each as defined below).</w:t>
      </w:r>
    </w:p>
    <w:p>
      <w:pPr>
        <w:spacing w:after="0" w:line="43"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 and the Disposition Properties for the periods of comparison.</w:t>
      </w:r>
    </w:p>
    <w:p>
      <w:pPr>
        <w:spacing w:after="0" w:line="110" w:lineRule="exact"/>
        <w:rPr>
          <w:sz w:val="20"/>
          <w:szCs w:val="20"/>
          <w:color w:val="auto"/>
        </w:rPr>
      </w:pPr>
    </w:p>
    <w:p>
      <w:pPr>
        <w:ind w:right="280" w:firstLine="446"/>
        <w:spacing w:after="0" w:line="342" w:lineRule="auto"/>
        <w:rPr>
          <w:sz w:val="20"/>
          <w:szCs w:val="20"/>
          <w:color w:val="auto"/>
        </w:rPr>
      </w:pPr>
      <w:r>
        <w:rPr>
          <w:rFonts w:ascii="Arial" w:cs="Arial" w:eastAsia="Arial" w:hAnsi="Arial"/>
          <w:sz w:val="16"/>
          <w:szCs w:val="16"/>
          <w:color w:val="auto"/>
        </w:rPr>
        <w:t>For the comparison of the year ended December 31, 2019 to the year ended December 31, 2018 and the comparison of the year ended December 31, 2018 to the year ended December 31, 2017, the Redevelopment Properties are Paradise Valley Mall and certain ground up developments.</w:t>
      </w:r>
    </w:p>
    <w:p>
      <w:pPr>
        <w:spacing w:after="0" w:line="56" w:lineRule="exact"/>
        <w:rPr>
          <w:sz w:val="20"/>
          <w:szCs w:val="20"/>
          <w:color w:val="auto"/>
        </w:rPr>
      </w:pPr>
    </w:p>
    <w:p>
      <w:pPr>
        <w:jc w:val="both"/>
        <w:ind w:right="280" w:firstLine="446"/>
        <w:spacing w:after="0" w:line="286" w:lineRule="auto"/>
        <w:rPr>
          <w:sz w:val="20"/>
          <w:szCs w:val="20"/>
          <w:color w:val="auto"/>
        </w:rPr>
      </w:pPr>
      <w:r>
        <w:rPr>
          <w:rFonts w:ascii="Arial" w:cs="Arial" w:eastAsia="Arial" w:hAnsi="Arial"/>
          <w:sz w:val="17"/>
          <w:szCs w:val="17"/>
          <w:color w:val="auto"/>
        </w:rPr>
        <w:t>For the comparison of the year ended December 31, 2019 to the year ended December 31, 2018 and the comparison of the year ended December 31, 2018 to the year ended December 31, 2017, the JV Transition Center is One Westside. The change in revenues and expenses at the JV Transition Center is primarily due to the conversion of One Westside from a Consolidated Center to an Unconsolidated Joint Venture Center.</w:t>
      </w:r>
    </w:p>
    <w:p>
      <w:pPr>
        <w:spacing w:after="0" w:line="84"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For comparison of the year ended December 31, 2019 to the year ended December 31, 2018, the Disposition Property is Promenade at Casa Grande</w:t>
      </w:r>
      <w:r>
        <w:rPr>
          <w:rFonts w:ascii="Arial" w:cs="Arial" w:eastAsia="Arial" w:hAnsi="Arial"/>
          <w:sz w:val="14"/>
          <w:szCs w:val="14"/>
          <w:color w:val="auto"/>
        </w:rPr>
        <w:t>.</w:t>
      </w:r>
      <w:r>
        <w:rPr>
          <w:rFonts w:ascii="Arial" w:cs="Arial" w:eastAsia="Arial" w:hAnsi="Arial"/>
          <w:sz w:val="18"/>
          <w:szCs w:val="18"/>
          <w:color w:val="auto"/>
        </w:rPr>
        <w:t xml:space="preserve"> For the comparison of the year ended December 31, 2018 to the year ended December 31, 2017, the Disposition Properties are Promenade at Casa Grande, 500 North Michigan Avenue, Cascade Mall and Northgate Mall.</w:t>
      </w:r>
    </w:p>
    <w:p>
      <w:pPr>
        <w:spacing w:after="0" w:line="114"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103"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The Company considers tenant annual sales per square foot (for tenants in place for a minimum of 12 months or longer and 10,000 square feet and under) for regional shopping centers, occupancy rates (excluding large retail stores or "Anchors") for the Centers and releasing spreads (i.e. a comparison of initial average base rent per square foot on leases executed during the trailing twelve months to average base rent per square foot at expiration for the leases expiring during the year based on the spaces 10,000 square feet and under) to be key performance indicators of the Company's internal growth.</w:t>
      </w:r>
    </w:p>
    <w:p>
      <w:pPr>
        <w:spacing w:after="0" w:line="73" w:lineRule="exact"/>
        <w:rPr>
          <w:sz w:val="20"/>
          <w:szCs w:val="20"/>
          <w:color w:val="auto"/>
        </w:rPr>
      </w:pPr>
    </w:p>
    <w:p>
      <w:pPr>
        <w:ind w:right="100" w:firstLine="446"/>
        <w:spacing w:after="0" w:line="290" w:lineRule="auto"/>
        <w:rPr>
          <w:sz w:val="20"/>
          <w:szCs w:val="20"/>
          <w:color w:val="auto"/>
        </w:rPr>
      </w:pPr>
      <w:r>
        <w:rPr>
          <w:rFonts w:ascii="Arial" w:cs="Arial" w:eastAsia="Arial" w:hAnsi="Arial"/>
          <w:sz w:val="16"/>
          <w:szCs w:val="16"/>
          <w:color w:val="auto"/>
        </w:rPr>
        <w:t>Tenant sales per square foot increased from $726 for the twelve months ended December 31, 2018 to $801 for the twelve months ended December 31, 2019. Occupancy rate decreased from 95.4% at December 31, 2018 to 94.0% at December 31, 2019. Releasing spreads remained positive as the Company was able to lease available space at average higher rents than the expiring rental rates, resulting in a releasing spread of $2.65 per square foot ($59.15 on new and renewal leases executed compared to $56.50 on leases expiring), representing a 4.7% increase for the trailing twelve months ended December 31, 2019. The Company expects that releasing spreads will continue to be positive for 2020 as it renews or relets leases that are scheduled to expire. These leases that are scheduled to expire represent approximately 930,000 square feet of the Centers, accounting for 14.0% of the GLA of mall stores and freestanding stores, for spaces 10,000 square feet and under, as of December 31, 2019. These calculations exclude Centers under development or redevelopment and property dispositions (See "Acquisitions and Dispositions" and "Redevelopment and Development Activities" in Management's Overview and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6" w:name="page47"/>
    <w:bookmarkEnd w:id="46"/>
    <w:p>
      <w:pPr>
        <w:ind w:right="240" w:firstLine="446"/>
        <w:spacing w:after="0" w:line="264" w:lineRule="auto"/>
        <w:rPr>
          <w:sz w:val="20"/>
          <w:szCs w:val="20"/>
          <w:color w:val="auto"/>
        </w:rPr>
      </w:pPr>
      <w:r>
        <w:rPr>
          <w:rFonts w:ascii="Arial" w:cs="Arial" w:eastAsia="Arial" w:hAnsi="Arial"/>
          <w:sz w:val="18"/>
          <w:szCs w:val="18"/>
          <w:color w:val="auto"/>
        </w:rPr>
        <w:t>During the trailing twelve months ended December 31, 2019, the Company signed 359 new leases and 579 renewal leases comprising approximately 3.5 million square feet of GLA, of which 2.3 million square feet related to the consolidated Centers. The average tenant allowance was $29.25 per square foot.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2" w:lineRule="exact"/>
        <w:rPr>
          <w:sz w:val="20"/>
          <w:szCs w:val="20"/>
          <w:color w:val="auto"/>
        </w:rPr>
      </w:pPr>
    </w:p>
    <w:p>
      <w:pPr>
        <w:ind w:right="560" w:firstLine="446"/>
        <w:spacing w:after="0" w:line="259"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Shopping Centers. Although the Company believes that overall regional shopping center fundamentals in its markets appear reasonably strong, the Company expects that its results for 2020 will be negatively impacted by Anchor closures and tenant bankruptcies, among other factors.</w:t>
      </w:r>
    </w:p>
    <w:p>
      <w:pPr>
        <w:spacing w:after="0" w:line="119"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Rising interest rates could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in an increasing interest rate environment the fixed rates the Company can obtain with such replacement fixed-rate cap and swap agreements or the fixed-rate on new debt will also continue to increase.</w:t>
      </w:r>
    </w:p>
    <w:p>
      <w:pPr>
        <w:spacing w:after="0" w:line="77" w:lineRule="exact"/>
        <w:rPr>
          <w:sz w:val="20"/>
          <w:szCs w:val="20"/>
          <w:color w:val="auto"/>
        </w:rPr>
      </w:pPr>
    </w:p>
    <w:p>
      <w:pPr>
        <w:ind w:right="500" w:firstLine="446"/>
        <w:spacing w:after="0" w:line="312" w:lineRule="auto"/>
        <w:rPr>
          <w:sz w:val="20"/>
          <w:szCs w:val="20"/>
          <w:color w:val="auto"/>
        </w:rPr>
      </w:pPr>
      <w:r>
        <w:rPr>
          <w:rFonts w:ascii="Arial" w:cs="Arial" w:eastAsia="Arial" w:hAnsi="Arial"/>
          <w:sz w:val="16"/>
          <w:szCs w:val="16"/>
          <w:color w:val="auto"/>
        </w:rPr>
        <w:t>In recent years, a number of companies in the retail industry, including some of the Company’s Anchors, have declared bankruptcy, gone out of business or significantly reduced the number of their retail stores. Store closures by an Anchor may impact the Company’s Centers more holistically by causing other tenants, including Anchors, to terminate their leases, receive reduced rent or cease operating their stores at the Center.</w:t>
      </w:r>
    </w:p>
    <w:p>
      <w:pPr>
        <w:spacing w:after="0" w:line="79"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On October 15, 2018, Sears filed for bankruptcy and announced additional store closings. At the time of the bankruptcy filing, the Company had 21 Sears stores in its portfolio totaling approximately 3.1 million square feet and accounting for less than 1% of the Company’s total leasing revenue. The twenty-one stores included seven owned by the Company, nine owned by the Company’s joint venture with Seritage Growth Properties (“Seritage”), one store that was owned by Sears and four stores that were owned by Seritage. Although, in the short-term, the bankruptcy of an Anchor such as Sears may lead to lost base rent and the triggering of co-tenancy clauses, there is also the potential to create additional future value through the recapturing of space and releasing that space to new tenants at higher rent per square foot, which the Company has demonstrated through its joint venture with Seritage and the completed redevelopment of a former Sears store at Kings Plaza Shopping Center in July 2018.</w:t>
      </w:r>
    </w:p>
    <w:p>
      <w:pPr>
        <w:spacing w:after="0" w:line="110"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As of December 31, 2019, the Company recaptured ten Sears locations, including seven through its joint venture with Seritage, through formal lease rejections and lease terminations. The Company currently anticipates aggregate redevelopment investments at several of these locations of $130.0 million to $160.0 million (at the Company's pro rata share) over the next several years. New tenants are expected to open at several projects in 2020. In early 2020, Sears will be closing five additional locations, including three stores in which the Company has an ownership interest and two that are owned by Seritage and not by the Company. Sears will continue to pay rent on these locations in which the Company has an ownership interest. The Company is actively seeking replacement tenants for these Company-owned sites.</w:t>
      </w:r>
    </w:p>
    <w:p>
      <w:pPr>
        <w:spacing w:after="0" w:line="112"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On September 29, 2019, Forever 21, Inc. filed for Chapter 11 bankruptcy. At the time of the bankruptcy filing, the Company had 29 Forever 21 stores in its portfolio totaling approximately 1.2 million square feet. As of December 31, 2019, Forever 21 stores represented 1.4% of total minimum and percentage rental revenues of the Company. The Company is in ongoing discussions with Forever 21 regarding the status of those stores. Based on a court filing dated October 28, 2019, the Company expects that four of the Forever 21 stores will close, three of which are owned by the Company (Danbury Fair Mall, Arrowhead Towne Center and Pacific View), and one of which is not owned by the Company (Vintage Faire Mall). The Company anticipates that it may provide certain rent concessions in connection with a number of the remaining stores.The Company is actively seeking replacement tenants for these Company-owned sites.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2019 and 2018</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144" w:lineRule="exact"/>
        <w:rPr>
          <w:sz w:val="20"/>
          <w:szCs w:val="20"/>
          <w:color w:val="auto"/>
        </w:rPr>
      </w:pPr>
    </w:p>
    <w:p>
      <w:pPr>
        <w:jc w:val="both"/>
        <w:ind w:right="320" w:firstLine="446"/>
        <w:spacing w:after="0" w:line="264" w:lineRule="auto"/>
        <w:rPr>
          <w:sz w:val="20"/>
          <w:szCs w:val="20"/>
          <w:color w:val="auto"/>
        </w:rPr>
      </w:pPr>
      <w:r>
        <w:rPr>
          <w:rFonts w:ascii="Arial" w:cs="Arial" w:eastAsia="Arial" w:hAnsi="Arial"/>
          <w:sz w:val="18"/>
          <w:szCs w:val="18"/>
          <w:color w:val="auto"/>
        </w:rPr>
        <w:t>Leasing revenue decreased by $25.1 million, or 2.8%, from 2018 to 2019. The decrease in rental revenue is attributed to a decrease of $18.5 million from the Same Centers, $3.0 million from the JV Transition Center, $2.3 million from the Disposition Property and $1.3 million from the Redevelopment Properties.</w:t>
      </w:r>
    </w:p>
    <w:p>
      <w:pPr>
        <w:spacing w:after="0" w:line="114" w:lineRule="exact"/>
        <w:rPr>
          <w:sz w:val="20"/>
          <w:szCs w:val="20"/>
          <w:color w:val="auto"/>
        </w:rPr>
      </w:pPr>
    </w:p>
    <w:p>
      <w:pPr>
        <w:jc w:val="both"/>
        <w:ind w:right="100" w:firstLine="446"/>
        <w:spacing w:after="0" w:line="264" w:lineRule="auto"/>
        <w:rPr>
          <w:sz w:val="20"/>
          <w:szCs w:val="20"/>
          <w:color w:val="auto"/>
        </w:rPr>
      </w:pPr>
      <w:r>
        <w:rPr>
          <w:rFonts w:ascii="Arial" w:cs="Arial" w:eastAsia="Arial" w:hAnsi="Arial"/>
          <w:sz w:val="18"/>
          <w:szCs w:val="18"/>
          <w:color w:val="auto"/>
        </w:rPr>
        <w:t>Leasing revenue includes the amortization of above and below-market leases, the amortization of straight-line rents and lease termination income. The amortization of above and below-market leases increased from $1.9 million in 2018 to $5.2 million in 2019. The amortization of straight-line rents decreased from $11.8 million in 2018 to $10.5 million in 2019. Lease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7" w:name="page48"/>
    <w:bookmarkEnd w:id="47"/>
    <w:p>
      <w:pPr>
        <w:ind w:right="80"/>
        <w:spacing w:after="0" w:line="264" w:lineRule="auto"/>
        <w:rPr>
          <w:sz w:val="20"/>
          <w:szCs w:val="20"/>
          <w:color w:val="auto"/>
        </w:rPr>
      </w:pPr>
      <w:r>
        <w:rPr>
          <w:rFonts w:ascii="Arial" w:cs="Arial" w:eastAsia="Arial" w:hAnsi="Arial"/>
          <w:sz w:val="18"/>
          <w:szCs w:val="18"/>
          <w:color w:val="auto"/>
        </w:rPr>
        <w:t>termination income decreased from $9.9 million in 2018 to $4.6 million in 2019. Leasing revenue also includes a provision for bad debts of $7.7 million in 2019 (See "Other Transactions and Events" in Management's Overview and Summary). The decrease in leasing revenue at the Same Centers is primarily due to the inclusion of the provision for bad debts in 2019 and a decrease in lease termination income.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Companies' revenue decreased from $43.5 million in 2018 to $40.7 million in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58"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Shopping center and operating expenses decreased $5.9 million, or 2.1%, from 2018 to 2019. The decrease in shopping center and operating expenses is attributed to a decrease of $2.0 million from the Same Centers, $1.9 million from the JV Transition Center, $1.2 million from the Disposition Property and $0.8 million from the Redevelopment Properties. The decrease in shopping center and operating expenses at the the Same Centers is primarily due to the exclusion of bad debt expense in 2019 (See "Other Transactions and Events" in Management's Overview and Summary) offset in part by an increase in property tax expense.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Leasing Expenses:</w:t>
      </w:r>
    </w:p>
    <w:p>
      <w:pPr>
        <w:spacing w:after="0" w:line="158"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Leasing expenses increased from $11.6 million in 2018 to $29.6 million in 2019. The increase in leasing expenses is due to the Company's adoption of ASC 842 in 2019 (See "Other Transactions and Events" in Management's Overview and Summary).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44"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Management Companies' operating expenses decreased $25.1 million from 2018 to 2019. The decrease is attributed to a one-time charge of $12.7 million in connection with the Company's reduction in work force in 2018 (See "Other Transactions and Events" in Management's Overview and Summary) and the subsequent reduction in payroll and share and unit-based compensation costs.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REIT general and administrative expenses decreased $1.5 million from 2018 to 2019 due to a reduction in compensation costs.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Related to Shareholder Activism:</w:t>
      </w:r>
    </w:p>
    <w:p>
      <w:pPr>
        <w:spacing w:after="0" w:line="158"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Company incurred $19.4 million in costs related to shareholder activism in 2018 (See "Other Transactions and Events" in Management's Overview and Summary) and none in 2019.</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144"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Depreciation and amortization increased $3.3 million from 2018 to 2019. The increase in depreciation and amortization is primarily attributed to an increase of $5.3 million from the Same Centers offset in part by decreases of $1.3 million from the JV Transition Center and $0.7 million from the Disposition Property.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Interest expense decreased $44.7 million from 2018 to 2019. The decrease in interest expense is primarily attributed to decreases of $62.7 million from the Financing Arrangement (See "Other Transactions and Events" in Management's Overview and Summary) and $1.1 million from the JV Transition Center offset in part by increases of $12.9 million from the Same Centers, $4.4 million from borrowings under the line of credit and $1.8 million from the Redevelopment Properties.</w:t>
      </w:r>
    </w:p>
    <w:p>
      <w:pPr>
        <w:spacing w:after="0" w:line="106" w:lineRule="exact"/>
        <w:rPr>
          <w:sz w:val="20"/>
          <w:szCs w:val="20"/>
          <w:color w:val="auto"/>
        </w:rPr>
      </w:pPr>
    </w:p>
    <w:p>
      <w:pPr>
        <w:ind w:right="480" w:firstLine="446"/>
        <w:spacing w:after="0" w:line="259" w:lineRule="auto"/>
        <w:rPr>
          <w:sz w:val="20"/>
          <w:szCs w:val="20"/>
          <w:color w:val="auto"/>
        </w:rPr>
      </w:pPr>
      <w:r>
        <w:rPr>
          <w:rFonts w:ascii="Arial" w:cs="Arial" w:eastAsia="Arial" w:hAnsi="Arial"/>
          <w:sz w:val="18"/>
          <w:szCs w:val="18"/>
          <w:color w:val="auto"/>
        </w:rPr>
        <w:t>The decrease in interest expense from the Financing Arrangement is primarily due to the change in fair value of the underlying properties and the mortgage notes payable on the underlying properties. The increase in interest expense at the Same Centers is primarily due to the new loans on Fashion Outlets of Chicago, Chandler Fashion Center, SanTan Village Regional Center and Kings Plaza Shopping Center (See "Financing Activities" in Management's Overview and Summary).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interest expense items are net of capitalized interest, which decreased from $15.4 million in 2018 to $9.6 million in 2019.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15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Equity in income of unconsolidated joint ventures decreased $23.3 million from 2018 to 2019. The decrease in equity in income of unconsolidated joint ventures is primarily due to the write-down of intangible assets as a result of lease terminations at the Company's joint venture with Seritage in 2019, the gain on the sale of The Market at Estrella Falls in 2018 (See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8" w:name="page49"/>
    <w:bookmarkEnd w:id="48"/>
    <w:p>
      <w:pPr>
        <w:ind w:right="220"/>
        <w:spacing w:after="0" w:line="264" w:lineRule="auto"/>
        <w:rPr>
          <w:sz w:val="20"/>
          <w:szCs w:val="20"/>
          <w:color w:val="auto"/>
        </w:rPr>
      </w:pPr>
      <w:r>
        <w:rPr>
          <w:rFonts w:ascii="Arial" w:cs="Arial" w:eastAsia="Arial" w:hAnsi="Arial"/>
          <w:sz w:val="18"/>
          <w:szCs w:val="18"/>
          <w:color w:val="auto"/>
        </w:rPr>
        <w:t>"Acquisitions and Dispositions" in Management's Overview and Summary), the gain on the sale of an ownership interest in an office building at Fashion District Philadelphia in 2018 (See "Acquisitions and Dispositions" in Management's Overview and Summary) and interest expense from the loan placed on Broadway Plaza in 2018 (See "Financing Activities" in Management's Overview and Summary).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on Sale or Write Down of Assets, net:</w:t>
      </w:r>
    </w:p>
    <w:p>
      <w:pPr>
        <w:spacing w:after="0" w:line="158"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Loss on sale or write down of assets, net decreased $19.9 million from $31.8 million in 2018 to $11.9 million in 2019. The decrease in loss on sale or write down of assets, net is primarily due to the $54.5 million in impairment losses in 2018 and a $12.0 million decrease in the write down of development costs in 2019 offset in part by the $46.2 million gain on the sale of a 75% ownership interest in One Westside in 2018 (See "Acquisitions and Dispositions" in Management's Overview and Summary) and a $0.6 million decrease in gain on land sales in 2019. The impairment losses were due to the reduction in the estimated holding periods of SouthPark Mall, Promenade at Casa Grande, Southridge Center and two freestanding stores.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144"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Net income increased $33.6 million from 2018 to 2019. The increase in net income is primarily attributed to the decreases of $44.7 million in interest expense and $19.4 million in costs related to shareholder activism offset in part by the decrease of$19.9 million in loss on sale or write down of assets, net, as described above.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Funds From Operations ("FFO"):</w:t>
      </w:r>
    </w:p>
    <w:p>
      <w:pPr>
        <w:spacing w:after="0" w:line="158"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color w:val="auto"/>
        </w:rPr>
        <w:t>Primarily as a result of the factors mentioned above, FFO attributable to common stockholders and unit holders—diluted, excluding financing expense in connection with Chandler Freehold decreased 4.9% from $564.4 million in 2018 to $537.0 million in 2019. For a reconciliation of net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color w:val="auto"/>
        </w:rPr>
        <w:t>Cash provided by operating activities increased $10.8 million from 2018 to 2019. The increase is primarily due to the $19.4 million in costs related to shareholder activism in 2018 (See "Other Transactions and Events" in Management's Overview and Summary) and changes in assets and liabilities and the results as discussed above.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44"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Cash used in investing activities increased by $288.3 million from 2018 to 2019. The increase in cash used in investing activities is primarily attributed to a decrease in distributions from unconsolidated joint ventures of $270.3 million, a decrease in proceeds from the sale of assets of $80.4 million and an increase in contributions to unconsolidated joint ventures of $71.7 million offset in part by an increase in proceeds from notes receivable of $67.8 million and decreases in development, redevelopment, expansion and renovations of properties of $14.3 million and property improvements of $35.0 million.</w:t>
      </w:r>
    </w:p>
    <w:p>
      <w:pPr>
        <w:spacing w:after="0" w:line="87"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decrease in distributions from unconsolidated joint ventures is primarily due to the distribution of the Company's share of proceeds from the loans placed on Broadway Plaza and Fashion District Philadelphia (See "Financing Activities" in Management's Overview and Summary) in 2018 and the sale of an ownership interest in an office building at Fashion District Philadelphia (See "Acquisitions and Dispositions" in Management's Overview and Summary) in 2018, offset in part by the Company's share of loan proceeds from the new loan on Tysons Tower (See "Financing Activities" in Management's Overview and Summary) in 2019. The increase in proceeds from notes receivable is due to the repayment of the note receivable from the Lennar Corporation in 2019 (See Note 18—Related Party Transactions in the Company's Notes to the Consolidated Financial Statements).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Cash used in financing activities decreased $236.2 million from 2018 to 2019. The decrease in cash used in financing activities is primarily due to an increase in proceeds from mortgages, bank and other notes payable of $1.4 billion, offset in part by an increase in payments on mortgages, bank and other notes payable of $1.1 billion, the payment on the Financing Arrangement of $27.9 million in 2019 and an increase in dividends and distributions of $20.9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Comparison of Years Ended December 31, 2018 and 2017</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Leasing revenue decreased by $38.2 million, or 4.1%, from 2017 to 2018. The decrease in rental revenue is attributed to a decrease of $13.5 million from the JV Transition Center, $12.7 million from the Same Centers, $11.9 million from the Disposition Properties and $0.1 million from the Redevelopment Properties.</w:t>
      </w:r>
    </w:p>
    <w:p>
      <w:pPr>
        <w:spacing w:after="0" w:line="114"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amortization of above and below-market leases increased from $1.0 million in 2017 to $1.9 million in 2018 primarily due to the JV Transition Centers. The amortization of straight-line rents increased from $8.6 million in 2017 to $11.8 million in 2018. Lease termination income decreased from $18.1 million in 2017 to $9.9 million in 2018.</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Companies' revenue increased from $43.4 million in 2017 to $43.5 million in 2018.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58"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Shopping center and operating expenses decreased $17.7 million, or 6.0%, from 2017 to 2018. The decrease in shopping center and operating expenses is attributed to decreases of $9.8 million from the Same Centers, $5.5 million from Disposition Properties and $5.0 million from JV Transition Center offset in part by an increase of $2.6 million from Redevelopment Properties. The decrease in shopping center and operating expenses at the the Same Centers is primarily due to a reduction in property tax expense.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Leasing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Leasing expenses decreased from $12.4 million in 2017 to $11.6 million in 2018.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4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Management Companies' operating expenses increased $4.2 million from 2017 to 2018. The increase is attributed to a one-time charge of $12.7 million in 2018 in connection with the Company's reduction in work force (See "Other Transactions and Events" in Management's Overview and Summary) offset in part by the subsequent reduction in payroll and share and unit-based compensation costs.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REIT general and administrative expenses decreased $4.1 million from 2017 to 2018 due to a reduction in compensation costs.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Costs Related to Shareholder Activism:</w:t>
      </w:r>
    </w:p>
    <w:p>
      <w:pPr>
        <w:spacing w:after="0" w:line="158"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Company incurred $19.4 million in costs related to shareholder activism in 2018 (See "Other Transactions and Events" in Management's Overview and Summary).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144"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Depreciation and amortization decreased $8.0 million from 2017 to 2018. The decrease in depreciation and amortization is primarily attributed to decreases of $4.9 million from the JV Transition Center, $4.3 million from the Disposition Properties and $0.3 million from the Redevelopment Properties offset in part by an increase of $1.5 million from the Same Centers.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4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Interest expense increased $11.2 million from 2017 to 2018. The increase in interest expense is primarily attributed to an increase of $10.6 million from the Same Centers, $4.0 million from borrowings under the line of credit, $0.8 million from the Redevelopment Properties, $0.3 million from the Disposition Properties and $0.2 million from the Financing Arrangement (See "Other Transactions and Events" in Management's Overview and Summary) offset in part by a decrease of $4.7 million from the JV Transition Center. The increase in interest expense at the Same Centers is primarily due to the new loans on Green Acres Commons and Freehold Raceway Mall (See "Financing Activities" in Management's Overview and Summary).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interest expense items are net of capitalized interest, which increased from $13.2 million in 2017 to $15.4 million in 2018.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144"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Equity in income of unconsolidated joint ventures decreased $13.8 million from 2017 to 2018. The decrease in equity in income from joint ventures is primarily due to the gain on the sale of an ownership interest in office buildings at Fashion District Philadelphia in 2017 (See "Acquisitions and Dispositions" in Management's Overview and Summary) and interest</w:t>
      </w:r>
    </w:p>
    <w:p>
      <w:pPr>
        <w:sectPr>
          <w:pgSz w:w="11900" w:h="16838" w:orient="portrait"/>
          <w:cols w:equalWidth="0" w:num="1">
            <w:col w:w="11380"/>
          </w:cols>
          <w:pgMar w:left="240" w:top="10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0" w:right="2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expense on the mortgage loan on Broadway Plaza in 2018 (See "Financing Activities" in Management's Overview and Summary).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Gain on Sale or Write Down of Assets, net:</w:t>
      </w:r>
    </w:p>
    <w:p>
      <w:pPr>
        <w:spacing w:after="0" w:line="15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 change in (loss) gain on sale or write down of assets, net was $74.3 million, resulting from a gain of $42.4 million in 2017 and a loss of $31.8 million in 2018. The change in (loss) gain on sale or write down of assets, net is primarily due to the gain of $59.6 million on the sale of Cascade Mall and Northgate Mall in 2017 (See "Acquisitions and Dispositions" in Management's Overview and Summary) and impairment losses of $54.5 million on SouthPark Mall, La Cumbre Plaza, Southridge Center and Promenade at Casa Grande in 2018 offset in part by the gain of $46.2 million on the sale of a 75% ownership interest in One Westside in 2018 (See "Acquisitions and Dispositions" in Management's Overview and Summary) and impairment losses of $22.1 million on Southridge Center and Promenade at Casa Grande in 2017. The impairment losses were due to the reduction in the estimated holding periods of the properties.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144"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Net income decreased $92.7 million from 2017 to 2018. The decrease in net income is primarily attributed to the change in (loss) gain on sale or write down of assets, net of $74.3 million, as discussed above.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Funds From Operations ("FFO"):</w:t>
      </w:r>
    </w:p>
    <w:p>
      <w:pPr>
        <w:spacing w:after="0" w:line="158"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Primarily as a result of the factors mentioned above, FFO attributable to common stockholders and unit holders—diluted, excluding financing expense in connection with Chandler Freehold decreased 3.2% from $582.9 million in 2017 to $564.4 million 2018. For a reconciliation of net income attributable to the Company, the most directly comparable GAAP financial measure, to FFO attributable to common stockholders and unit holders and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Cash provided by operating activities decreased $42.1 million from 2017 to 2018. The decrease is primarily due to the $19.4 million in costs related to shareholder activism in 2018 (See "Other Transactions and Events" in Management's Overview and Summary), changes in assets and liabilities and the results as discussed above.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44"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Cash provided by investing activities decreased $2.7 million from 2017 to 2018. The decrease in cash provided by investing activities is primarily attributed to a decrease in cash proceeds from the sale of assets of $169.4 million, an increase in contributions to unconsolidated joint ventures of $63.7 million, an increase in development, redevelopment, expansion and renovation of properties costs of $20.7 million and an increase in property improvements of $14.3 million offset in part by an increase in distributions from unconsolidated joint ventures of $268.7 million.</w:t>
      </w:r>
    </w:p>
    <w:p>
      <w:pPr>
        <w:spacing w:after="0" w:line="104" w:lineRule="exact"/>
        <w:rPr>
          <w:sz w:val="20"/>
          <w:szCs w:val="20"/>
          <w:color w:val="auto"/>
        </w:rPr>
      </w:pPr>
    </w:p>
    <w:p>
      <w:pPr>
        <w:ind w:right="520" w:firstLine="446"/>
        <w:spacing w:after="0" w:line="273" w:lineRule="auto"/>
        <w:rPr>
          <w:sz w:val="20"/>
          <w:szCs w:val="20"/>
          <w:color w:val="auto"/>
        </w:rPr>
      </w:pPr>
      <w:r>
        <w:rPr>
          <w:rFonts w:ascii="Arial" w:cs="Arial" w:eastAsia="Arial" w:hAnsi="Arial"/>
          <w:sz w:val="17"/>
          <w:szCs w:val="17"/>
          <w:color w:val="auto"/>
        </w:rPr>
        <w:t>The decrease in cash proceeds from the sale of assets is attributed to the sales of Cascade Mall and Northgate Mall in 2017 offset in part by the proceeds from the sale of Promenade at Casa Grande and an ownership interest in Westside Pavilion in 2018 (See "Acquisitions and Dispositions" in Management's Overview and Summary). The increase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The Market at Estrella Falls and the sale of an ownership interest in an office building at Fashion District Philadelphia (See "Acquisitions and Dispositions" in Management's Overview and Summary) in 2018.</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Cash used in financing activities decreased $51.8 million from 2017 to 2018. The decrease in cash used in financing activities is primarily due to a decrease in payments on mortgages, bank and other notes payable of $749.9 million, the repurchases of the Company's common stock of $221.4 million in 2017 (See "Other Transactions and Events" in Management's Overview and Summary) and a decrease in distributions to co-venture partner of $103.8 million (See "Other Transactions and Events" in Management's Overview and Summary) offset in part by a decrease in proceeds from mortgages, bank and other notes payable of $1.0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Company anticipates meeting its liquidity needs for its operating expenses and debt service and dividend requirements for the next twelve months through cash generated from operations, working capital reserves and/or borrowings under its unsecured line of credit.</w:t>
      </w:r>
    </w:p>
    <w:p>
      <w:pPr>
        <w:spacing w:after="0" w:line="103"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following tables summarize capital expenditures and lease acquisition costs incurred at the Centers (at the Company's pro rata share)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Centers: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34,763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53,350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38,153</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 and renovation of Centers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152,095</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18,860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11,484</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26,526</w:t>
            </w:r>
          </w:p>
        </w:tc>
      </w:tr>
      <w:tr>
        <w:trPr>
          <w:trHeight w:val="237"/>
        </w:trPr>
        <w:tc>
          <w:tcPr>
            <w:tcW w:w="676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169,089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256,668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228,258</w:t>
            </w: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Joint Venture Centers (at Company's pro rata share):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12,321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16,069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 and renovation of Centers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210,574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121,787</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6,779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6,154</w:t>
            </w:r>
          </w:p>
        </w:tc>
      </w:tr>
      <w:tr>
        <w:trPr>
          <w:trHeight w:val="237"/>
        </w:trPr>
        <w:tc>
          <w:tcPr>
            <w:tcW w:w="676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235,620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181,218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150,789</w:t>
            </w: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The Company expects amounts to be incurred during the next twelve months for tenant allowances and deferred leasing charges to be comparable to 2019 and that capital for those expenditures will be available from working capital, cash flow from operations, borrowings on property specific debt or unsecured corporate borrowings. Although the amounts to be incurred for deferred leasing charges during the next twelve months are expected to be comparable to 2019, the Company began expensing a significant portion of its leasing costs in 2019 in accordance with its adoption of ASC 842 (See "Other Transactions and Events" in Management's Overview and Summary). The Company expects to incur between $250 million and $300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111"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The Company has also generated liquidity in the past, and may continue to do so in the future, through equity offerings and issuances, property refinancings, joint venture transactions and the sale of non-core assets. For example, the Company has generated liquidity through the sales of ownership interests in One Westside and an office building at Fashion District Philadelphia (See "Acquisitions and Dispositions" in Management's Overview and Summary), the sales of The Market at Estrella Falls and Promenade at Casa Grande, and the financing of Fashion Outlets of Chicago, Fashion District Philadelphia, Broadway Plaza, SanTan Village Regional Center, Chandler Fashion Center and Tysons Tower (See "Financing Activities" in Management's Overview and Summary). The Company used the proceeds from these transactions to pay down its line of credit and for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11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040" w:right="339" w:bottom="1440" w:gutter="0" w:footer="0" w:header="0"/>
        </w:sectPr>
      </w:pPr>
    </w:p>
    <w:bookmarkStart w:id="52" w:name="page53"/>
    <w:bookmarkEnd w:id="52"/>
    <w:p>
      <w:pPr>
        <w:ind w:right="60" w:firstLine="446"/>
        <w:spacing w:after="0" w:line="257" w:lineRule="auto"/>
        <w:rPr>
          <w:sz w:val="20"/>
          <w:szCs w:val="20"/>
          <w:color w:val="auto"/>
        </w:rPr>
      </w:pPr>
      <w:r>
        <w:rPr>
          <w:rFonts w:ascii="Arial" w:cs="Arial" w:eastAsia="Arial" w:hAnsi="Arial"/>
          <w:sz w:val="18"/>
          <w:szCs w:val="18"/>
          <w:color w:val="auto"/>
        </w:rPr>
        <w:t>The Company's total outstanding loan indebtedness, which includes mortgages and other notes payable, at December 31, 2019 was $8.1 billion (consisting of $5.2 billion of consolidated debt, less $359.1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107"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2" w:lineRule="exact"/>
        <w:rPr>
          <w:sz w:val="20"/>
          <w:szCs w:val="20"/>
          <w:color w:val="auto"/>
        </w:rPr>
      </w:pPr>
    </w:p>
    <w:p>
      <w:pPr>
        <w:ind w:right="320" w:firstLine="446"/>
        <w:spacing w:after="0" w:line="285" w:lineRule="auto"/>
        <w:rPr>
          <w:sz w:val="20"/>
          <w:szCs w:val="20"/>
          <w:color w:val="auto"/>
        </w:rPr>
      </w:pPr>
      <w:r>
        <w:rPr>
          <w:rFonts w:ascii="Arial" w:cs="Arial" w:eastAsia="Arial" w:hAnsi="Arial"/>
          <w:sz w:val="16"/>
          <w:szCs w:val="16"/>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December 31, 2019, the borrowing rate on the facility was LIBOR plus 1.55%. The Company has four interest rate swap agreements that effectively convert a total of $400.0 million of the outstanding balance from floating rate debt of LIBOR plus 1.55% to fixed rate debt of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4.30% until September 30, 2021. At December 31, 2019, total borrowings under the line of credit were $820.0 million less unamortized deferred finance costs of $2.6 million with a total interest rate of 3.92%. The Company's availability under the line of credit was $679.7 million at December 31, 2019.</w:t>
      </w:r>
    </w:p>
    <w:p>
      <w:pPr>
        <w:spacing w:after="0" w:line="94" w:lineRule="exact"/>
        <w:rPr>
          <w:sz w:val="20"/>
          <w:szCs w:val="20"/>
          <w:color w:val="auto"/>
        </w:rPr>
      </w:pPr>
    </w:p>
    <w:p>
      <w:pPr>
        <w:ind w:right="400" w:firstLine="446"/>
        <w:spacing w:after="0" w:line="264" w:lineRule="auto"/>
        <w:rPr>
          <w:sz w:val="20"/>
          <w:szCs w:val="20"/>
          <w:color w:val="auto"/>
        </w:rPr>
      </w:pPr>
      <w:r>
        <w:rPr>
          <w:rFonts w:ascii="Arial" w:cs="Arial" w:eastAsia="Arial" w:hAnsi="Arial"/>
          <w:sz w:val="18"/>
          <w:szCs w:val="18"/>
          <w:color w:val="auto"/>
        </w:rPr>
        <w:t>Cash dividends and distributions for the twelve months ended December 31, 2019 were $474.5 million. A total of $355.2 million was funded by operations. The remaining $119.4 million was funded from distributions from unconsolidated joint ventures, which were included in the cash flows from investing activities section of the Company's Consolidated Statement of Cash Flows.</w:t>
      </w:r>
    </w:p>
    <w:p>
      <w:pPr>
        <w:spacing w:after="0" w:line="100" w:lineRule="exact"/>
        <w:rPr>
          <w:sz w:val="20"/>
          <w:szCs w:val="20"/>
          <w:color w:val="auto"/>
        </w:rPr>
      </w:pPr>
    </w:p>
    <w:p>
      <w:pPr>
        <w:ind w:left="420" w:right="2820" w:firstLine="41"/>
        <w:spacing w:after="0" w:line="417" w:lineRule="auto"/>
        <w:rPr>
          <w:sz w:val="20"/>
          <w:szCs w:val="20"/>
          <w:color w:val="auto"/>
        </w:rPr>
      </w:pPr>
      <w:r>
        <w:rPr>
          <w:rFonts w:ascii="Arial" w:cs="Arial" w:eastAsia="Arial" w:hAnsi="Arial"/>
          <w:sz w:val="18"/>
          <w:szCs w:val="18"/>
          <w:color w:val="auto"/>
        </w:rPr>
        <w:t xml:space="preserve">At December 31, 2019, the Company was in compliance with all applicable loan covenants under its agreements. At December 31, 2019, the Company had cash and cash equivalents of $100.0 million. </w:t>
      </w:r>
      <w:r>
        <w:rPr>
          <w:rFonts w:ascii="Arial" w:cs="Arial" w:eastAsia="Arial" w:hAnsi="Arial"/>
          <w:sz w:val="18"/>
          <w:szCs w:val="18"/>
          <w:i w:val="1"/>
          <w:iCs w:val="1"/>
          <w:color w:val="auto"/>
        </w:rPr>
        <w:t>Off-Balance Sheet Arrangements:</w:t>
      </w:r>
    </w:p>
    <w:p>
      <w:pPr>
        <w:spacing w:after="0" w:line="2" w:lineRule="exact"/>
        <w:rPr>
          <w:sz w:val="20"/>
          <w:szCs w:val="20"/>
          <w:color w:val="auto"/>
        </w:rPr>
      </w:pPr>
    </w:p>
    <w:p>
      <w:pPr>
        <w:jc w:val="both"/>
        <w:ind w:right="40" w:firstLine="446"/>
        <w:spacing w:after="0" w:line="342" w:lineRule="auto"/>
        <w:rPr>
          <w:sz w:val="20"/>
          <w:szCs w:val="20"/>
          <w:color w:val="auto"/>
        </w:rPr>
      </w:pPr>
      <w:r>
        <w:rPr>
          <w:rFonts w:ascii="Arial" w:cs="Arial" w:eastAsia="Arial" w:hAnsi="Arial"/>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56"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As of December 31, 2019, one of the Company's joint ventures has $150.5 million of debt that could become recourse to the Company, should the joint venture be unable to discharge the obligation of the related debt.</w:t>
      </w:r>
    </w:p>
    <w:p>
      <w:pPr>
        <w:spacing w:after="0" w:line="103" w:lineRule="exact"/>
        <w:rPr>
          <w:sz w:val="20"/>
          <w:szCs w:val="20"/>
          <w:color w:val="auto"/>
        </w:rPr>
      </w:pPr>
    </w:p>
    <w:p>
      <w:pPr>
        <w:jc w:val="both"/>
        <w:ind w:right="400" w:firstLine="446"/>
        <w:spacing w:after="0" w:line="342" w:lineRule="auto"/>
        <w:rPr>
          <w:sz w:val="20"/>
          <w:szCs w:val="20"/>
          <w:color w:val="auto"/>
        </w:rPr>
      </w:pPr>
      <w:r>
        <w:rPr>
          <w:rFonts w:ascii="Arial" w:cs="Arial" w:eastAsia="Arial" w:hAnsi="Arial"/>
          <w:sz w:val="16"/>
          <w:szCs w:val="16"/>
          <w:color w:val="auto"/>
        </w:rPr>
        <w:t>Additionally, as of December 31, 2019, the Company was contingently liable for $40.8 million in letters of credit guaranteeing performance by the Company of certain obligations relating to the Centers. The Company does not believe that these letters of credit will result in a liability to the Company.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i w:val="1"/>
          <w:iCs w:val="1"/>
          <w:color w:val="auto"/>
        </w:rPr>
        <w:t>Contractual Obligations:</w:t>
      </w:r>
    </w:p>
    <w:p>
      <w:pPr>
        <w:spacing w:after="0" w:line="144"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The following is a schedule of contractual obligations as of December 31, 2019 for the consolidated Centers over the periods in which they are expected to be paid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Payment Due by Period</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3"/>
                <w:szCs w:val="13"/>
                <w:color w:val="auto"/>
              </w:rPr>
            </w:pPr>
          </w:p>
        </w:tc>
        <w:tc>
          <w:tcPr>
            <w:tcW w:w="13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28"/>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obligations (includes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interest payments)(1)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6,266,635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494,795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2,218,344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609,305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2,944,191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Lease obligations(2)</w:t>
            </w:r>
          </w:p>
        </w:tc>
        <w:tc>
          <w:tcPr>
            <w:tcW w:w="3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217,455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19,255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46,730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20,123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obligations(3)</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223,410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159,917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17,199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13,744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32,550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6,711,694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678,161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2,282,273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643,172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3,108,088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820" w:hanging="407"/>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December 31, 2019.</w:t>
      </w:r>
    </w:p>
    <w:p>
      <w:pPr>
        <w:spacing w:after="0" w:line="5" w:lineRule="exact"/>
        <w:rPr>
          <w:rFonts w:ascii="Arial" w:cs="Arial" w:eastAsia="Arial" w:hAnsi="Arial"/>
          <w:sz w:val="16"/>
          <w:szCs w:val="16"/>
          <w:color w:val="auto"/>
        </w:rPr>
      </w:pPr>
    </w:p>
    <w:p>
      <w:pPr>
        <w:ind w:left="820" w:hanging="407"/>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Note 8—</w:t>
      </w:r>
      <w:r>
        <w:rPr>
          <w:rFonts w:ascii="Arial" w:cs="Arial" w:eastAsia="Arial" w:hAnsi="Arial"/>
          <w:sz w:val="18"/>
          <w:szCs w:val="18"/>
          <w:color w:val="auto"/>
        </w:rPr>
        <w:t>Leases</w:t>
      </w:r>
      <w:r>
        <w:rPr>
          <w:rFonts w:ascii="Arial" w:cs="Arial" w:eastAsia="Arial" w:hAnsi="Arial"/>
          <w:sz w:val="16"/>
          <w:szCs w:val="16"/>
          <w:color w:val="auto"/>
        </w:rPr>
        <w:t xml:space="preserve"> in the Company's Notes to the Consolidated Financial Statements.</w:t>
      </w:r>
    </w:p>
    <w:p>
      <w:pPr>
        <w:spacing w:after="0" w:line="7" w:lineRule="exact"/>
        <w:rPr>
          <w:rFonts w:ascii="Arial" w:cs="Arial" w:eastAsia="Arial" w:hAnsi="Arial"/>
          <w:sz w:val="16"/>
          <w:szCs w:val="16"/>
          <w:color w:val="auto"/>
        </w:rPr>
      </w:pPr>
    </w:p>
    <w:p>
      <w:pPr>
        <w:ind w:left="820" w:hanging="407"/>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Note 17—Commitments and Contingencies in the Company's Notes to the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14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6"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Beginning during the first quarter of 2018, the Company revised its definition of FFO so that FFO excluded the impact of the financing expense in connection with Chandler Freehold. Beginning in 2019, the Company now presents a separate non-GAAP measure - FFO excluding financing expense in connection with Chandler Freehold. The Company has revised the FFO presentation for the years ended December 31, 2018, 2017, 2016 and 2015 to conform to the current presentation.</w:t>
      </w:r>
    </w:p>
    <w:p>
      <w:pPr>
        <w:spacing w:after="0" w:line="119"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Only the noted expenses related to the changes in fair value and for the payments to the joint venture partner less than or in excess of their pro rata share of net income are excluded from the measure - FFO excluding financing expense in connection with Chandler Freehold.</w:t>
      </w:r>
    </w:p>
    <w:p>
      <w:pPr>
        <w:spacing w:after="0" w:line="91"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The Company also presents FFO excluding financing expense in connection with Chandler Freehold, gain or loss on extinguishment of debt, net and costs related to shareholder activism and unsolicited takeover offer.</w:t>
      </w:r>
    </w:p>
    <w:p>
      <w:pPr>
        <w:spacing w:after="0" w:line="103"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non-routine costs associated with extinguishment of debt and costs related to shareholder activism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1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Funds From Operations ("FFO") (Continued)</w:t>
      </w:r>
    </w:p>
    <w:p>
      <w:pPr>
        <w:spacing w:after="0" w:line="148" w:lineRule="exact"/>
        <w:rPr>
          <w:sz w:val="20"/>
          <w:szCs w:val="20"/>
          <w:color w:val="auto"/>
        </w:rPr>
      </w:pPr>
    </w:p>
    <w:p>
      <w:pPr>
        <w:ind w:right="160" w:firstLine="446"/>
        <w:spacing w:after="0" w:line="293" w:lineRule="auto"/>
        <w:rPr>
          <w:sz w:val="20"/>
          <w:szCs w:val="20"/>
          <w:color w:val="auto"/>
        </w:rPr>
      </w:pPr>
      <w:r>
        <w:rPr>
          <w:rFonts w:ascii="Arial" w:cs="Arial" w:eastAsia="Arial" w:hAnsi="Arial"/>
          <w:sz w:val="16"/>
          <w:szCs w:val="16"/>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 The following reconciles net income attributable to the Company to FFO and FFO-basic and diluted, excluding financing expense in connection with Chandler Freehold, loss (gain) on extinguishment of debt, net and costs related to shareholder activism and unsolicited takeover offer for the years ended December 31, 2019, 2018, 2017, 2016 and 2015 (dollars and shares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96,820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146,130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516,995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487,562</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Arial" w:cs="Arial" w:eastAsia="Arial" w:hAnsi="Arial"/>
                <w:sz w:val="16"/>
                <w:szCs w:val="16"/>
                <w:color w:val="auto"/>
                <w:w w:val="95"/>
              </w:rPr>
              <w:t>Adjustments to reconcile net income attributable to the Company to FFO</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20"/>
              <w:spacing w:after="0"/>
              <w:rPr>
                <w:sz w:val="20"/>
                <w:szCs w:val="20"/>
                <w:color w:val="auto"/>
              </w:rPr>
            </w:pPr>
            <w:r>
              <w:rPr>
                <w:rFonts w:ascii="Arial" w:cs="Arial" w:eastAsia="Arial" w:hAnsi="Arial"/>
                <w:sz w:val="16"/>
                <w:szCs w:val="16"/>
                <w:color w:val="auto"/>
                <w:w w:val="94"/>
              </w:rPr>
              <w:t>attributable to common stockholders and unit holders—basic and diluted:</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interests in the Operating Partnership</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37,780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32,615</w:t>
            </w: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rPr>
              <w:t>Loss (gain) on sale or write down of consolidated assets, net</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11,909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31,825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(415,348)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(400,337)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 gain on undepreciated assets—consolidated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w w:val="93"/>
              </w:rPr>
              <w:t>Less: loss on write-down of non-real estate assets—consolidated assets</w:t>
            </w: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Add: noncontrolling interests share of (loss) gain on sale or write-down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of assets—consolidated assets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20"/>
        </w:trPr>
        <w:tc>
          <w:tcPr>
            <w:tcW w:w="4920" w:type="dxa"/>
            <w:vAlign w:val="bottom"/>
          </w:tcPr>
          <w:p>
            <w:pPr>
              <w:ind w:left="120"/>
              <w:spacing w:after="0"/>
              <w:rPr>
                <w:sz w:val="20"/>
                <w:szCs w:val="20"/>
                <w:color w:val="auto"/>
              </w:rPr>
            </w:pPr>
            <w:r>
              <w:rPr>
                <w:rFonts w:ascii="Arial" w:cs="Arial" w:eastAsia="Arial" w:hAnsi="Arial"/>
                <w:sz w:val="16"/>
                <w:szCs w:val="16"/>
                <w:color w:val="auto"/>
              </w:rPr>
              <w:t>Loss (gain) on sale or write down of assets—unconsolidated joint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120"/>
              <w:spacing w:after="0"/>
              <w:rPr>
                <w:sz w:val="20"/>
                <w:szCs w:val="20"/>
                <w:color w:val="auto"/>
              </w:rPr>
            </w:pPr>
            <w:r>
              <w:rPr>
                <w:rFonts w:ascii="Arial" w:cs="Arial" w:eastAsia="Arial" w:hAnsi="Arial"/>
                <w:sz w:val="16"/>
                <w:szCs w:val="16"/>
                <w:color w:val="auto"/>
              </w:rPr>
              <w:t>ventures(1)</w:t>
            </w: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Add: gain (loss) on sale of undepreciated assets—unconsolidated joint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ventures(1)</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rPr>
              <w:t>Depreciation and amortization on consolidated assets</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330,726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327,436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335,431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348,488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464,472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noncontrolling interests in 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 assets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(14,962)</w:t>
            </w: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rPr>
              <w:t>Depreciation and amortization—unconsolidated joint ventures(1)</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189,728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174,952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177,274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179,600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84,160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Less: depreciation on personal property</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(13,052)</w:t>
            </w: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rPr>
                <w:sz w:val="20"/>
                <w:szCs w:val="20"/>
                <w:color w:val="auto"/>
              </w:rPr>
            </w:pPr>
            <w:r>
              <w:rPr>
                <w:rFonts w:ascii="Arial" w:cs="Arial" w:eastAsia="Arial" w:hAnsi="Arial"/>
                <w:sz w:val="16"/>
                <w:szCs w:val="16"/>
                <w:color w:val="auto"/>
                <w:w w:val="98"/>
              </w:rPr>
              <w:t>FFO attributable to common stockholders and unit holders—basic and</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606,662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573,285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582,878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642,304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642,268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Financing expense in connection with Chandler Freehold</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rPr>
                <w:sz w:val="20"/>
                <w:szCs w:val="20"/>
                <w:color w:val="auto"/>
              </w:rPr>
            </w:pPr>
            <w:r>
              <w:rPr>
                <w:rFonts w:ascii="Arial" w:cs="Arial" w:eastAsia="Arial" w:hAnsi="Arial"/>
                <w:sz w:val="16"/>
                <w:szCs w:val="16"/>
                <w:color w:val="auto"/>
                <w:w w:val="99"/>
              </w:rPr>
              <w:t>FFO attributable to common stockholders and unit holders, excluding</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Arial" w:cs="Arial" w:eastAsia="Arial" w:hAnsi="Arial"/>
                <w:sz w:val="16"/>
                <w:szCs w:val="16"/>
                <w:color w:val="auto"/>
              </w:rPr>
              <w:t>financing expense in connection with Chandler Freehold—basic and</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536,961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564,436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582,878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642,304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642,268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(gain) on extinguishment of debt, net—consolidated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rPr>
              <w:t>Costs related to shareholder activism</w:t>
            </w: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Costs related to unsolicited takeover offer</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25,204</w:t>
            </w: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rPr>
                <w:sz w:val="20"/>
                <w:szCs w:val="20"/>
                <w:color w:val="auto"/>
              </w:rPr>
            </w:pPr>
            <w:r>
              <w:rPr>
                <w:rFonts w:ascii="Arial" w:cs="Arial" w:eastAsia="Arial" w:hAnsi="Arial"/>
                <w:sz w:val="16"/>
                <w:szCs w:val="16"/>
                <w:color w:val="auto"/>
              </w:rPr>
              <w:t>FFO attributable to common stockholders and unit holders excluding</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Arial" w:cs="Arial" w:eastAsia="Arial" w:hAnsi="Arial"/>
                <w:sz w:val="16"/>
                <w:szCs w:val="16"/>
                <w:color w:val="auto"/>
                <w:w w:val="94"/>
              </w:rPr>
              <w:t>financing expense in connection with Chandler Freehold, extinguishment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Arial" w:cs="Arial" w:eastAsia="Arial" w:hAnsi="Arial"/>
                <w:sz w:val="16"/>
                <w:szCs w:val="16"/>
                <w:color w:val="auto"/>
              </w:rPr>
              <w:t>of debt, net and costs related to shareholder activism and unsolicited</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537,312</w:t>
            </w:r>
          </w:p>
        </w:tc>
        <w:tc>
          <w:tcPr>
            <w:tcW w:w="120" w:type="dxa"/>
            <w:vAlign w:val="bottom"/>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583,805</w:t>
            </w:r>
          </w:p>
        </w:tc>
        <w:tc>
          <w:tcPr>
            <w:tcW w:w="100" w:type="dxa"/>
            <w:vAlign w:val="bottom"/>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582,878</w:t>
            </w:r>
          </w:p>
        </w:tc>
        <w:tc>
          <w:tcPr>
            <w:tcW w:w="120" w:type="dxa"/>
            <w:vAlign w:val="bottom"/>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640,595</w:t>
            </w:r>
          </w:p>
        </w:tc>
        <w:tc>
          <w:tcPr>
            <w:tcW w:w="100" w:type="dxa"/>
            <w:vAlign w:val="bottom"/>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665,985</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6"/>
                <w:szCs w:val="16"/>
                <w:color w:val="auto"/>
              </w:rPr>
              <w:t>takeover offer—diluted</w:t>
            </w: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FFO shares outstanding for:</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FFO attributable to common stockholders and unit holders—basic(2)</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151,755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151,502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152,293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157,320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168,478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 the impact of dilutive securities in computing FFO—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140"/>
              <w:spacing w:after="0"/>
              <w:rPr>
                <w:sz w:val="20"/>
                <w:szCs w:val="20"/>
                <w:color w:val="auto"/>
              </w:rPr>
            </w:pPr>
            <w:r>
              <w:rPr>
                <w:rFonts w:ascii="Arial" w:cs="Arial" w:eastAsia="Arial" w:hAnsi="Arial"/>
                <w:sz w:val="16"/>
                <w:szCs w:val="16"/>
                <w:color w:val="auto"/>
              </w:rPr>
              <w:t>Share and unit-based compensation plans</w:t>
            </w: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FFO attributable to common stockholders and unit holders—diluted(3)</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151,755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151,504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152,329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157,432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168,622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40" w:right="299" w:bottom="1440" w:gutter="0" w:footer="0" w:header="0"/>
        </w:sectPr>
      </w:pPr>
    </w:p>
    <w:bookmarkStart w:id="55" w:name="page56"/>
    <w:bookmarkEnd w:id="55"/>
    <w:p>
      <w:pPr>
        <w:ind w:left="820" w:hanging="407"/>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Unconsolidated assets are presented at the Company's pro rata share.</w:t>
      </w:r>
    </w:p>
    <w:p>
      <w:pPr>
        <w:spacing w:after="0" w:line="140" w:lineRule="exact"/>
        <w:rPr>
          <w:rFonts w:ascii="Arial" w:cs="Arial" w:eastAsia="Arial" w:hAnsi="Arial"/>
          <w:sz w:val="16"/>
          <w:szCs w:val="16"/>
          <w:color w:val="auto"/>
        </w:rPr>
      </w:pPr>
    </w:p>
    <w:p>
      <w:pPr>
        <w:ind w:left="820" w:right="80" w:hanging="407"/>
        <w:spacing w:after="0" w:line="275"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During the years ended December 31, 2019, 2018, 2017, 2016 and 2015, there were 10.4 million, 10.4 million, 10.4 million, 10.7 million and 10.6 million OP Units outstanding, respectively.</w:t>
      </w:r>
    </w:p>
    <w:p>
      <w:pPr>
        <w:spacing w:after="0" w:line="105" w:lineRule="exact"/>
        <w:rPr>
          <w:rFonts w:ascii="Arial" w:cs="Arial" w:eastAsia="Arial" w:hAnsi="Arial"/>
          <w:sz w:val="16"/>
          <w:szCs w:val="16"/>
          <w:color w:val="auto"/>
        </w:rPr>
      </w:pPr>
    </w:p>
    <w:p>
      <w:pPr>
        <w:ind w:left="820" w:right="240" w:hanging="407"/>
        <w:spacing w:after="0" w:line="261"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60" w:firstLine="8"/>
        <w:spacing w:after="0" w:line="25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2"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The following table sets forth information as of December 31, 2019 concerning the Company's long term debt obligations, including principal cash flows by scheduled maturity, weighted average interest rates and estimated fair value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Expected Maturity Date</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9"/>
          </w:tcPr>
          <w:p>
            <w:pPr>
              <w:jc w:val="right"/>
              <w:ind w:right="328"/>
              <w:spacing w:after="0"/>
              <w:rPr>
                <w:sz w:val="20"/>
                <w:szCs w:val="20"/>
                <w:color w:val="auto"/>
              </w:rPr>
            </w:pPr>
            <w:r>
              <w:rPr>
                <w:rFonts w:ascii="Arial" w:cs="Arial" w:eastAsia="Arial" w:hAnsi="Arial"/>
                <w:sz w:val="14"/>
                <w:szCs w:val="14"/>
                <w:b w:val="1"/>
                <w:bCs w:val="1"/>
                <w:color w:val="auto"/>
              </w:rPr>
              <w:t>For the years ending December 31,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Thereafter</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CENTERS: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60" w:type="dxa"/>
            <w:vAlign w:val="bottom"/>
          </w:tcPr>
          <w:p>
            <w:pPr>
              <w:ind w:left="20"/>
              <w:spacing w:after="0"/>
              <w:rPr>
                <w:sz w:val="20"/>
                <w:szCs w:val="20"/>
                <w:color w:val="auto"/>
              </w:rPr>
            </w:pPr>
            <w:r>
              <w:rPr>
                <w:rFonts w:ascii="Arial" w:cs="Arial" w:eastAsia="Arial" w:hAnsi="Arial"/>
                <w:sz w:val="14"/>
                <w:szCs w:val="14"/>
                <w:color w:val="auto"/>
              </w:rPr>
              <w:t>Long term debt:</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374,340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6,895</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4,377,868</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4,406,734</w:t>
            </w:r>
          </w:p>
        </w:tc>
        <w:tc>
          <w:tcPr>
            <w:tcW w:w="0" w:type="dxa"/>
            <w:vAlign w:val="bottom"/>
          </w:tcPr>
          <w:p>
            <w:pPr>
              <w:spacing w:after="0"/>
              <w:rPr>
                <w:sz w:val="1"/>
                <w:szCs w:val="1"/>
                <w:color w:val="auto"/>
              </w:rPr>
            </w:pPr>
          </w:p>
        </w:tc>
      </w:tr>
      <w:tr>
        <w:trPr>
          <w:trHeight w:val="197"/>
        </w:trPr>
        <w:tc>
          <w:tcPr>
            <w:tcW w:w="2360" w:type="dxa"/>
            <w:vAlign w:val="bottom"/>
          </w:tcPr>
          <w:p>
            <w:pPr>
              <w:ind w:left="120"/>
              <w:spacing w:after="0"/>
              <w:rPr>
                <w:sz w:val="20"/>
                <w:szCs w:val="20"/>
                <w:color w:val="auto"/>
              </w:rPr>
            </w:pPr>
            <w:r>
              <w:rPr>
                <w:rFonts w:ascii="Arial" w:cs="Arial" w:eastAsia="Arial" w:hAnsi="Arial"/>
                <w:sz w:val="14"/>
                <w:szCs w:val="14"/>
                <w:color w:val="auto"/>
              </w:rPr>
              <w:t>Average interest rate</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Floating rate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847,336</w:t>
            </w:r>
          </w:p>
        </w:tc>
        <w:tc>
          <w:tcPr>
            <w:tcW w:w="0" w:type="dxa"/>
            <w:vAlign w:val="bottom"/>
          </w:tcPr>
          <w:p>
            <w:pPr>
              <w:spacing w:after="0"/>
              <w:rPr>
                <w:sz w:val="1"/>
                <w:szCs w:val="1"/>
                <w:color w:val="auto"/>
              </w:rPr>
            </w:pPr>
          </w:p>
        </w:tc>
      </w:tr>
      <w:tr>
        <w:trPr>
          <w:trHeight w:val="197"/>
        </w:trPr>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Average interest rate</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debt—Consolidated Centers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325,133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1,238,239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674,340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6,895</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378,120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2,605,141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5,227,868</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5,254,070</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b w:val="1"/>
                <w:bCs w:val="1"/>
                <w:color w:val="auto"/>
              </w:rPr>
              <w:t>UNCONSOLIDATED JOINT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3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360" w:type="dxa"/>
            <w:vAlign w:val="bottom"/>
          </w:tcPr>
          <w:p>
            <w:pPr>
              <w:ind w:left="180"/>
              <w:spacing w:after="0"/>
              <w:rPr>
                <w:sz w:val="20"/>
                <w:szCs w:val="20"/>
                <w:color w:val="auto"/>
              </w:rPr>
            </w:pPr>
            <w:r>
              <w:rPr>
                <w:rFonts w:ascii="Arial" w:cs="Arial" w:eastAsia="Arial" w:hAnsi="Arial"/>
                <w:sz w:val="14"/>
                <w:szCs w:val="14"/>
                <w:b w:val="1"/>
                <w:bCs w:val="1"/>
                <w:color w:val="auto"/>
              </w:rPr>
              <w:t>VENTURE CENTERS: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3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6"/>
              </w:rPr>
              <w:t>Long term debt (at Company's pro rata</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60" w:type="dxa"/>
            <w:vAlign w:val="bottom"/>
          </w:tcPr>
          <w:p>
            <w:pPr>
              <w:ind w:left="12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39,837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150,599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365,530</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360,617</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366,738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1,756,583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3,039,904</w:t>
            </w:r>
          </w:p>
        </w:tc>
        <w:tc>
          <w:tcPr>
            <w:tcW w:w="4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3,062,251</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60" w:type="dxa"/>
            <w:vAlign w:val="bottom"/>
          </w:tcPr>
          <w:p>
            <w:pPr>
              <w:ind w:left="120"/>
              <w:spacing w:after="0"/>
              <w:rPr>
                <w:sz w:val="20"/>
                <w:szCs w:val="20"/>
                <w:color w:val="auto"/>
              </w:rPr>
            </w:pPr>
            <w:r>
              <w:rPr>
                <w:rFonts w:ascii="Arial" w:cs="Arial" w:eastAsia="Arial" w:hAnsi="Arial"/>
                <w:sz w:val="14"/>
                <w:szCs w:val="14"/>
                <w:color w:val="auto"/>
              </w:rPr>
              <w:t>Floating rate</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36,183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159,900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196,083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196,257</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360" w:type="dxa"/>
            <w:vAlign w:val="bottom"/>
          </w:tcPr>
          <w:p>
            <w:pPr>
              <w:ind w:left="20"/>
              <w:spacing w:after="0" w:line="115" w:lineRule="exact"/>
              <w:rPr>
                <w:sz w:val="20"/>
                <w:szCs w:val="20"/>
                <w:color w:val="auto"/>
              </w:rPr>
            </w:pPr>
            <w:r>
              <w:rPr>
                <w:rFonts w:ascii="Arial" w:cs="Arial" w:eastAsia="Arial" w:hAnsi="Arial"/>
                <w:sz w:val="13"/>
                <w:szCs w:val="13"/>
                <w:color w:val="auto"/>
              </w:rPr>
              <w:t>Total debt—Unconsolidated Joint</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39,837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186,782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365,530</w:t>
            </w:r>
          </w:p>
        </w:tc>
        <w:tc>
          <w:tcPr>
            <w:tcW w:w="4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520,517</w:t>
            </w:r>
          </w:p>
        </w:tc>
        <w:tc>
          <w:tcPr>
            <w:tcW w:w="4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366,738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1,756,583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3,235,987</w:t>
            </w:r>
          </w:p>
        </w:tc>
        <w:tc>
          <w:tcPr>
            <w:tcW w:w="4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3,258,508</w:t>
            </w:r>
          </w:p>
        </w:tc>
        <w:tc>
          <w:tcPr>
            <w:tcW w:w="0" w:type="dxa"/>
            <w:vAlign w:val="bottom"/>
          </w:tcPr>
          <w:p>
            <w:pPr>
              <w:spacing w:after="0"/>
              <w:rPr>
                <w:sz w:val="1"/>
                <w:szCs w:val="1"/>
                <w:color w:val="auto"/>
              </w:rPr>
            </w:pPr>
          </w:p>
        </w:tc>
      </w:tr>
      <w:tr>
        <w:trPr>
          <w:trHeight w:val="162"/>
        </w:trPr>
        <w:tc>
          <w:tcPr>
            <w:tcW w:w="2360" w:type="dxa"/>
            <w:vAlign w:val="bottom"/>
          </w:tcPr>
          <w:p>
            <w:pPr>
              <w:ind w:left="100"/>
              <w:spacing w:after="0"/>
              <w:rPr>
                <w:sz w:val="20"/>
                <w:szCs w:val="20"/>
                <w:color w:val="auto"/>
              </w:rPr>
            </w:pPr>
            <w:r>
              <w:rPr>
                <w:rFonts w:ascii="Arial" w:cs="Arial" w:eastAsia="Arial" w:hAnsi="Arial"/>
                <w:sz w:val="14"/>
                <w:szCs w:val="14"/>
                <w:color w:val="auto"/>
              </w:rPr>
              <w:t>Venture Centers</w:t>
            </w:r>
          </w:p>
        </w:tc>
        <w:tc>
          <w:tcPr>
            <w:tcW w:w="2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9" w:lineRule="exact"/>
        <w:rPr>
          <w:sz w:val="20"/>
          <w:szCs w:val="20"/>
          <w:color w:val="auto"/>
        </w:rPr>
      </w:pPr>
    </w:p>
    <w:p>
      <w:pPr>
        <w:jc w:val="both"/>
        <w:ind w:left="820" w:hanging="407"/>
        <w:spacing w:after="0" w:line="286" w:lineRule="auto"/>
        <w:tabs>
          <w:tab w:leader="none" w:pos="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Fixed rate debt includes $400 million of floating rate bank and other notes payable. The Company has four interest rate swap agreements that effectively convert a total of $400 million of the outstanding balance from floating rate debt of LIBOR plus 1.55% to fixed rate debt of 4.30% until September 30, 2021 (See Note 5— Derivative Instruments and Hedging Activities in the Company's Notes to the Consolidated Financial Statements ).</w:t>
      </w:r>
    </w:p>
    <w:p>
      <w:pPr>
        <w:spacing w:after="0" w:line="8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Consolidated Centers' total fixed rate debt at December 31, 2019 and 2018 was $4.4 billion and $3.9 billion, respectively. The average interest rate on such fixed rate debt at December 31, 2019 and 2018 was 3.99% and 3.87%, respectively. The Consolidated Centers' total floating rate debt at December 31, 2019 and 2018 was $0.9 billion and $1.1 billion. The average interest rate on such floating rate debt at December 31, 2019 and 2018 was 3.36% and 3.94%, respectively.</w:t>
      </w:r>
    </w:p>
    <w:p>
      <w:pPr>
        <w:spacing w:after="0" w:line="119" w:lineRule="exact"/>
        <w:rPr>
          <w:sz w:val="20"/>
          <w:szCs w:val="20"/>
          <w:color w:val="auto"/>
        </w:rPr>
      </w:pPr>
    </w:p>
    <w:p>
      <w:pPr>
        <w:ind w:right="220" w:firstLine="446"/>
        <w:spacing w:after="0" w:line="279" w:lineRule="auto"/>
        <w:rPr>
          <w:sz w:val="20"/>
          <w:szCs w:val="20"/>
          <w:color w:val="auto"/>
        </w:rPr>
      </w:pPr>
      <w:r>
        <w:rPr>
          <w:rFonts w:ascii="Arial" w:cs="Arial" w:eastAsia="Arial" w:hAnsi="Arial"/>
          <w:sz w:val="17"/>
          <w:szCs w:val="17"/>
          <w:color w:val="auto"/>
        </w:rPr>
        <w:t>The Company's pro rata share of the Unconsolidated Joint Venture Centers' fixed rate debt at December 31, 2019 and 2018 was $3.0 billion. The average interest rate on such fixed rate debt at December 31, 2019 and 2018 was 3.81% and 3.83%, respectively. The Company's pro rata share of the Unconsolidated Joint Venture Centers' floating rate debt at December 31, 2019 and 2018 was $196.1 million and $221.4 million, respectively. The average interest rate on such floating rate debt at December 31, 2019 and 2018 was 3.69% and 4.13%,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48" w:right="299" w:bottom="1440" w:gutter="0" w:footer="0" w:header="0"/>
        </w:sectPr>
      </w:pPr>
    </w:p>
    <w:bookmarkStart w:id="56" w:name="page57"/>
    <w:bookmarkEnd w:id="56"/>
    <w:p>
      <w:pPr>
        <w:ind w:right="20" w:firstLine="446"/>
        <w:spacing w:after="0" w:line="276" w:lineRule="auto"/>
        <w:rPr>
          <w:sz w:val="20"/>
          <w:szCs w:val="20"/>
          <w:color w:val="auto"/>
        </w:rPr>
      </w:pPr>
      <w:r>
        <w:rPr>
          <w:rFonts w:ascii="Arial" w:cs="Arial" w:eastAsia="Arial" w:hAnsi="Arial"/>
          <w:sz w:val="17"/>
          <w:szCs w:val="17"/>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December 31, 2019, the Company has one interest rate cap agreement and four interest rate swap agreements in place (See Note 5—Derivative Instruments and Hedging Activities in the Company's Notes to the Consolidated Financial Statements).</w:t>
      </w:r>
    </w:p>
    <w:p>
      <w:pPr>
        <w:spacing w:after="0" w:line="91" w:lineRule="exact"/>
        <w:rPr>
          <w:sz w:val="20"/>
          <w:szCs w:val="20"/>
          <w:color w:val="auto"/>
        </w:rPr>
      </w:pPr>
    </w:p>
    <w:p>
      <w:pPr>
        <w:ind w:right="220" w:firstLine="446"/>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$10.5 million per year based on $1.0 billion of floating rate debt outstanding at December 31, 2019.</w:t>
      </w:r>
    </w:p>
    <w:p>
      <w:pPr>
        <w:spacing w:after="0" w:line="56"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04" w:lineRule="exact"/>
        <w:rPr>
          <w:sz w:val="20"/>
          <w:szCs w:val="20"/>
          <w:color w:val="auto"/>
        </w:rPr>
      </w:pPr>
    </w:p>
    <w:p>
      <w:pPr>
        <w:ind w:right="80" w:firstLine="446"/>
        <w:spacing w:after="0" w:line="297" w:lineRule="auto"/>
        <w:rPr>
          <w:sz w:val="20"/>
          <w:szCs w:val="20"/>
          <w:color w:val="auto"/>
        </w:rPr>
      </w:pPr>
      <w:r>
        <w:rPr>
          <w:rFonts w:ascii="Arial" w:cs="Arial" w:eastAsia="Arial" w:hAnsi="Arial"/>
          <w:sz w:val="16"/>
          <w:szCs w:val="16"/>
          <w:color w:val="auto"/>
        </w:rPr>
        <w:t>In the event that LIBOR is discontinued,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 The Company understands that LIBOR is expected to remain available through the end of 2021, but may be discontinued or otherwise become unavailable thereafter.</w:t>
      </w:r>
    </w:p>
    <w:p>
      <w:pPr>
        <w:spacing w:after="0" w:line="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the Financial Statements and Financial Statement Schedules for the required information appearing in Item 15.</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Conclusion Regarding Effectiveness of Disclosure Controls and Procedures</w:t>
      </w:r>
    </w:p>
    <w:p>
      <w:pPr>
        <w:spacing w:after="0" w:line="144"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2019,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5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2019. In making this assessment, the Company's management used the criteria set forth by the Committee of Sponsoring Organizations of the Treadway Commission in Internal Control—Integrated Framework (2013). The Company's management concluded that, as of December 31, 2019, its internal control over financial reporting was effective based on this assessment.</w:t>
      </w:r>
    </w:p>
    <w:p>
      <w:pPr>
        <w:spacing w:after="0" w:line="107" w:lineRule="exact"/>
        <w:rPr>
          <w:sz w:val="20"/>
          <w:szCs w:val="20"/>
          <w:color w:val="auto"/>
        </w:rPr>
      </w:pPr>
    </w:p>
    <w:p>
      <w:pPr>
        <w:ind w:right="420" w:firstLine="446"/>
        <w:spacing w:after="0" w:line="308" w:lineRule="auto"/>
        <w:rPr>
          <w:sz w:val="20"/>
          <w:szCs w:val="20"/>
          <w:color w:val="auto"/>
        </w:rPr>
      </w:pPr>
      <w:r>
        <w:rPr>
          <w:rFonts w:ascii="Arial" w:cs="Arial" w:eastAsia="Arial" w:hAnsi="Arial"/>
          <w:sz w:val="17"/>
          <w:szCs w:val="17"/>
          <w:color w:val="auto"/>
        </w:rPr>
        <w:t>KPMG LLP, the independent registered public accounting firm that audited the Company's 2019 consolidated financial statements included in this Annual Report on Form 10-K, has issued a report on the Company's internal control over financial reporting which follows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2019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044" w:right="5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44" w:lineRule="exact"/>
        <w:rPr>
          <w:sz w:val="20"/>
          <w:szCs w:val="20"/>
          <w:color w:val="auto"/>
        </w:rPr>
      </w:pPr>
    </w:p>
    <w:p>
      <w:pPr>
        <w:ind w:right="220" w:firstLine="446"/>
        <w:spacing w:after="0" w:line="257" w:lineRule="auto"/>
        <w:rPr>
          <w:sz w:val="20"/>
          <w:szCs w:val="20"/>
          <w:color w:val="auto"/>
        </w:rPr>
      </w:pPr>
      <w:r>
        <w:rPr>
          <w:rFonts w:ascii="Arial" w:cs="Arial" w:eastAsia="Arial" w:hAnsi="Arial"/>
          <w:sz w:val="18"/>
          <w:szCs w:val="18"/>
          <w:color w:val="auto"/>
        </w:rPr>
        <w:t>We have audited The Macerich Company’s and subsidiaries’ (the Company) internal control over financial reporting as of December 31, 2019,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2019, based on criteria established in Internal Control – Integrated Framework (2013) issued by the Committee of Sponsoring Organizations of the Treadway Commission.</w:t>
      </w:r>
    </w:p>
    <w:p>
      <w:pPr>
        <w:spacing w:after="0" w:line="12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equity, and cash flows for each of the years in the three-year period ended December 31, 2019, and the related notes and financial statement Schedule III – Real Estate and Accumulated Depreciation (collectively, the consolidated financial statements), and our report dated February 25, 2020 expressed an unqualified opinion on those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44"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59" w:name="page60"/>
    <w:bookmarkEnd w:id="59"/>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AND EXECUTIVE OFFICERS AND CORPORATE GOVERNANCE</w:t>
      </w:r>
    </w:p>
    <w:p>
      <w:pPr>
        <w:spacing w:after="0" w:line="148"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There is hereby incorporated by reference the information which appears under the captions "Information Regarding our Director Nominees," "Executive Officers," "Delinquent Section 16(a) Reports" and "Audit Committee Matters" in the Company's definitive proxy statement for its 2020 Annual Meeting of Stockholders that is responsive to the information required by this Item.</w:t>
      </w:r>
    </w:p>
    <w:p>
      <w:pPr>
        <w:spacing w:after="0" w:line="114" w:lineRule="exact"/>
        <w:rPr>
          <w:sz w:val="20"/>
          <w:szCs w:val="20"/>
          <w:color w:val="auto"/>
        </w:rPr>
      </w:pPr>
    </w:p>
    <w:p>
      <w:pPr>
        <w:ind w:right="160" w:firstLine="446"/>
        <w:spacing w:after="0" w:line="253" w:lineRule="auto"/>
        <w:rPr>
          <w:sz w:val="20"/>
          <w:szCs w:val="20"/>
          <w:color w:val="auto"/>
        </w:rPr>
      </w:pPr>
      <w:r>
        <w:rPr>
          <w:rFonts w:ascii="Arial" w:cs="Arial" w:eastAsia="Arial" w:hAnsi="Arial"/>
          <w:sz w:val="18"/>
          <w:szCs w:val="18"/>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Arial" w:cs="Arial" w:eastAsia="Arial" w:hAnsi="Arial"/>
          <w:sz w:val="18"/>
          <w:szCs w:val="18"/>
          <w:i w:val="1"/>
          <w:iCs w:val="1"/>
          <w:color w:val="auto"/>
        </w:rPr>
        <w:t>www.macerich.com</w:t>
      </w:r>
      <w:r>
        <w:rPr>
          <w:rFonts w:ascii="Arial" w:cs="Arial" w:eastAsia="Arial" w:hAnsi="Arial"/>
          <w:sz w:val="18"/>
          <w:szCs w:val="18"/>
          <w:color w:val="auto"/>
        </w:rPr>
        <w:t xml:space="preserve"> under "Investors—Corporate Governance—Code of Ethics." Each of these Codes of Conduct is available on the Company’s website at </w:t>
      </w:r>
      <w:r>
        <w:rPr>
          <w:rFonts w:ascii="Arial" w:cs="Arial" w:eastAsia="Arial" w:hAnsi="Arial"/>
          <w:sz w:val="18"/>
          <w:szCs w:val="18"/>
          <w:i w:val="1"/>
          <w:iCs w:val="1"/>
          <w:color w:val="auto"/>
        </w:rPr>
        <w:t>www.macerich.com</w:t>
      </w:r>
      <w:r>
        <w:rPr>
          <w:rFonts w:ascii="Arial" w:cs="Arial" w:eastAsia="Arial" w:hAnsi="Arial"/>
          <w:sz w:val="18"/>
          <w:szCs w:val="18"/>
          <w:color w:val="auto"/>
        </w:rPr>
        <w:t xml:space="preserve"> under "Investors—Corporate Governance."</w:t>
      </w:r>
    </w:p>
    <w:p>
      <w:pPr>
        <w:spacing w:after="0" w:line="127"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During 2019, there were no material changes to the procedures described in the Company's proxy statement relating to the 2019 Annual Meeting of Stockholders by which stockholders may recommend director nominees to the Company.</w:t>
      </w:r>
    </w:p>
    <w:p>
      <w:pPr>
        <w:spacing w:after="0" w:line="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6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There is hereby incorporated by reference the information which appears under the captions "Compensation of Non-Employee Directors," "Compensation Committee Report," "Compensation Discussion and Analysis," "Executive Compensation" and "Compensation Committee Interlocks and Insider Participation" in the Company's definitive proxy statement for its 2020 Annual Meeting of Stockholders that is responsive to the information required by this Item.</w:t>
      </w:r>
    </w:p>
    <w:p>
      <w:pPr>
        <w:spacing w:after="0" w:line="11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jc w:val="both"/>
        <w:ind w:right="300" w:firstLine="446"/>
        <w:spacing w:after="0" w:line="264" w:lineRule="auto"/>
        <w:rPr>
          <w:sz w:val="20"/>
          <w:szCs w:val="20"/>
          <w:color w:val="auto"/>
        </w:rPr>
      </w:pPr>
      <w:r>
        <w:rPr>
          <w:rFonts w:ascii="Arial" w:cs="Arial" w:eastAsia="Arial" w:hAnsi="Arial"/>
          <w:sz w:val="18"/>
          <w:szCs w:val="18"/>
          <w:color w:val="auto"/>
        </w:rPr>
        <w:t>There is hereby incorporated by reference the information which appears under the captions "Principal Stockholders," "Information Regarding Our Director Nominees," "Executive Officers" and "Equity Compensation Plan Information" in the Company's definitive proxy statement for its 2020 Annual Meeting of Stockholders that is responsive to the information required by this Item.</w:t>
      </w:r>
    </w:p>
    <w:p>
      <w:pPr>
        <w:spacing w:after="0" w:line="11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62"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There is hereby incorporated by reference the information which appears under the captions "Certain Transactions" and "The Board of Directors and its Committees" in the Company's definitive proxy statement for its 2020 Annual Meeting of Stockholders that is responsive to the information required by this Item.</w:t>
      </w:r>
    </w:p>
    <w:p>
      <w:pPr>
        <w:spacing w:after="0" w:line="9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62" w:lineRule="exact"/>
        <w:rPr>
          <w:sz w:val="20"/>
          <w:szCs w:val="20"/>
          <w:color w:val="auto"/>
        </w:rPr>
      </w:pPr>
    </w:p>
    <w:p>
      <w:pPr>
        <w:ind w:right="400" w:firstLine="446"/>
        <w:spacing w:after="0" w:line="264" w:lineRule="auto"/>
        <w:rPr>
          <w:sz w:val="20"/>
          <w:szCs w:val="20"/>
          <w:color w:val="auto"/>
        </w:rPr>
      </w:pPr>
      <w:r>
        <w:rPr>
          <w:rFonts w:ascii="Arial" w:cs="Arial" w:eastAsia="Arial" w:hAnsi="Arial"/>
          <w:sz w:val="18"/>
          <w:szCs w:val="18"/>
          <w:color w:val="auto"/>
        </w:rPr>
        <w:t>There is hereby incorporated by reference the information which appears under the captions "Principal Accountant Fees and Services" and "Audit Committee Pre-Approval Policy" in the Company's definitive proxy statement for its 2020 Annual Meeting of Stockholders that is responsive to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40" w:right="299" w:bottom="1440" w:gutter="0" w:footer="0" w:header="0"/>
        </w:sectPr>
      </w:pPr>
    </w:p>
    <w:bookmarkStart w:id="60" w:name="page61"/>
    <w:bookmarkEnd w:id="60"/>
    <w:p>
      <w:pPr>
        <w:ind w:left="53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r>
      <w:tr>
        <w:trPr>
          <w:trHeight w:val="243"/>
        </w:trPr>
        <w:tc>
          <w:tcPr>
            <w:tcW w:w="1180" w:type="dxa"/>
            <w:vAlign w:val="bottom"/>
          </w:tcPr>
          <w:p>
            <w:pPr>
              <w:spacing w:after="0"/>
              <w:rPr>
                <w:sz w:val="20"/>
                <w:szCs w:val="20"/>
                <w:color w:val="auto"/>
              </w:rPr>
            </w:pPr>
            <w:r>
              <w:rPr>
                <w:rFonts w:ascii="Arial" w:cs="Arial" w:eastAsia="Arial" w:hAnsi="Arial"/>
                <w:sz w:val="18"/>
                <w:szCs w:val="18"/>
                <w:b w:val="1"/>
                <w:bCs w:val="1"/>
                <w:color w:val="auto"/>
              </w:rPr>
              <w:t>(a) and (c)</w:t>
            </w: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c>
          <w:tcPr>
            <w:tcW w:w="856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20" w:type="dxa"/>
            <w:vAlign w:val="bottom"/>
            <w:gridSpan w:val="4"/>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Report of Independent Registered Public Accounting Firm</w:t>
              </w:r>
            </w:hyperlink>
          </w:p>
        </w:tc>
        <w:tc>
          <w:tcPr>
            <w:tcW w:w="4340" w:type="dxa"/>
            <w:vAlign w:val="bottom"/>
            <w:gridSpan w:val="5"/>
          </w:tcPr>
          <w:p>
            <w:pPr>
              <w:spacing w:after="0"/>
              <w:rPr>
                <w:sz w:val="22"/>
                <w:szCs w:val="22"/>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60" w:type="dxa"/>
            <w:vAlign w:val="bottom"/>
            <w:gridSpan w:val="9"/>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balance sheets as of December 31, 2019 and 2018</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780" w:type="dxa"/>
            <w:vAlign w:val="bottom"/>
            <w:gridSpan w:val="7"/>
          </w:tcPr>
          <w:p>
            <w:pPr>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Consolidated statements of operations for the years ended December 31, 2019, 2018 and 2017</w:t>
              </w:r>
            </w:hyperlink>
          </w:p>
        </w:tc>
        <w:tc>
          <w:tcPr>
            <w:tcW w:w="1780" w:type="dxa"/>
            <w:vAlign w:val="bottom"/>
            <w:gridSpan w:val="2"/>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700" w:type="dxa"/>
            <w:vAlign w:val="bottom"/>
            <w:gridSpan w:val="8"/>
          </w:tcPr>
          <w:p>
            <w:pP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Consolidated statements of comprehensive income for the years ended December 31, 2019, 2018 and 2017</w:t>
              </w:r>
            </w:hyperlink>
          </w:p>
        </w:tc>
        <w:tc>
          <w:tcPr>
            <w:tcW w:w="860" w:type="dxa"/>
            <w:vAlign w:val="bottom"/>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80" w:type="dxa"/>
            <w:vAlign w:val="bottom"/>
            <w:gridSpan w:val="6"/>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Consolidated statements of equity for the years ended December 31, 2019, 2018 and 2017</w:t>
              </w:r>
            </w:hyperlink>
          </w:p>
        </w:tc>
        <w:tc>
          <w:tcPr>
            <w:tcW w:w="12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780" w:type="dxa"/>
            <w:vAlign w:val="bottom"/>
            <w:gridSpan w:val="7"/>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Consolidated statements of cash flows for the years ended December 31, 2019, 2018 and 2017</w:t>
              </w:r>
            </w:hyperlink>
          </w:p>
        </w:tc>
        <w:tc>
          <w:tcPr>
            <w:tcW w:w="1780" w:type="dxa"/>
            <w:vAlign w:val="bottom"/>
            <w:gridSpan w:val="2"/>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r>
      <w:tr>
        <w:trPr>
          <w:trHeight w:val="20"/>
        </w:trPr>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40" w:type="dxa"/>
            <w:vAlign w:val="bottom"/>
            <w:gridSpan w:val="2"/>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Notes to consolidated financial statements</w:t>
              </w:r>
            </w:hyperlink>
          </w:p>
        </w:tc>
        <w:tc>
          <w:tcPr>
            <w:tcW w:w="3740" w:type="dxa"/>
            <w:vAlign w:val="bottom"/>
            <w:gridSpan w:val="5"/>
          </w:tcPr>
          <w:p>
            <w:pPr>
              <w:spacing w:after="0"/>
              <w:rPr>
                <w:sz w:val="21"/>
                <w:szCs w:val="21"/>
                <w:color w:val="auto"/>
              </w:rPr>
            </w:pPr>
          </w:p>
        </w:tc>
        <w:tc>
          <w:tcPr>
            <w:tcW w:w="1780" w:type="dxa"/>
            <w:vAlign w:val="bottom"/>
            <w:gridSpan w:val="2"/>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r>
      <w:tr>
        <w:trPr>
          <w:trHeight w:val="264"/>
        </w:trPr>
        <w:tc>
          <w:tcPr>
            <w:tcW w:w="1180" w:type="dxa"/>
            <w:vAlign w:val="bottom"/>
          </w:tcPr>
          <w:p>
            <w:pPr>
              <w:spacing w:after="0"/>
              <w:rPr>
                <w:sz w:val="22"/>
                <w:szCs w:val="22"/>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30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Financial Statement Schedule</w:t>
            </w:r>
          </w:p>
        </w:tc>
        <w:tc>
          <w:tcPr>
            <w:tcW w:w="5520" w:type="dxa"/>
            <w:vAlign w:val="bottom"/>
            <w:gridSpan w:val="7"/>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Schedule III—Real estate and accumulated depreciation</w:t>
              </w:r>
            </w:hyperlink>
          </w:p>
        </w:tc>
        <w:tc>
          <w:tcPr>
            <w:tcW w:w="4520" w:type="dxa"/>
            <w:vAlign w:val="bottom"/>
            <w:gridSpan w:val="6"/>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104</w:t>
              </w:r>
            </w:hyperlink>
          </w:p>
        </w:tc>
        <w:tc>
          <w:tcPr>
            <w:tcW w:w="20" w:type="dxa"/>
            <w:vAlign w:val="bottom"/>
          </w:tcPr>
          <w:p>
            <w:pPr>
              <w:spacing w:after="0"/>
              <w:rPr>
                <w:sz w:val="22"/>
                <w:szCs w:val="22"/>
                <w:color w:val="auto"/>
              </w:rPr>
            </w:pPr>
          </w:p>
        </w:tc>
      </w:tr>
      <w:tr>
        <w:trPr>
          <w:trHeight w:val="520"/>
        </w:trPr>
        <w:tc>
          <w:tcPr>
            <w:tcW w:w="1180" w:type="dxa"/>
            <w:vAlign w:val="bottom"/>
          </w:tcPr>
          <w:p>
            <w:pPr>
              <w:spacing w:after="0"/>
              <w:rPr>
                <w:sz w:val="20"/>
                <w:szCs w:val="20"/>
                <w:color w:val="auto"/>
              </w:rPr>
            </w:pPr>
            <w:r>
              <w:rPr>
                <w:rFonts w:ascii="Arial" w:cs="Arial" w:eastAsia="Arial" w:hAnsi="Arial"/>
                <w:sz w:val="18"/>
                <w:szCs w:val="18"/>
                <w:b w:val="1"/>
                <w:bCs w:val="1"/>
                <w:color w:val="auto"/>
              </w:rPr>
              <w:t>(b)</w:t>
            </w:r>
          </w:p>
        </w:tc>
        <w:tc>
          <w:tcPr>
            <w:tcW w:w="640" w:type="dxa"/>
            <w:vAlign w:val="bottom"/>
          </w:tcPr>
          <w:p>
            <w:pPr>
              <w:spacing w:after="0"/>
              <w:rPr>
                <w:sz w:val="24"/>
                <w:szCs w:val="24"/>
                <w:color w:val="auto"/>
              </w:rPr>
            </w:pPr>
          </w:p>
        </w:tc>
        <w:tc>
          <w:tcPr>
            <w:tcW w:w="1060" w:type="dxa"/>
            <w:vAlign w:val="bottom"/>
            <w:tcBorders>
              <w:bottom w:val="single" w:sz="8" w:color="0000FF"/>
            </w:tcBorders>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Exhibits Index</w:t>
              </w:r>
            </w:hyperlink>
          </w:p>
        </w:tc>
        <w:tc>
          <w:tcPr>
            <w:tcW w:w="75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107</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80"/>
          </w:cols>
          <w:pgMar w:left="240" w:top="1040" w:right="4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44" w:lineRule="exact"/>
        <w:rPr>
          <w:sz w:val="20"/>
          <w:szCs w:val="20"/>
          <w:color w:val="auto"/>
        </w:rPr>
      </w:pPr>
    </w:p>
    <w:p>
      <w:pPr>
        <w:ind w:right="180" w:firstLine="446"/>
        <w:spacing w:after="0" w:line="273" w:lineRule="auto"/>
        <w:rPr>
          <w:sz w:val="20"/>
          <w:szCs w:val="20"/>
          <w:color w:val="auto"/>
        </w:rPr>
      </w:pPr>
      <w:r>
        <w:rPr>
          <w:rFonts w:ascii="Arial" w:cs="Arial" w:eastAsia="Arial" w:hAnsi="Arial"/>
          <w:sz w:val="17"/>
          <w:szCs w:val="17"/>
          <w:color w:val="auto"/>
        </w:rPr>
        <w:t>We have audited the accompanying consolidated balance sheets of The Macerich Company and subsidiaries (the Company) as of December 31, 2019 and 2018, the related consolidated statements of operations, comprehensive income, equity, and cash flows for each of the years in the three-year period ended December 31, 2019, and the related notes and financial statement Schedule III – Real Estate and Accumulated Depreciation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111"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and our report dated February 25, 2020 expressed an unqualified opinion on the effectiveness of the Company's internal controls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44"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as of January 1, 2019 due to the adoption of FASB Accounting Standards Codification Topic 842 (ASC 842), Leases.</w:t>
      </w:r>
    </w:p>
    <w:p>
      <w:pPr>
        <w:spacing w:after="0" w:line="103" w:lineRule="exact"/>
        <w:rPr>
          <w:sz w:val="20"/>
          <w:szCs w:val="20"/>
          <w:color w:val="auto"/>
        </w:rPr>
      </w:pPr>
    </w:p>
    <w:p>
      <w:pPr>
        <w:ind w:right="40" w:firstLine="446"/>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has changed its method of accounting for certain historical property sales as of January 1, 2018 due to the adoption of FASB Accounting Standards Update 2014-09, Revenue from Contracts With Customers (ASC 606).</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4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incremental borrowing rates used to measure operating lease liabilities</w:t>
      </w:r>
    </w:p>
    <w:p>
      <w:pPr>
        <w:spacing w:after="0" w:line="158" w:lineRule="exact"/>
        <w:rPr>
          <w:sz w:val="20"/>
          <w:szCs w:val="20"/>
          <w:color w:val="auto"/>
        </w:rPr>
      </w:pPr>
    </w:p>
    <w:p>
      <w:pPr>
        <w:ind w:left="740"/>
        <w:spacing w:after="0" w:line="312" w:lineRule="auto"/>
        <w:rPr>
          <w:sz w:val="20"/>
          <w:szCs w:val="20"/>
          <w:color w:val="auto"/>
        </w:rPr>
      </w:pPr>
      <w:r>
        <w:rPr>
          <w:rFonts w:ascii="Arial" w:cs="Arial" w:eastAsia="Arial" w:hAnsi="Arial"/>
          <w:sz w:val="16"/>
          <w:szCs w:val="16"/>
          <w:color w:val="auto"/>
        </w:rPr>
        <w:t>As discussed in Notes 2 and 8 to the consolidated financial statements, the Company’s operating lease liabilities, upon adoption of ASC 842 on January 1, 2019, were $109 million. To measure the operating lease liability, the Company determines an incremental borrowing rate (IBR) for each operating lease and uses that IBR to discount the future cash flows for the lease to determine the amount of the operating lease liability.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62" w:name="page63"/>
    <w:bookmarkEnd w:id="62"/>
    <w:p>
      <w:pPr>
        <w:jc w:val="both"/>
        <w:ind w:right="180"/>
        <w:spacing w:after="0" w:line="279" w:lineRule="auto"/>
        <w:rPr>
          <w:sz w:val="20"/>
          <w:szCs w:val="20"/>
          <w:color w:val="auto"/>
        </w:rPr>
      </w:pPr>
      <w:r>
        <w:rPr>
          <w:rFonts w:ascii="Arial" w:cs="Arial" w:eastAsia="Arial" w:hAnsi="Arial"/>
          <w:sz w:val="17"/>
          <w:szCs w:val="17"/>
          <w:color w:val="auto"/>
        </w:rPr>
        <w:t>We identified the evaluation of the IBRs used to measure operating lease liabilities, for the Company’s 14 ground leases, as a critical audit matter. The matter required subjective auditor judgment and specialized skills and knowledge to evaluate the appropriateness of the IBR for each ground lease. The rates were internally developed by the Company using observable market rates, which were adjusted for Company specific factors and the measurement of the liability was sensitive to changes in these rates.</w:t>
      </w:r>
    </w:p>
    <w:p>
      <w:pPr>
        <w:spacing w:after="0" w:line="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process to measure the operating lease liability, including controls over the development of the IBR for each ground lease. We involved valuation professionals with specialized skills and knowledge who assisted in the evaluation of the Company’s IBR for each ground lease by:</w:t>
      </w:r>
    </w:p>
    <w:p>
      <w:pPr>
        <w:spacing w:after="0" w:line="79" w:lineRule="exact"/>
        <w:rPr>
          <w:sz w:val="20"/>
          <w:szCs w:val="20"/>
          <w:color w:val="auto"/>
        </w:rPr>
      </w:pPr>
    </w:p>
    <w:p>
      <w:pPr>
        <w:ind w:left="560" w:right="60" w:hanging="567"/>
        <w:spacing w:after="0" w:line="264" w:lineRule="auto"/>
        <w:rPr>
          <w:sz w:val="20"/>
          <w:szCs w:val="20"/>
          <w:color w:val="auto"/>
        </w:rPr>
      </w:pPr>
      <w:r>
        <w:rPr>
          <w:rFonts w:ascii="Arial" w:cs="Arial" w:eastAsia="Arial" w:hAnsi="Arial"/>
          <w:sz w:val="18"/>
          <w:szCs w:val="18"/>
          <w:color w:val="auto"/>
        </w:rPr>
        <w:t>–developing independent estimates of IBR by obtaining market rates of the Company’s long-term borrowings and rates of similar companies and making adjustments for differences between the terms of the leases, the maturities, and level of collateral for the observable long-term borrowings, and</w:t>
      </w:r>
    </w:p>
    <w:p>
      <w:pPr>
        <w:spacing w:after="0" w:line="113" w:lineRule="exact"/>
        <w:rPr>
          <w:sz w:val="20"/>
          <w:szCs w:val="20"/>
          <w:color w:val="auto"/>
        </w:rPr>
      </w:pPr>
    </w:p>
    <w:p>
      <w:pPr>
        <w:ind w:left="560" w:right="460" w:hanging="567"/>
        <w:spacing w:after="0" w:line="277" w:lineRule="auto"/>
        <w:rPr>
          <w:sz w:val="20"/>
          <w:szCs w:val="20"/>
          <w:color w:val="auto"/>
        </w:rPr>
      </w:pPr>
      <w:r>
        <w:rPr>
          <w:rFonts w:ascii="Arial" w:cs="Arial" w:eastAsia="Arial" w:hAnsi="Arial"/>
          <w:sz w:val="18"/>
          <w:szCs w:val="18"/>
          <w:color w:val="auto"/>
        </w:rPr>
        <w:t>–comparing the Company’s IBR for each ground lease used in the calculation of the Company’s operating lease liability to the rates we independently developed.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fair value of the Chandler Freehold financing arrangement obligation</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in Notes 2 and 12 to the consolidated financial statements, the Company reports the Chandler Freehold consolidated joint venture as a financing arrangement with the related deferred gain recorded as a liability at fair value. The fair value of the financing arrangement obligation is determined primarily on the fair value of the underlying shopping centers, Chandler Fashion Center and Freehold Raceway Mall, owned by the Chandler Freehold consolidated joint venture. The fair value of the shopping centers is estimated using a discounted cash flow model. Subsequent changes in fair value of the financing arrangement obligation are recorded through earnings as interest expense. The financing arrangement obligation as of December 31, 2019 was $274 million, or 5% of total liabilities. The adjustment to fair value of the financing arrangement obligation was $77 million, or 79% of net income.</w:t>
      </w:r>
    </w:p>
    <w:p>
      <w:pPr>
        <w:spacing w:after="0" w:line="122"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We identified the evaluation of the fair value of the Chandler Freehold financing arrangement obligation as a critical audit matter. A high degree of subjectivity was required in evaluating the discounted cash flow model used to fair value the shopping centers. Specifically, the model is sensitive to reasonably possible changes to key assumptions, which have a significant effect on the determination of fair value of the financing arrangement obligation. The key assumptions include market rental rates, discount rates, and terminal capitalization rates.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fair value determination process for the financing arrangement obligation and specifically the development of the key assumptions. We performed sensitivity analyses on the key assumptions, considering data obtained from industry publications, to assess the impact on the Company’s determination of the fair value of the financing arrangement obligation. We involved a valuation professional with specialized skills and knowledge who assisted in evaluating the Company’s key assumptions used in the discounted cash flow model. The valuation professionals independently developed a range of the market rental rates, discount rates, and terminal capitalization rates using publicly available market data for comparable properties and geographic regions in which Chandler Fashion Center and Freehold Raceway Mall are located and compared the rates to those used by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property impairment indicators</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discussed in Notes 2 and 6 to the consolidated financial statements, the Company assesses whether an indicator of impairment in the carrying value of its properties exists by considering property operating performance, holding periods, capitalization rates, and other market factors. Property, net as of December 31, 2019 was $6,644 million, or 75% of total assets.</w:t>
      </w:r>
    </w:p>
    <w:p>
      <w:pPr>
        <w:spacing w:after="0" w:line="10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identified the evaluation of property impairment indicators for properties as a critical audit matter. Evaluating the Company’s judgments of changes in market conditions that could have an adverse impact on property operating performance, holding periods, and capitalization rates involved a high degree of subjective auditor judgment due to the limited amount of observable market data available for the Company’s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60"/>
          </w:cols>
          <w:pgMar w:left="980" w:top="1044" w:right="259" w:bottom="1440" w:gutter="0" w:footer="0" w:header="0"/>
        </w:sectPr>
      </w:pPr>
    </w:p>
    <w:bookmarkStart w:id="63" w:name="page64"/>
    <w:bookmarkEnd w:id="63"/>
    <w:p>
      <w:pPr>
        <w:ind w:left="740"/>
        <w:spacing w:after="0" w:line="272"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property impairment process, including controls over the potential impairment indicators. We evaluated key performance metrics for properties, specifically to identify any negative trends in the performance metrics that could indicate potential impairment indicators, including decreases in net operating income compared to historical results, shortened holding periods and properties with current encumbrances that are set to mature within one year. We evaluated the Company’s potential impairment indicators by reading minutes of the meetings of the Company’s Board of Directors and inquiring of the Company. We performed a sensitivity analysis over the capitalization rates and holding periods used in the Company’s impairment indicator identification analysis.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6,643,513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6,785,776</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102,711</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14,211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46,590</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144,035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123,492</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148,087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277,866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390,403</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85,181</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1,519,697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1,492,655</w:t>
            </w:r>
          </w:p>
        </w:tc>
        <w:tc>
          <w:tcPr>
            <w:tcW w:w="0" w:type="dxa"/>
            <w:vAlign w:val="bottom"/>
          </w:tcPr>
          <w:p>
            <w:pPr>
              <w:spacing w:after="0"/>
              <w:rPr>
                <w:sz w:val="1"/>
                <w:szCs w:val="1"/>
                <w:color w:val="auto"/>
              </w:rPr>
            </w:pPr>
          </w:p>
        </w:tc>
      </w:tr>
      <w:tr>
        <w:trPr>
          <w:trHeight w:val="264"/>
        </w:trPr>
        <w:tc>
          <w:tcPr>
            <w:tcW w:w="78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8,853,571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9,026,808</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4,392,599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4,073,916</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817,377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908,544</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51,027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59,392</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114,201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265,595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303,051</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107,902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114,988</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Financing arrangement obligation</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273,900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378,485</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6,022,601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5,838,376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4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Common stock, $0.01 par value, 250,000,000 shares authorized, 141,407,650</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and 141,221,712 shares issued and outstanding at December 31, 2019</w:t>
            </w:r>
          </w:p>
        </w:tc>
        <w:tc>
          <w:tcPr>
            <w:tcW w:w="320" w:type="dxa"/>
            <w:vAlign w:val="bottom"/>
          </w:tcPr>
          <w:p>
            <w:pPr>
              <w:spacing w:after="0"/>
              <w:rPr>
                <w:sz w:val="15"/>
                <w:szCs w:val="15"/>
                <w:color w:val="auto"/>
              </w:rPr>
            </w:pPr>
          </w:p>
        </w:tc>
        <w:tc>
          <w:tcPr>
            <w:tcW w:w="1140" w:type="dxa"/>
            <w:vAlign w:val="bottom"/>
            <w:vMerge w:val="restart"/>
          </w:tcPr>
          <w:p>
            <w:pPr>
              <w:jc w:val="right"/>
              <w:ind w:right="51"/>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2018, respectively</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8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4,583,911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4,567,643</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(1,944,012)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7"/>
              </w:rPr>
              <w:t>(1,614,357)</w:t>
            </w:r>
          </w:p>
        </w:tc>
        <w:tc>
          <w:tcPr>
            <w:tcW w:w="0" w:type="dxa"/>
            <w:vAlign w:val="bottom"/>
          </w:tcPr>
          <w:p>
            <w:pPr>
              <w:spacing w:after="0"/>
              <w:rPr>
                <w:sz w:val="1"/>
                <w:szCs w:val="1"/>
                <w:color w:val="auto"/>
              </w:rPr>
            </w:pPr>
          </w:p>
        </w:tc>
      </w:tr>
      <w:tr>
        <w:trPr>
          <w:trHeight w:val="270"/>
        </w:trPr>
        <w:tc>
          <w:tcPr>
            <w:tcW w:w="784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44"/>
        </w:trPr>
        <w:tc>
          <w:tcPr>
            <w:tcW w:w="78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2,632,262</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2,950,232</w:t>
            </w:r>
          </w:p>
        </w:tc>
        <w:tc>
          <w:tcPr>
            <w:tcW w:w="0" w:type="dxa"/>
            <w:vAlign w:val="bottom"/>
          </w:tcPr>
          <w:p>
            <w:pPr>
              <w:spacing w:after="0"/>
              <w:rPr>
                <w:sz w:val="1"/>
                <w:szCs w:val="1"/>
                <w:color w:val="auto"/>
              </w:rPr>
            </w:pPr>
          </w:p>
        </w:tc>
      </w:tr>
      <w:tr>
        <w:trPr>
          <w:trHeight w:val="270"/>
        </w:trPr>
        <w:tc>
          <w:tcPr>
            <w:tcW w:w="784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198,708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238,200</w:t>
            </w:r>
          </w:p>
        </w:tc>
        <w:tc>
          <w:tcPr>
            <w:tcW w:w="0" w:type="dxa"/>
            <w:vAlign w:val="bottom"/>
          </w:tcPr>
          <w:p>
            <w:pPr>
              <w:spacing w:after="0"/>
              <w:rPr>
                <w:sz w:val="1"/>
                <w:szCs w:val="1"/>
                <w:color w:val="auto"/>
              </w:rPr>
            </w:pPr>
          </w:p>
        </w:tc>
      </w:tr>
      <w:tr>
        <w:trPr>
          <w:trHeight w:val="264"/>
        </w:trPr>
        <w:tc>
          <w:tcPr>
            <w:tcW w:w="78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2,830,970</w:t>
            </w: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3,188,432</w:t>
            </w:r>
          </w:p>
        </w:tc>
        <w:tc>
          <w:tcPr>
            <w:tcW w:w="0" w:type="dxa"/>
            <w:vAlign w:val="bottom"/>
          </w:tcPr>
          <w:p>
            <w:pPr>
              <w:spacing w:after="0"/>
              <w:rPr>
                <w:sz w:val="1"/>
                <w:szCs w:val="1"/>
                <w:color w:val="auto"/>
              </w:rPr>
            </w:pPr>
          </w:p>
        </w:tc>
      </w:tr>
      <w:tr>
        <w:trPr>
          <w:trHeight w:val="289"/>
        </w:trPr>
        <w:tc>
          <w:tcPr>
            <w:tcW w:w="784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8,853,571</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9,026,808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520" w:top="1040" w:right="51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right"/>
              <w:ind w:right="76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80" w:type="dxa"/>
            <w:vAlign w:val="bottom"/>
          </w:tcPr>
          <w:p>
            <w:pPr>
              <w:ind w:left="100"/>
              <w:spacing w:after="0"/>
              <w:rPr>
                <w:sz w:val="20"/>
                <w:szCs w:val="20"/>
                <w:color w:val="auto"/>
              </w:rPr>
            </w:pPr>
            <w:r>
              <w:rPr>
                <w:rFonts w:ascii="Arial" w:cs="Arial" w:eastAsia="Arial" w:hAnsi="Arial"/>
                <w:sz w:val="14"/>
                <w:szCs w:val="14"/>
                <w:color w:val="auto"/>
              </w:rPr>
              <w:t>Leasing 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858,874</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883,996</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922,152</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32,875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28,116</w:t>
            </w:r>
          </w:p>
        </w:tc>
        <w:tc>
          <w:tcPr>
            <w:tcW w:w="0" w:type="dxa"/>
            <w:vAlign w:val="bottom"/>
          </w:tcPr>
          <w:p>
            <w:pPr>
              <w:spacing w:after="0"/>
              <w:rPr>
                <w:sz w:val="1"/>
                <w:szCs w:val="1"/>
                <w:color w:val="auto"/>
              </w:rPr>
            </w:pPr>
          </w:p>
        </w:tc>
      </w:tr>
      <w:tr>
        <w:trPr>
          <w:trHeight w:val="197"/>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Management Companies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40,709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43,480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43,394</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927,462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960,351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993,662</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Shopping center and operating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277,470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295,190</w:t>
            </w:r>
          </w:p>
        </w:tc>
        <w:tc>
          <w:tcPr>
            <w:tcW w:w="0" w:type="dxa"/>
            <w:vAlign w:val="bottom"/>
          </w:tcPr>
          <w:p>
            <w:pPr>
              <w:spacing w:after="0"/>
              <w:rPr>
                <w:sz w:val="1"/>
                <w:szCs w:val="1"/>
                <w:color w:val="auto"/>
              </w:rPr>
            </w:pPr>
          </w:p>
        </w:tc>
      </w:tr>
      <w:tr>
        <w:trPr>
          <w:trHeight w:val="197"/>
        </w:trPr>
        <w:tc>
          <w:tcPr>
            <w:tcW w:w="7080" w:type="dxa"/>
            <w:vAlign w:val="bottom"/>
          </w:tcPr>
          <w:p>
            <w:pPr>
              <w:ind w:left="100"/>
              <w:spacing w:after="0"/>
              <w:rPr>
                <w:sz w:val="20"/>
                <w:szCs w:val="20"/>
                <w:color w:val="auto"/>
              </w:rPr>
            </w:pPr>
            <w:r>
              <w:rPr>
                <w:rFonts w:ascii="Arial" w:cs="Arial" w:eastAsia="Arial" w:hAnsi="Arial"/>
                <w:sz w:val="14"/>
                <w:szCs w:val="14"/>
                <w:color w:val="auto"/>
              </w:rPr>
              <w:t>Leasing expense</w:t>
            </w:r>
          </w:p>
        </w:tc>
        <w:tc>
          <w:tcPr>
            <w:tcW w:w="2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29,611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11,624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12,420</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Management Companies' operating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66,795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91,910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87,701</w:t>
            </w:r>
          </w:p>
        </w:tc>
        <w:tc>
          <w:tcPr>
            <w:tcW w:w="0" w:type="dxa"/>
            <w:vAlign w:val="bottom"/>
          </w:tcPr>
          <w:p>
            <w:pPr>
              <w:spacing w:after="0"/>
              <w:rPr>
                <w:sz w:val="1"/>
                <w:szCs w:val="1"/>
                <w:color w:val="auto"/>
              </w:rPr>
            </w:pPr>
          </w:p>
        </w:tc>
      </w:tr>
      <w:tr>
        <w:trPr>
          <w:trHeight w:val="197"/>
        </w:trPr>
        <w:tc>
          <w:tcPr>
            <w:tcW w:w="7080" w:type="dxa"/>
            <w:vAlign w:val="bottom"/>
          </w:tcPr>
          <w:p>
            <w:pPr>
              <w:ind w:left="100"/>
              <w:spacing w:after="0"/>
              <w:rPr>
                <w:sz w:val="20"/>
                <w:szCs w:val="20"/>
                <w:color w:val="auto"/>
              </w:rPr>
            </w:pPr>
            <w:r>
              <w:rPr>
                <w:rFonts w:ascii="Arial" w:cs="Arial" w:eastAsia="Arial" w:hAnsi="Arial"/>
                <w:sz w:val="14"/>
                <w:szCs w:val="14"/>
                <w:color w:val="auto"/>
              </w:rPr>
              <w:t>REIT general and administrative expenses</w:t>
            </w:r>
          </w:p>
        </w:tc>
        <w:tc>
          <w:tcPr>
            <w:tcW w:w="2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22,634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24,160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28,240</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Costs related to shareholder activism</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330,726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327,436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335,431</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721,313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751,969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758,982</w:t>
            </w:r>
          </w:p>
        </w:tc>
        <w:tc>
          <w:tcPr>
            <w:tcW w:w="0" w:type="dxa"/>
            <w:vAlign w:val="bottom"/>
          </w:tcPr>
          <w:p>
            <w:pPr>
              <w:spacing w:after="0"/>
              <w:rPr>
                <w:sz w:val="1"/>
                <w:szCs w:val="1"/>
                <w:color w:val="auto"/>
              </w:rPr>
            </w:pPr>
          </w:p>
        </w:tc>
      </w:tr>
      <w:tr>
        <w:trPr>
          <w:trHeight w:val="190"/>
        </w:trPr>
        <w:tc>
          <w:tcPr>
            <w:tcW w:w="7080" w:type="dxa"/>
            <w:vAlign w:val="bottom"/>
          </w:tcPr>
          <w:p>
            <w:pPr>
              <w:ind w:left="100"/>
              <w:spacing w:after="0"/>
              <w:rPr>
                <w:sz w:val="20"/>
                <w:szCs w:val="20"/>
                <w:color w:val="auto"/>
              </w:rPr>
            </w:pPr>
            <w:r>
              <w:rPr>
                <w:rFonts w:ascii="Arial" w:cs="Arial" w:eastAsia="Arial" w:hAnsi="Arial"/>
                <w:sz w:val="14"/>
                <w:szCs w:val="14"/>
                <w:color w:val="auto"/>
              </w:rPr>
              <w:t>Interest (income) expense: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Related parties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8,731</w:t>
            </w:r>
          </w:p>
        </w:tc>
        <w:tc>
          <w:tcPr>
            <w:tcW w:w="0" w:type="dxa"/>
            <w:vAlign w:val="bottom"/>
          </w:tcPr>
          <w:p>
            <w:pPr>
              <w:spacing w:after="0"/>
              <w:rPr>
                <w:sz w:val="1"/>
                <w:szCs w:val="1"/>
                <w:color w:val="auto"/>
              </w:rPr>
            </w:pPr>
          </w:p>
        </w:tc>
      </w:tr>
      <w:tr>
        <w:trPr>
          <w:trHeight w:val="197"/>
        </w:trPr>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200,771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176,079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163,045</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138,254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182,962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171,776</w:t>
            </w:r>
          </w:p>
        </w:tc>
        <w:tc>
          <w:tcPr>
            <w:tcW w:w="0" w:type="dxa"/>
            <w:vAlign w:val="bottom"/>
          </w:tcPr>
          <w:p>
            <w:pPr>
              <w:spacing w:after="0"/>
              <w:rPr>
                <w:sz w:val="1"/>
                <w:szCs w:val="1"/>
                <w:color w:val="auto"/>
              </w:rPr>
            </w:pPr>
          </w:p>
        </w:tc>
      </w:tr>
      <w:tr>
        <w:trPr>
          <w:trHeight w:val="197"/>
        </w:trPr>
        <w:tc>
          <w:tcPr>
            <w:tcW w:w="7080" w:type="dxa"/>
            <w:vAlign w:val="bottom"/>
          </w:tcPr>
          <w:p>
            <w:pPr>
              <w:ind w:left="10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0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859,918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934,931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930,758</w:t>
            </w:r>
          </w:p>
        </w:tc>
        <w:tc>
          <w:tcPr>
            <w:tcW w:w="0" w:type="dxa"/>
            <w:vAlign w:val="bottom"/>
          </w:tcPr>
          <w:p>
            <w:pPr>
              <w:spacing w:after="0"/>
              <w:rPr>
                <w:sz w:val="1"/>
                <w:szCs w:val="1"/>
                <w:color w:val="auto"/>
              </w:rPr>
            </w:pPr>
          </w:p>
        </w:tc>
      </w:tr>
      <w:tr>
        <w:trPr>
          <w:trHeight w:val="197"/>
        </w:trPr>
        <w:tc>
          <w:tcPr>
            <w:tcW w:w="7080" w:type="dxa"/>
            <w:vAlign w:val="bottom"/>
          </w:tcPr>
          <w:p>
            <w:pPr>
              <w:spacing w:after="0"/>
              <w:rPr>
                <w:sz w:val="20"/>
                <w:szCs w:val="20"/>
                <w:color w:val="auto"/>
              </w:rPr>
            </w:pPr>
            <w:r>
              <w:rPr>
                <w:rFonts w:ascii="Arial" w:cs="Arial" w:eastAsia="Arial" w:hAnsi="Arial"/>
                <w:sz w:val="14"/>
                <w:szCs w:val="14"/>
                <w:color w:val="auto"/>
              </w:rPr>
              <w:t>Equity in income of unconsolidated joint ventures</w:t>
            </w:r>
          </w:p>
        </w:tc>
        <w:tc>
          <w:tcPr>
            <w:tcW w:w="2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48,508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71,773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85,546</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spacing w:after="0"/>
              <w:rPr>
                <w:sz w:val="20"/>
                <w:szCs w:val="20"/>
                <w:color w:val="auto"/>
              </w:rPr>
            </w:pPr>
            <w:r>
              <w:rPr>
                <w:rFonts w:ascii="Arial" w:cs="Arial" w:eastAsia="Arial" w:hAnsi="Arial"/>
                <w:sz w:val="14"/>
                <w:szCs w:val="14"/>
                <w:color w:val="auto"/>
              </w:rPr>
              <w:t>Co-venture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(13,629)</w:t>
            </w:r>
          </w:p>
        </w:tc>
        <w:tc>
          <w:tcPr>
            <w:tcW w:w="0" w:type="dxa"/>
            <w:vAlign w:val="bottom"/>
          </w:tcPr>
          <w:p>
            <w:pPr>
              <w:spacing w:after="0"/>
              <w:rPr>
                <w:sz w:val="1"/>
                <w:szCs w:val="1"/>
                <w:color w:val="auto"/>
              </w:rPr>
            </w:pPr>
          </w:p>
        </w:tc>
      </w:tr>
      <w:tr>
        <w:trPr>
          <w:trHeight w:val="197"/>
        </w:trPr>
        <w:tc>
          <w:tcPr>
            <w:tcW w:w="70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3,604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(15,594)</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rPr>
                <w:sz w:val="20"/>
                <w:szCs w:val="20"/>
                <w:color w:val="auto"/>
              </w:rPr>
            </w:pPr>
            <w:r>
              <w:rPr>
                <w:rFonts w:ascii="Arial" w:cs="Arial" w:eastAsia="Arial" w:hAnsi="Arial"/>
                <w:sz w:val="14"/>
                <w:szCs w:val="14"/>
                <w:color w:val="auto"/>
              </w:rPr>
              <w:t>(Loss) gain on sale or write down of assets, net</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(11,909)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(31,825)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42,446</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102,554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68,972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161,673</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5,734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8,952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15,543</w:t>
            </w:r>
          </w:p>
        </w:tc>
        <w:tc>
          <w:tcPr>
            <w:tcW w:w="0" w:type="dxa"/>
            <w:vAlign w:val="bottom"/>
          </w:tcPr>
          <w:p>
            <w:pPr>
              <w:spacing w:after="0"/>
              <w:rPr>
                <w:sz w:val="1"/>
                <w:szCs w:val="1"/>
                <w:color w:val="auto"/>
              </w:rPr>
            </w:pPr>
          </w:p>
        </w:tc>
      </w:tr>
      <w:tr>
        <w:trPr>
          <w:trHeight w:val="202"/>
        </w:trPr>
        <w:tc>
          <w:tcPr>
            <w:tcW w:w="7080" w:type="dxa"/>
            <w:vAlign w:val="bottom"/>
          </w:tcPr>
          <w:p>
            <w:pPr>
              <w:spacing w:after="0"/>
              <w:rPr>
                <w:sz w:val="20"/>
                <w:szCs w:val="20"/>
                <w:color w:val="auto"/>
              </w:rPr>
            </w:pPr>
            <w:r>
              <w:rPr>
                <w:rFonts w:ascii="Arial" w:cs="Arial" w:eastAsia="Arial" w:hAnsi="Arial"/>
                <w:sz w:val="14"/>
                <w:szCs w:val="14"/>
                <w:color w:val="auto"/>
              </w:rPr>
              <w:t>Net income attributable to the Company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96,820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60,020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146,130</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shd w:val="clear" w:color="auto" w:fill="CCEEFF"/>
          </w:tcPr>
          <w:p>
            <w:pPr>
              <w:spacing w:after="0"/>
              <w:rPr>
                <w:sz w:val="20"/>
                <w:szCs w:val="20"/>
                <w:color w:val="auto"/>
              </w:rPr>
            </w:pPr>
            <w:r>
              <w:rPr>
                <w:rFonts w:ascii="Arial" w:cs="Arial" w:eastAsia="Arial" w:hAnsi="Arial"/>
                <w:sz w:val="14"/>
                <w:szCs w:val="14"/>
                <w:color w:val="auto"/>
              </w:rPr>
              <w:t>Earnings per common share attributable to common stockholders: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0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141,340,000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141,142,000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141,877,000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tcPr>
          <w:p>
            <w:pPr>
              <w:ind w:left="10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141,340,000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141,144,000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141,913,000</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500" w:top="918" w:right="45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7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102,554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68,972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161,673</w:t>
            </w:r>
          </w:p>
        </w:tc>
      </w:tr>
      <w:tr>
        <w:trPr>
          <w:trHeight w:val="197"/>
        </w:trPr>
        <w:tc>
          <w:tcPr>
            <w:tcW w:w="71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rate cap/swap agreements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(4,585)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r>
      <w:tr>
        <w:trPr>
          <w:trHeight w:val="196"/>
        </w:trPr>
        <w:tc>
          <w:tcPr>
            <w:tcW w:w="7100" w:type="dxa"/>
            <w:vAlign w:val="bottom"/>
          </w:tcPr>
          <w:p>
            <w:pPr>
              <w:spacing w:after="0"/>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97,969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64,548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161,631</w:t>
            </w:r>
          </w:p>
        </w:tc>
      </w:tr>
      <w:tr>
        <w:trPr>
          <w:trHeight w:val="203"/>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5,734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8,952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15,543</w:t>
            </w:r>
          </w:p>
        </w:tc>
      </w:tr>
      <w:tr>
        <w:trPr>
          <w:trHeight w:val="202"/>
        </w:trPr>
        <w:tc>
          <w:tcPr>
            <w:tcW w:w="7100" w:type="dxa"/>
            <w:vAlign w:val="bottom"/>
          </w:tcPr>
          <w:p>
            <w:pPr>
              <w:spacing w:after="0"/>
              <w:rPr>
                <w:sz w:val="20"/>
                <w:szCs w:val="20"/>
                <w:color w:val="auto"/>
              </w:rPr>
            </w:pPr>
            <w:r>
              <w:rPr>
                <w:rFonts w:ascii="Arial" w:cs="Arial" w:eastAsia="Arial" w:hAnsi="Arial"/>
                <w:sz w:val="14"/>
                <w:szCs w:val="14"/>
                <w:color w:val="auto"/>
              </w:rPr>
              <w:t>Comprehensive income attributable to the Company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92,235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55,596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146,088</w:t>
            </w:r>
          </w:p>
        </w:tc>
      </w:tr>
      <w:tr>
        <w:trPr>
          <w:trHeight w:val="21"/>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500" w:top="1040" w:right="45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4"/>
              </w:rPr>
              <w:t>Stockholders' Equity</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348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88"/>
              </w:rPr>
              <w:t>Additional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Accumulated Other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44"/>
        </w:trPr>
        <w:tc>
          <w:tcPr>
            <w:tcW w:w="3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2"/>
                <w:szCs w:val="12"/>
                <w:color w:val="auto"/>
              </w:rPr>
            </w:pPr>
          </w:p>
        </w:tc>
        <w:tc>
          <w:tcPr>
            <w:tcW w:w="62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80" w:type="dxa"/>
            <w:vAlign w:val="bottom"/>
          </w:tcPr>
          <w:p>
            <w:pPr>
              <w:spacing w:after="0"/>
              <w:rPr>
                <w:sz w:val="12"/>
                <w:szCs w:val="12"/>
                <w:color w:val="auto"/>
              </w:rPr>
            </w:pPr>
          </w:p>
        </w:tc>
        <w:tc>
          <w:tcPr>
            <w:tcW w:w="10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Noncontrolling</w:t>
            </w:r>
          </w:p>
        </w:tc>
        <w:tc>
          <w:tcPr>
            <w:tcW w:w="78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Total</w:t>
            </w:r>
          </w:p>
        </w:tc>
      </w:tr>
      <w:tr>
        <w:trPr>
          <w:trHeight w:val="174"/>
        </w:trPr>
        <w:tc>
          <w:tcPr>
            <w:tcW w:w="34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Capital</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189"/>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2017</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4"/>
              </w:rPr>
              <w:t>143,985,036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2"/>
              </w:rPr>
              <w:t>$ 1,440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4,593,229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(488,782)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4,105,887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321,281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$ 4,427,168</w:t>
            </w:r>
          </w:p>
        </w:tc>
      </w:tr>
      <w:tr>
        <w:trPr>
          <w:trHeight w:val="181"/>
        </w:trPr>
        <w:tc>
          <w:tcPr>
            <w:tcW w:w="34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146,130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146,130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15,543</w:t>
            </w:r>
          </w:p>
        </w:tc>
        <w:tc>
          <w:tcPr>
            <w:tcW w:w="100" w:type="dxa"/>
            <w:vAlign w:val="bottom"/>
          </w:tcPr>
          <w:p>
            <w:pPr>
              <w:spacing w:after="0"/>
              <w:rPr>
                <w:sz w:val="15"/>
                <w:szCs w:val="15"/>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161,673</w:t>
            </w:r>
          </w:p>
        </w:tc>
      </w:tr>
      <w:tr>
        <w:trPr>
          <w:trHeight w:val="197"/>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adoption of ASU 2016-09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6,484</w:t>
            </w:r>
          </w:p>
        </w:tc>
      </w:tr>
      <w:tr>
        <w:trPr>
          <w:trHeight w:val="181"/>
        </w:trPr>
        <w:tc>
          <w:tcPr>
            <w:tcW w:w="3480" w:type="dxa"/>
            <w:vAlign w:val="bottom"/>
          </w:tcPr>
          <w:p>
            <w:pPr>
              <w:ind w:left="20"/>
              <w:spacing w:after="0"/>
              <w:rPr>
                <w:sz w:val="20"/>
                <w:szCs w:val="20"/>
                <w:color w:val="auto"/>
              </w:rPr>
            </w:pPr>
            <w:r>
              <w:rPr>
                <w:rFonts w:ascii="Arial" w:cs="Arial" w:eastAsia="Arial" w:hAnsi="Arial"/>
                <w:sz w:val="13"/>
                <w:szCs w:val="13"/>
                <w:color w:val="auto"/>
              </w:rPr>
              <w:t>Interest rate cap</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center"/>
              <w:ind w:left="497"/>
              <w:spacing w:after="0"/>
              <w:rPr>
                <w:sz w:val="20"/>
                <w:szCs w:val="20"/>
                <w:color w:val="auto"/>
              </w:rPr>
            </w:pPr>
            <w:r>
              <w:rPr>
                <w:rFonts w:ascii="Arial" w:cs="Arial" w:eastAsia="Arial" w:hAnsi="Arial"/>
                <w:sz w:val="13"/>
                <w:szCs w:val="13"/>
                <w:color w:val="auto"/>
                <w:w w:val="94"/>
              </w:rPr>
              <w:t>(42)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(42)</w:t>
            </w:r>
          </w:p>
        </w:tc>
      </w:tr>
      <w:tr>
        <w:trPr>
          <w:trHeight w:val="197"/>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 and unit-based plans</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97,694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37,004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37,005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37,005</w:t>
            </w:r>
          </w:p>
        </w:tc>
      </w:tr>
      <w:tr>
        <w:trPr>
          <w:trHeight w:val="181"/>
        </w:trPr>
        <w:tc>
          <w:tcPr>
            <w:tcW w:w="348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38,832</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1,868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1,868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1,868</w:t>
            </w:r>
          </w:p>
        </w:tc>
      </w:tr>
      <w:tr>
        <w:trPr>
          <w:trHeight w:val="197"/>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repurchase</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(3,627,390)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(135,176)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(86,216)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(221,428)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(221,428)</w:t>
            </w:r>
          </w:p>
        </w:tc>
      </w:tr>
      <w:tr>
        <w:trPr>
          <w:trHeight w:val="181"/>
        </w:trPr>
        <w:tc>
          <w:tcPr>
            <w:tcW w:w="3480" w:type="dxa"/>
            <w:vAlign w:val="bottom"/>
          </w:tcPr>
          <w:p>
            <w:pPr>
              <w:ind w:left="20"/>
              <w:spacing w:after="0"/>
              <w:rPr>
                <w:sz w:val="20"/>
                <w:szCs w:val="20"/>
                <w:color w:val="auto"/>
              </w:rPr>
            </w:pPr>
            <w:r>
              <w:rPr>
                <w:rFonts w:ascii="Arial" w:cs="Arial" w:eastAsia="Arial" w:hAnsi="Arial"/>
                <w:sz w:val="13"/>
                <w:szCs w:val="13"/>
                <w:color w:val="auto"/>
              </w:rPr>
              <w:t>Distributions declared ($2.87) per share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(407,895)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(407,895)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(407,895)</w:t>
            </w:r>
          </w:p>
        </w:tc>
      </w:tr>
      <w:tr>
        <w:trPr>
          <w:trHeight w:val="197"/>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(35,944)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(35,944)</w:t>
            </w:r>
          </w:p>
        </w:tc>
      </w:tr>
      <w:tr>
        <w:trPr>
          <w:trHeight w:val="181"/>
        </w:trPr>
        <w:tc>
          <w:tcPr>
            <w:tcW w:w="3480" w:type="dxa"/>
            <w:vAlign w:val="bottom"/>
          </w:tcPr>
          <w:p>
            <w:pPr>
              <w:ind w:left="20"/>
              <w:spacing w:after="0"/>
              <w:rPr>
                <w:sz w:val="20"/>
                <w:szCs w:val="20"/>
                <w:color w:val="auto"/>
              </w:rPr>
            </w:pPr>
            <w:r>
              <w:rPr>
                <w:rFonts w:ascii="Arial" w:cs="Arial" w:eastAsia="Arial" w:hAnsi="Arial"/>
                <w:sz w:val="13"/>
                <w:szCs w:val="13"/>
                <w:color w:val="auto"/>
              </w:rPr>
              <w:t>Contributions from noncontrolling interests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30</w:t>
            </w:r>
          </w:p>
        </w:tc>
      </w:tr>
      <w:tr>
        <w:trPr>
          <w:trHeight w:val="197"/>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noncontrolling interests to common shares</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499,813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16,792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16,797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(16,797)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81"/>
        </w:trPr>
        <w:tc>
          <w:tcPr>
            <w:tcW w:w="3480" w:type="dxa"/>
            <w:vAlign w:val="bottom"/>
          </w:tcPr>
          <w:p>
            <w:pPr>
              <w:ind w:left="20"/>
              <w:spacing w:after="0"/>
              <w:rPr>
                <w:sz w:val="20"/>
                <w:szCs w:val="20"/>
                <w:color w:val="auto"/>
              </w:rPr>
            </w:pPr>
            <w:r>
              <w:rPr>
                <w:rFonts w:ascii="Arial" w:cs="Arial" w:eastAsia="Arial" w:hAnsi="Arial"/>
                <w:sz w:val="13"/>
                <w:szCs w:val="13"/>
                <w:color w:val="auto"/>
              </w:rPr>
              <w:t>Redemption of noncontrolling interests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(920)</w:t>
            </w:r>
          </w:p>
        </w:tc>
      </w:tr>
      <w:tr>
        <w:trPr>
          <w:trHeight w:val="19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Adjustment of noncontrolling interests in Operating Partnership</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(2,613)</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(2,613)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2,613</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Balance at December 31, 2017</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w w:val="94"/>
              </w:rPr>
              <w:t>140,993,985</w:t>
            </w:r>
          </w:p>
        </w:tc>
        <w:tc>
          <w:tcPr>
            <w:tcW w:w="100" w:type="dxa"/>
            <w:vAlign w:val="bottom"/>
          </w:tcPr>
          <w:p>
            <w:pPr>
              <w:spacing w:after="0"/>
              <w:rPr>
                <w:sz w:val="16"/>
                <w:szCs w:val="16"/>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w w:val="92"/>
              </w:rPr>
              <w:t>$ 1,410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4,510,489</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(830,279)</w:t>
            </w:r>
          </w:p>
        </w:tc>
        <w:tc>
          <w:tcPr>
            <w:tcW w:w="1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020" w:type="dxa"/>
            <w:vAlign w:val="bottom"/>
          </w:tcPr>
          <w:p>
            <w:pPr>
              <w:jc w:val="center"/>
              <w:ind w:left="497"/>
              <w:spacing w:after="0"/>
              <w:rPr>
                <w:sz w:val="20"/>
                <w:szCs w:val="20"/>
                <w:color w:val="auto"/>
              </w:rPr>
            </w:pPr>
            <w:r>
              <w:rPr>
                <w:rFonts w:ascii="Arial" w:cs="Arial" w:eastAsia="Arial" w:hAnsi="Arial"/>
                <w:sz w:val="13"/>
                <w:szCs w:val="13"/>
                <w:color w:val="auto"/>
                <w:w w:val="94"/>
              </w:rPr>
              <w:t>(42)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3,681,578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286,421</w:t>
            </w:r>
          </w:p>
        </w:tc>
        <w:tc>
          <w:tcPr>
            <w:tcW w:w="10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w w:val="87"/>
              </w:rPr>
              <w:t>$ 3,967,999</w:t>
            </w:r>
          </w:p>
        </w:tc>
      </w:tr>
      <w:tr>
        <w:trPr>
          <w:trHeight w:val="21"/>
        </w:trPr>
        <w:tc>
          <w:tcPr>
            <w:tcW w:w="3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080" w:right="25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4"/>
              </w:rPr>
              <w:t>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40" w:type="dxa"/>
            <w:vAlign w:val="bottom"/>
            <w:gridSpan w:val="4"/>
          </w:tcPr>
          <w:p>
            <w:pPr>
              <w:ind w:left="3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right"/>
              <w:spacing w:after="0" w:line="131"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1"/>
                <w:szCs w:val="11"/>
                <w:color w:val="auto"/>
              </w:rPr>
            </w:pPr>
          </w:p>
        </w:tc>
        <w:tc>
          <w:tcPr>
            <w:tcW w:w="68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4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2017</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6"/>
              </w:rPr>
              <w:t>140,993,985</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7"/>
              </w:rPr>
              <w:t>$ 1,410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4,510,489</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(830,279)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3,681,578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286,421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3,967,999</w:t>
            </w: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60,020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60,020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8,952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68,972</w:t>
            </w: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adoption of ASU 2014-09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(424,859)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(424,859)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(424,859)</w:t>
            </w: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3"/>
                <w:szCs w:val="13"/>
                <w:color w:val="auto"/>
              </w:rPr>
              <w:t>Interest rate cap/swap agreements</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(4,424)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(4,424)</w:t>
            </w: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 and unit-based plans</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125,723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33,551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33,551</w:t>
            </w: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35,293</w:t>
            </w:r>
          </w:p>
        </w:tc>
        <w:tc>
          <w:tcPr>
            <w:tcW w:w="12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1,570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1,570</w:t>
            </w: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declared ($2.97) per share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(419,239)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(419,239)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(419,239)</w:t>
            </w: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(34,395)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(34,395)</w:t>
            </w: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from noncontrolling interests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3"/>
                <w:szCs w:val="13"/>
                <w:color w:val="auto"/>
              </w:rPr>
              <w:t>Conversion of noncontrolling interests to common shares</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66,711</w:t>
            </w:r>
          </w:p>
        </w:tc>
        <w:tc>
          <w:tcPr>
            <w:tcW w:w="12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 interests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8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2"/>
              </w:rPr>
              <w:t>Adjustment of noncontrolling interests in Operating Partnership</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22,471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22,471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(22,471)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2018</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6"/>
              </w:rPr>
              <w:t>141,221,712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7"/>
              </w:rPr>
              <w:t>$ 1,412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4,567,643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(1,614,357)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2,950,232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238,200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3,188,432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080" w:right="25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w w:val="97"/>
              </w:rPr>
              <w:t>Stockholders' Equity</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62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restart"/>
          </w:tcPr>
          <w:p>
            <w:pPr>
              <w:jc w:val="center"/>
              <w:ind w:right="57"/>
              <w:spacing w:after="0" w:line="131"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4"/>
                <w:szCs w:val="4"/>
                <w:color w:val="auto"/>
              </w:rPr>
            </w:pPr>
          </w:p>
        </w:tc>
        <w:tc>
          <w:tcPr>
            <w:tcW w:w="100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5"/>
                <w:szCs w:val="15"/>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4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2018</w:t>
            </w:r>
          </w:p>
        </w:tc>
        <w:tc>
          <w:tcPr>
            <w:tcW w:w="8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4"/>
              </w:rPr>
              <w:t>141,221,712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8"/>
              </w:rPr>
              <w:t>1,412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3"/>
              </w:rPr>
              <w:t>4,567,643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(1,614,357)</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(4,466)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2,950,232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238,200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6"/>
              </w:rPr>
              <w:t>3,188,432</w:t>
            </w: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96,820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96,820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5,734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102,554</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adoption of ASC 842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3"/>
                <w:szCs w:val="13"/>
                <w:color w:val="auto"/>
              </w:rPr>
              <w:t>Interest rate cap/swap agreements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(4,585)</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(4,585)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(4,585)</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 and unit-based plans</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106,747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16,722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16,723</w:t>
            </w: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58,191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1,518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1,519</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declared ($3.00) per share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(424,272)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(424,272)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(424,272)</w:t>
            </w: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(50,262)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(50,262)</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from noncontrolling interests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3,131</w:t>
            </w: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line="122" w:lineRule="exact"/>
              <w:rPr>
                <w:sz w:val="20"/>
                <w:szCs w:val="20"/>
                <w:color w:val="auto"/>
              </w:rPr>
            </w:pPr>
            <w:r>
              <w:rPr>
                <w:rFonts w:ascii="Arial" w:cs="Arial" w:eastAsia="Arial" w:hAnsi="Arial"/>
                <w:sz w:val="13"/>
                <w:szCs w:val="13"/>
                <w:color w:val="auto"/>
                <w:w w:val="95"/>
              </w:rPr>
              <w:t>Conversion of noncontrolling interests to common</w:t>
            </w: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21,000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1,005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(1,005)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760" w:type="dxa"/>
            <w:vAlign w:val="bottom"/>
          </w:tcPr>
          <w:p>
            <w:pPr>
              <w:ind w:left="100"/>
              <w:spacing w:after="0"/>
              <w:rPr>
                <w:sz w:val="20"/>
                <w:szCs w:val="20"/>
                <w:color w:val="auto"/>
              </w:rPr>
            </w:pPr>
            <w:r>
              <w:rPr>
                <w:rFonts w:ascii="Arial" w:cs="Arial" w:eastAsia="Arial" w:hAnsi="Arial"/>
                <w:sz w:val="13"/>
                <w:szCs w:val="13"/>
                <w:color w:val="auto"/>
              </w:rPr>
              <w:t>shares</w:t>
            </w: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 interests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line="122" w:lineRule="exact"/>
              <w:rPr>
                <w:sz w:val="20"/>
                <w:szCs w:val="20"/>
                <w:color w:val="auto"/>
              </w:rPr>
            </w:pPr>
            <w:r>
              <w:rPr>
                <w:rFonts w:ascii="Arial" w:cs="Arial" w:eastAsia="Arial" w:hAnsi="Arial"/>
                <w:sz w:val="13"/>
                <w:szCs w:val="13"/>
                <w:color w:val="auto"/>
              </w:rPr>
              <w:t>Adjustment of noncontrolling interests in</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(2,946)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color w:val="auto"/>
              </w:rPr>
              <w:t>(2,946)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2,946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60" w:type="dxa"/>
            <w:vAlign w:val="bottom"/>
          </w:tcPr>
          <w:p>
            <w:pPr>
              <w:ind w:left="100"/>
              <w:spacing w:after="0"/>
              <w:rPr>
                <w:sz w:val="20"/>
                <w:szCs w:val="20"/>
                <w:color w:val="auto"/>
              </w:rPr>
            </w:pPr>
            <w:r>
              <w:rPr>
                <w:rFonts w:ascii="Arial" w:cs="Arial" w:eastAsia="Arial" w:hAnsi="Arial"/>
                <w:sz w:val="13"/>
                <w:szCs w:val="13"/>
                <w:color w:val="auto"/>
              </w:rPr>
              <w:t>Operating Partnership</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8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4"/>
              </w:rPr>
              <w:t>141,407,650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8"/>
              </w:rPr>
              <w:t>1,414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3"/>
              </w:rPr>
              <w:t>4,583,911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(1,944,012)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(9,051)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2,632,262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198,708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6"/>
              </w:rPr>
              <w:t>2,830,970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40"/>
          </w:cols>
          <w:pgMar w:left="640" w:top="1080" w:right="61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7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7"/>
        </w:trPr>
        <w:tc>
          <w:tcPr>
            <w:tcW w:w="710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102,554</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68,972</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161,673</w:t>
            </w:r>
          </w:p>
        </w:tc>
      </w:tr>
      <w:tr>
        <w:trPr>
          <w:trHeight w:val="209"/>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7"/>
        </w:trPr>
        <w:tc>
          <w:tcPr>
            <w:tcW w:w="710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7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(gain) on sale or write down of assets,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31,825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(42,446)</w:t>
            </w:r>
          </w:p>
        </w:tc>
      </w:tr>
      <w:tr>
        <w:trPr>
          <w:trHeight w:val="197"/>
        </w:trPr>
        <w:tc>
          <w:tcPr>
            <w:tcW w:w="710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337,667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334,682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341,275</w:t>
            </w:r>
          </w:p>
        </w:tc>
      </w:tr>
      <w:tr>
        <w:trPr>
          <w:trHeight w:val="209"/>
        </w:trPr>
        <w:tc>
          <w:tcPr>
            <w:tcW w:w="7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net premium on mortgage notes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(3,277)</w:t>
            </w:r>
          </w:p>
        </w:tc>
      </w:tr>
      <w:tr>
        <w:trPr>
          <w:trHeight w:val="197"/>
        </w:trPr>
        <w:tc>
          <w:tcPr>
            <w:tcW w:w="7100" w:type="dxa"/>
            <w:vAlign w:val="bottom"/>
          </w:tcPr>
          <w:p>
            <w:pPr>
              <w:ind w:left="300"/>
              <w:spacing w:after="0"/>
              <w:rPr>
                <w:sz w:val="20"/>
                <w:szCs w:val="20"/>
                <w:color w:val="auto"/>
              </w:rPr>
            </w:pPr>
            <w:r>
              <w:rPr>
                <w:rFonts w:ascii="Arial" w:cs="Arial" w:eastAsia="Arial" w:hAnsi="Arial"/>
                <w:sz w:val="14"/>
                <w:szCs w:val="14"/>
                <w:color w:val="auto"/>
              </w:rPr>
              <w:t>Amortization of share and unit-based plans</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12,032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27,367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30,799</w:t>
            </w:r>
          </w:p>
        </w:tc>
      </w:tr>
      <w:tr>
        <w:trPr>
          <w:trHeight w:val="263"/>
        </w:trPr>
        <w:tc>
          <w:tcPr>
            <w:tcW w:w="7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Straight-line rent and amortization of above and below market leases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(14,009)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(13,701)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(9,561)</w:t>
            </w:r>
          </w:p>
        </w:tc>
      </w:tr>
      <w:tr>
        <w:trPr>
          <w:trHeight w:val="197"/>
        </w:trPr>
        <w:tc>
          <w:tcPr>
            <w:tcW w:w="7100" w:type="dxa"/>
            <w:vAlign w:val="bottom"/>
          </w:tcPr>
          <w:p>
            <w:pPr>
              <w:ind w:left="30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7,682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4,314</w:t>
            </w:r>
          </w:p>
        </w:tc>
      </w:tr>
      <w:tr>
        <w:trPr>
          <w:trHeight w:val="209"/>
        </w:trPr>
        <w:tc>
          <w:tcPr>
            <w:tcW w:w="7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Income tax expense (benefit)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15,594</w:t>
            </w:r>
          </w:p>
        </w:tc>
      </w:tr>
      <w:tr>
        <w:trPr>
          <w:trHeight w:val="197"/>
        </w:trPr>
        <w:tc>
          <w:tcPr>
            <w:tcW w:w="7100" w:type="dxa"/>
            <w:vAlign w:val="bottom"/>
          </w:tcPr>
          <w:p>
            <w:pPr>
              <w:ind w:left="300"/>
              <w:spacing w:after="0"/>
              <w:rPr>
                <w:sz w:val="20"/>
                <w:szCs w:val="20"/>
                <w:color w:val="auto"/>
              </w:rPr>
            </w:pPr>
            <w:r>
              <w:rPr>
                <w:rFonts w:ascii="Arial" w:cs="Arial" w:eastAsia="Arial" w:hAnsi="Arial"/>
                <w:sz w:val="14"/>
                <w:szCs w:val="14"/>
                <w:color w:val="auto"/>
              </w:rPr>
              <w:t>Equity in income of unconsolidated joint ventures</w:t>
            </w:r>
          </w:p>
        </w:tc>
        <w:tc>
          <w:tcPr>
            <w:tcW w:w="2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(48,508)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(71,773)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(85,546)</w:t>
            </w:r>
          </w:p>
        </w:tc>
      </w:tr>
      <w:tr>
        <w:trPr>
          <w:trHeight w:val="209"/>
        </w:trPr>
        <w:tc>
          <w:tcPr>
            <w:tcW w:w="7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 in fair value of financing arrangement obligation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7100" w:type="dxa"/>
            <w:vAlign w:val="bottom"/>
          </w:tcPr>
          <w:p>
            <w:pPr>
              <w:ind w:left="300"/>
              <w:spacing w:after="0"/>
              <w:rPr>
                <w:sz w:val="20"/>
                <w:szCs w:val="20"/>
                <w:color w:val="auto"/>
              </w:rPr>
            </w:pPr>
            <w:r>
              <w:rPr>
                <w:rFonts w:ascii="Arial" w:cs="Arial" w:eastAsia="Arial" w:hAnsi="Arial"/>
                <w:sz w:val="14"/>
                <w:szCs w:val="14"/>
                <w:color w:val="auto"/>
              </w:rPr>
              <w:t>Co-venture expense</w:t>
            </w:r>
          </w:p>
        </w:tc>
        <w:tc>
          <w:tcPr>
            <w:tcW w:w="2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13,629</w:t>
            </w:r>
          </w:p>
        </w:tc>
      </w:tr>
      <w:tr>
        <w:trPr>
          <w:trHeight w:val="209"/>
        </w:trPr>
        <w:tc>
          <w:tcPr>
            <w:tcW w:w="7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Distributions of income from unconsolidated joint ventures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463</w:t>
            </w:r>
          </w:p>
        </w:tc>
      </w:tr>
      <w:tr>
        <w:trPr>
          <w:trHeight w:val="197"/>
        </w:trPr>
        <w:tc>
          <w:tcPr>
            <w:tcW w:w="7100" w:type="dxa"/>
            <w:vAlign w:val="bottom"/>
          </w:tcPr>
          <w:p>
            <w:pPr>
              <w:ind w:left="300"/>
              <w:spacing w:after="0"/>
              <w:rPr>
                <w:sz w:val="20"/>
                <w:szCs w:val="20"/>
                <w:color w:val="auto"/>
              </w:rPr>
            </w:pPr>
            <w:r>
              <w:rPr>
                <w:rFonts w:ascii="Arial" w:cs="Arial" w:eastAsia="Arial" w:hAnsi="Arial"/>
                <w:sz w:val="14"/>
                <w:szCs w:val="14"/>
                <w:color w:val="auto"/>
              </w:rPr>
              <w:t>Changes in assets and liabilities, net of acquisitions and dispositions: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1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Tenant and other receivables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(6,508)</w:t>
            </w:r>
          </w:p>
        </w:tc>
      </w:tr>
      <w:tr>
        <w:trPr>
          <w:trHeight w:val="197"/>
        </w:trPr>
        <w:tc>
          <w:tcPr>
            <w:tcW w:w="7100" w:type="dxa"/>
            <w:vAlign w:val="bottom"/>
          </w:tcPr>
          <w:p>
            <w:pPr>
              <w:ind w:left="52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(9,553)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8,439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(4,414)</w:t>
            </w:r>
          </w:p>
        </w:tc>
      </w:tr>
      <w:tr>
        <w:trPr>
          <w:trHeight w:val="209"/>
        </w:trPr>
        <w:tc>
          <w:tcPr>
            <w:tcW w:w="71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Due from affiliates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(13,982)</w:t>
            </w:r>
          </w:p>
        </w:tc>
      </w:tr>
      <w:tr>
        <w:trPr>
          <w:trHeight w:val="197"/>
        </w:trPr>
        <w:tc>
          <w:tcPr>
            <w:tcW w:w="7100" w:type="dxa"/>
            <w:vAlign w:val="bottom"/>
          </w:tcPr>
          <w:p>
            <w:pPr>
              <w:ind w:left="52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(5,822)</w:t>
            </w:r>
          </w:p>
        </w:tc>
      </w:tr>
      <w:tr>
        <w:trPr>
          <w:trHeight w:val="203"/>
        </w:trPr>
        <w:tc>
          <w:tcPr>
            <w:tcW w:w="71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26,350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(9,274)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(9,802)</w:t>
            </w:r>
          </w:p>
        </w:tc>
      </w:tr>
      <w:tr>
        <w:trPr>
          <w:trHeight w:val="196"/>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355,157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344,311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386,389</w:t>
            </w: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7"/>
        </w:trPr>
        <w:tc>
          <w:tcPr>
            <w:tcW w:w="7100" w:type="dxa"/>
            <w:vAlign w:val="bottom"/>
          </w:tcPr>
          <w:p>
            <w:pPr>
              <w:ind w:left="100"/>
              <w:spacing w:after="0"/>
              <w:rPr>
                <w:sz w:val="20"/>
                <w:szCs w:val="20"/>
                <w:color w:val="auto"/>
              </w:rPr>
            </w:pPr>
            <w:r>
              <w:rPr>
                <w:rFonts w:ascii="Arial" w:cs="Arial" w:eastAsia="Arial" w:hAnsi="Arial"/>
                <w:sz w:val="14"/>
                <w:szCs w:val="14"/>
                <w:color w:val="auto"/>
              </w:rPr>
              <w:t>Development, redevelopment, expansion and renovation of properties</w:t>
            </w:r>
          </w:p>
        </w:tc>
        <w:tc>
          <w:tcPr>
            <w:tcW w:w="2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(166,791)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(181,089)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(160,343)</w:t>
            </w:r>
          </w:p>
        </w:tc>
      </w:tr>
      <w:tr>
        <w:trPr>
          <w:trHeight w:val="209"/>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improvements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(41,807)</w:t>
            </w:r>
          </w:p>
        </w:tc>
      </w:tr>
      <w:tr>
        <w:trPr>
          <w:trHeight w:val="197"/>
        </w:trPr>
        <w:tc>
          <w:tcPr>
            <w:tcW w:w="7100" w:type="dxa"/>
            <w:vAlign w:val="bottom"/>
          </w:tcPr>
          <w:p>
            <w:pPr>
              <w:ind w:left="100"/>
              <w:spacing w:after="0"/>
              <w:rPr>
                <w:sz w:val="20"/>
                <w:szCs w:val="20"/>
                <w:color w:val="auto"/>
              </w:rPr>
            </w:pPr>
            <w:r>
              <w:rPr>
                <w:rFonts w:ascii="Arial" w:cs="Arial" w:eastAsia="Arial" w:hAnsi="Arial"/>
                <w:sz w:val="14"/>
                <w:szCs w:val="14"/>
                <w:color w:val="auto"/>
              </w:rPr>
              <w:t>Proceeds from collection of notes receivable</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68,819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7,073</w:t>
            </w:r>
          </w:p>
        </w:tc>
      </w:tr>
      <w:tr>
        <w:trPr>
          <w:trHeight w:val="209"/>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leasing costs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(31,655)</w:t>
            </w:r>
          </w:p>
        </w:tc>
      </w:tr>
      <w:tr>
        <w:trPr>
          <w:trHeight w:val="197"/>
        </w:trPr>
        <w:tc>
          <w:tcPr>
            <w:tcW w:w="7100" w:type="dxa"/>
            <w:vAlign w:val="bottom"/>
          </w:tcPr>
          <w:p>
            <w:pPr>
              <w:ind w:left="100"/>
              <w:spacing w:after="0"/>
              <w:rPr>
                <w:sz w:val="20"/>
                <w:szCs w:val="20"/>
                <w:color w:val="auto"/>
              </w:rPr>
            </w:pPr>
            <w:r>
              <w:rPr>
                <w:rFonts w:ascii="Arial" w:cs="Arial" w:eastAsia="Arial" w:hAnsi="Arial"/>
                <w:sz w:val="14"/>
                <w:szCs w:val="14"/>
                <w:color w:val="auto"/>
              </w:rPr>
              <w:t>Distributions from unconsolidated joint ventures</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266,349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536,643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267,964</w:t>
            </w:r>
          </w:p>
        </w:tc>
      </w:tr>
      <w:tr>
        <w:trPr>
          <w:trHeight w:val="209"/>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to unconsolidated joint ventures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(252,903)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(117,538)</w:t>
            </w:r>
          </w:p>
        </w:tc>
      </w:tr>
      <w:tr>
        <w:trPr>
          <w:trHeight w:val="197"/>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Proceeds from sale of assets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85,876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255,294</w:t>
            </w:r>
          </w:p>
        </w:tc>
      </w:tr>
      <w:tr>
        <w:trPr>
          <w:trHeight w:val="196"/>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cash (used in) provided by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(112,026)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176,323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178,988</w:t>
            </w:r>
          </w:p>
        </w:tc>
      </w:tr>
    </w:tbl>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500" w:top="1040" w:right="45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3"/>
              </w:rPr>
              <w:t>For the 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60" w:type="dxa"/>
            <w:vAlign w:val="bottom"/>
          </w:tcPr>
          <w:p>
            <w:pPr>
              <w:ind w:left="100"/>
              <w:spacing w:after="0"/>
              <w:rPr>
                <w:sz w:val="20"/>
                <w:szCs w:val="20"/>
                <w:color w:val="auto"/>
              </w:rPr>
            </w:pPr>
            <w:r>
              <w:rPr>
                <w:rFonts w:ascii="Arial" w:cs="Arial" w:eastAsia="Arial" w:hAnsi="Arial"/>
                <w:sz w:val="14"/>
                <w:szCs w:val="14"/>
                <w:color w:val="auto"/>
              </w:rPr>
              <w:t>Proceeds from mortgages, bank and other notes payable</w:t>
            </w:r>
          </w:p>
        </w:tc>
        <w:tc>
          <w:tcPr>
            <w:tcW w:w="260" w:type="dxa"/>
            <w:vAlign w:val="bottom"/>
          </w:tcPr>
          <w:p>
            <w:pPr>
              <w:spacing w:after="0"/>
              <w:rPr>
                <w:sz w:val="17"/>
                <w:szCs w:val="17"/>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1,796,000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67"/>
              <w:spacing w:after="0"/>
              <w:rPr>
                <w:sz w:val="20"/>
                <w:szCs w:val="20"/>
                <w:color w:val="auto"/>
              </w:rPr>
            </w:pPr>
            <w:r>
              <w:rPr>
                <w:rFonts w:ascii="Arial" w:cs="Arial" w:eastAsia="Arial" w:hAnsi="Arial"/>
                <w:sz w:val="14"/>
                <w:szCs w:val="14"/>
                <w:color w:val="auto"/>
              </w:rPr>
              <w:t>415,000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87"/>
              <w:spacing w:after="0"/>
              <w:rPr>
                <w:sz w:val="20"/>
                <w:szCs w:val="20"/>
                <w:color w:val="auto"/>
              </w:rPr>
            </w:pPr>
            <w:r>
              <w:rPr>
                <w:rFonts w:ascii="Arial" w:cs="Arial" w:eastAsia="Arial" w:hAnsi="Arial"/>
                <w:sz w:val="14"/>
                <w:szCs w:val="14"/>
                <w:color w:val="auto"/>
              </w:rPr>
              <w:t>1,430,000</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Payments on mortgages, bank and other notes payable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(1,567,089)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(469,814)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w w:val="97"/>
              </w:rPr>
              <w:t>(1,219,728)</w:t>
            </w:r>
          </w:p>
        </w:tc>
        <w:tc>
          <w:tcPr>
            <w:tcW w:w="0" w:type="dxa"/>
            <w:vAlign w:val="bottom"/>
          </w:tcPr>
          <w:p>
            <w:pPr>
              <w:spacing w:after="0"/>
              <w:rPr>
                <w:sz w:val="1"/>
                <w:szCs w:val="1"/>
                <w:color w:val="auto"/>
              </w:rPr>
            </w:pPr>
          </w:p>
        </w:tc>
      </w:tr>
      <w:tr>
        <w:trPr>
          <w:trHeight w:val="197"/>
        </w:trPr>
        <w:tc>
          <w:tcPr>
            <w:tcW w:w="7060" w:type="dxa"/>
            <w:vAlign w:val="bottom"/>
          </w:tcPr>
          <w:p>
            <w:pPr>
              <w:ind w:left="100"/>
              <w:spacing w:after="0"/>
              <w:rPr>
                <w:sz w:val="20"/>
                <w:szCs w:val="20"/>
                <w:color w:val="auto"/>
              </w:rPr>
            </w:pPr>
            <w:r>
              <w:rPr>
                <w:rFonts w:ascii="Arial" w:cs="Arial" w:eastAsia="Arial" w:hAnsi="Arial"/>
                <w:sz w:val="14"/>
                <w:szCs w:val="14"/>
                <w:color w:val="auto"/>
              </w:rPr>
              <w:t>Deferred financing costs</w:t>
            </w:r>
          </w:p>
        </w:tc>
        <w:tc>
          <w:tcPr>
            <w:tcW w:w="260" w:type="dxa"/>
            <w:vAlign w:val="bottom"/>
          </w:tcPr>
          <w:p>
            <w:pPr>
              <w:spacing w:after="0"/>
              <w:rPr>
                <w:sz w:val="17"/>
                <w:szCs w:val="17"/>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(7,759)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 of finance deposits, net of refunds received</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(6,542)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7060" w:type="dxa"/>
            <w:vAlign w:val="bottom"/>
          </w:tcPr>
          <w:p>
            <w:pPr>
              <w:ind w:left="100"/>
              <w:spacing w:after="0"/>
              <w:rPr>
                <w:sz w:val="20"/>
                <w:szCs w:val="20"/>
                <w:color w:val="auto"/>
              </w:rPr>
            </w:pPr>
            <w:r>
              <w:rPr>
                <w:rFonts w:ascii="Arial" w:cs="Arial" w:eastAsia="Arial" w:hAnsi="Arial"/>
                <w:sz w:val="14"/>
                <w:szCs w:val="14"/>
                <w:color w:val="auto"/>
              </w:rPr>
              <w:t>Payment on finance arrangement obligation</w:t>
            </w:r>
          </w:p>
        </w:tc>
        <w:tc>
          <w:tcPr>
            <w:tcW w:w="260" w:type="dxa"/>
            <w:vAlign w:val="bottom"/>
          </w:tcPr>
          <w:p>
            <w:pPr>
              <w:spacing w:after="0"/>
              <w:rPr>
                <w:sz w:val="21"/>
                <w:szCs w:val="21"/>
                <w:color w:val="auto"/>
              </w:rPr>
            </w:pPr>
          </w:p>
        </w:tc>
        <w:tc>
          <w:tcPr>
            <w:tcW w:w="960" w:type="dxa"/>
            <w:vAlign w:val="bottom"/>
          </w:tcPr>
          <w:p>
            <w:pPr>
              <w:jc w:val="right"/>
              <w:ind w:right="47"/>
              <w:spacing w:after="0"/>
              <w:rPr>
                <w:sz w:val="20"/>
                <w:szCs w:val="20"/>
                <w:color w:val="auto"/>
              </w:rPr>
            </w:pPr>
            <w:r>
              <w:rPr>
                <w:rFonts w:ascii="Arial" w:cs="Arial" w:eastAsia="Arial" w:hAnsi="Arial"/>
                <w:sz w:val="16"/>
                <w:szCs w:val="16"/>
                <w:color w:val="auto"/>
              </w:rPr>
              <w:t>(27,945)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84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Payments on finance leases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060" w:type="dxa"/>
            <w:vAlign w:val="bottom"/>
          </w:tcPr>
          <w:p>
            <w:pPr>
              <w:ind w:left="100"/>
              <w:spacing w:after="0"/>
              <w:rPr>
                <w:sz w:val="20"/>
                <w:szCs w:val="20"/>
                <w:color w:val="auto"/>
              </w:rPr>
            </w:pPr>
            <w:r>
              <w:rPr>
                <w:rFonts w:ascii="Arial" w:cs="Arial" w:eastAsia="Arial" w:hAnsi="Arial"/>
                <w:sz w:val="14"/>
                <w:szCs w:val="14"/>
                <w:color w:val="auto"/>
              </w:rPr>
              <w:t>Proceeds from share and unit-based plans</w:t>
            </w:r>
          </w:p>
        </w:tc>
        <w:tc>
          <w:tcPr>
            <w:tcW w:w="260" w:type="dxa"/>
            <w:vAlign w:val="bottom"/>
          </w:tcPr>
          <w:p>
            <w:pPr>
              <w:spacing w:after="0"/>
              <w:rPr>
                <w:sz w:val="17"/>
                <w:szCs w:val="17"/>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67"/>
              <w:spacing w:after="0"/>
              <w:rPr>
                <w:sz w:val="20"/>
                <w:szCs w:val="20"/>
                <w:color w:val="auto"/>
              </w:rPr>
            </w:pPr>
            <w:r>
              <w:rPr>
                <w:rFonts w:ascii="Arial" w:cs="Arial" w:eastAsia="Arial" w:hAnsi="Arial"/>
                <w:sz w:val="14"/>
                <w:szCs w:val="14"/>
                <w:color w:val="auto"/>
              </w:rPr>
              <w:t>1,570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87"/>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 repurchases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(221,428)</w:t>
            </w:r>
          </w:p>
        </w:tc>
        <w:tc>
          <w:tcPr>
            <w:tcW w:w="0" w:type="dxa"/>
            <w:vAlign w:val="bottom"/>
          </w:tcPr>
          <w:p>
            <w:pPr>
              <w:spacing w:after="0"/>
              <w:rPr>
                <w:sz w:val="1"/>
                <w:szCs w:val="1"/>
                <w:color w:val="auto"/>
              </w:rPr>
            </w:pPr>
          </w:p>
        </w:tc>
      </w:tr>
      <w:tr>
        <w:trPr>
          <w:trHeight w:val="197"/>
        </w:trPr>
        <w:tc>
          <w:tcPr>
            <w:tcW w:w="7060" w:type="dxa"/>
            <w:vAlign w:val="bottom"/>
          </w:tcPr>
          <w:p>
            <w:pPr>
              <w:ind w:left="100"/>
              <w:spacing w:after="0"/>
              <w:rPr>
                <w:sz w:val="20"/>
                <w:szCs w:val="20"/>
                <w:color w:val="auto"/>
              </w:rPr>
            </w:pPr>
            <w:r>
              <w:rPr>
                <w:rFonts w:ascii="Arial" w:cs="Arial" w:eastAsia="Arial" w:hAnsi="Arial"/>
                <w:sz w:val="14"/>
                <w:szCs w:val="14"/>
                <w:color w:val="auto"/>
              </w:rPr>
              <w:t>Redemption of noncontrolling interests</w:t>
            </w:r>
          </w:p>
        </w:tc>
        <w:tc>
          <w:tcPr>
            <w:tcW w:w="260" w:type="dxa"/>
            <w:vAlign w:val="bottom"/>
          </w:tcPr>
          <w:p>
            <w:pPr>
              <w:spacing w:after="0"/>
              <w:rPr>
                <w:sz w:val="17"/>
                <w:szCs w:val="17"/>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from noncontrolling interests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7"/>
        </w:trPr>
        <w:tc>
          <w:tcPr>
            <w:tcW w:w="7060" w:type="dxa"/>
            <w:vAlign w:val="bottom"/>
          </w:tcPr>
          <w:p>
            <w:pPr>
              <w:ind w:left="100"/>
              <w:spacing w:after="0"/>
              <w:rPr>
                <w:sz w:val="20"/>
                <w:szCs w:val="20"/>
                <w:color w:val="auto"/>
              </w:rPr>
            </w:pPr>
            <w:r>
              <w:rPr>
                <w:rFonts w:ascii="Arial" w:cs="Arial" w:eastAsia="Arial" w:hAnsi="Arial"/>
                <w:sz w:val="14"/>
                <w:szCs w:val="14"/>
                <w:color w:val="auto"/>
              </w:rPr>
              <w:t>Dividends and distributions</w:t>
            </w:r>
          </w:p>
        </w:tc>
        <w:tc>
          <w:tcPr>
            <w:tcW w:w="260" w:type="dxa"/>
            <w:vAlign w:val="bottom"/>
          </w:tcPr>
          <w:p>
            <w:pPr>
              <w:spacing w:after="0"/>
              <w:rPr>
                <w:sz w:val="17"/>
                <w:szCs w:val="17"/>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(474,534)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(453,634)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(443,839)</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to co-venture partner</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(103,752)</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(278,216)</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(514,438)</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(566,269)</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(35,085)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6,196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97"/>
        </w:trPr>
        <w:tc>
          <w:tcPr>
            <w:tcW w:w="7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at beginning of year</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149,301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143,105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143,997</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year</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114,216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149,301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143,105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payments for interest, net of amounts capitalized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210,026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192,254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168,493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Accrued development costs included in accounts payable and accrued expenses and other accrued liabilities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32,452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50,006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43,726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60" w:type="dxa"/>
            <w:vAlign w:val="bottom"/>
          </w:tcPr>
          <w:p>
            <w:pPr>
              <w:ind w:left="100"/>
              <w:spacing w:after="0" w:line="149" w:lineRule="exact"/>
              <w:rPr>
                <w:sz w:val="20"/>
                <w:szCs w:val="20"/>
                <w:color w:val="auto"/>
              </w:rPr>
            </w:pPr>
            <w:r>
              <w:rPr>
                <w:rFonts w:ascii="Arial" w:cs="Arial" w:eastAsia="Arial" w:hAnsi="Arial"/>
                <w:sz w:val="14"/>
                <w:szCs w:val="14"/>
                <w:color w:val="auto"/>
              </w:rPr>
              <w:t>Conversion of Operating Partnership Units to common stock</w:t>
            </w:r>
          </w:p>
        </w:tc>
        <w:tc>
          <w:tcPr>
            <w:tcW w:w="2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4"/>
                <w:szCs w:val="14"/>
                <w:color w:val="auto"/>
              </w:rPr>
              <w:t>1,005</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4"/>
                <w:szCs w:val="14"/>
                <w:color w:val="auto"/>
              </w:rPr>
              <w:t>16,797</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Lease liabilities recorded in connection with right-of-use assets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6"/>
                <w:szCs w:val="16"/>
                <w:color w:val="auto"/>
              </w:rPr>
              <w:t>109,299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60" w:type="dxa"/>
            <w:vAlign w:val="bottom"/>
          </w:tcPr>
          <w:p>
            <w:pPr>
              <w:ind w:left="100"/>
              <w:spacing w:after="0" w:line="149" w:lineRule="exact"/>
              <w:rPr>
                <w:sz w:val="20"/>
                <w:szCs w:val="20"/>
                <w:color w:val="auto"/>
              </w:rPr>
            </w:pPr>
            <w:r>
              <w:rPr>
                <w:rFonts w:ascii="Arial" w:cs="Arial" w:eastAsia="Arial" w:hAnsi="Arial"/>
                <w:sz w:val="14"/>
                <w:szCs w:val="14"/>
                <w:color w:val="auto"/>
              </w:rPr>
              <w:t>Mortgage notes payable assumed by buyer in exchange for investment in unconsolidated joint venture</w:t>
            </w:r>
          </w:p>
        </w:tc>
        <w:tc>
          <w:tcPr>
            <w:tcW w:w="26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67"/>
              <w:spacing w:after="0" w:line="149" w:lineRule="exact"/>
              <w:rPr>
                <w:sz w:val="20"/>
                <w:szCs w:val="20"/>
                <w:color w:val="auto"/>
              </w:rPr>
            </w:pPr>
            <w:r>
              <w:rPr>
                <w:rFonts w:ascii="Arial" w:cs="Arial" w:eastAsia="Arial" w:hAnsi="Arial"/>
                <w:sz w:val="14"/>
                <w:szCs w:val="14"/>
                <w:color w:val="auto"/>
              </w:rPr>
              <w:t>139,249</w:t>
            </w:r>
          </w:p>
        </w:tc>
        <w:tc>
          <w:tcPr>
            <w:tcW w:w="120" w:type="dxa"/>
            <w:vAlign w:val="bottom"/>
          </w:tcPr>
          <w:p>
            <w:pPr>
              <w:spacing w:after="0"/>
              <w:rPr>
                <w:sz w:val="13"/>
                <w:szCs w:val="13"/>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7"/>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Disposition of property in exchange for investments in unconsolidated joint ventures</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25,177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500" w:top="1040" w:right="4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48"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103" w:lineRule="exact"/>
        <w:rPr>
          <w:sz w:val="20"/>
          <w:szCs w:val="20"/>
          <w:color w:val="auto"/>
        </w:rPr>
      </w:pPr>
    </w:p>
    <w:p>
      <w:pPr>
        <w:ind w:right="160" w:firstLine="446"/>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December 31, 2019,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98" w:lineRule="exact"/>
        <w:rPr>
          <w:sz w:val="20"/>
          <w:szCs w:val="20"/>
          <w:color w:val="auto"/>
        </w:rPr>
      </w:pPr>
    </w:p>
    <w:p>
      <w:pPr>
        <w:ind w:right="80" w:firstLine="446"/>
        <w:spacing w:after="0" w:line="273" w:lineRule="auto"/>
        <w:rPr>
          <w:sz w:val="20"/>
          <w:szCs w:val="20"/>
          <w:color w:val="auto"/>
        </w:rPr>
      </w:pPr>
      <w:r>
        <w:rPr>
          <w:rFonts w:ascii="Arial" w:cs="Arial" w:eastAsia="Arial" w:hAnsi="Arial"/>
          <w:sz w:val="17"/>
          <w:szCs w:val="17"/>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93" w:lineRule="exact"/>
        <w:rPr>
          <w:sz w:val="20"/>
          <w:szCs w:val="20"/>
          <w:color w:val="auto"/>
        </w:rPr>
      </w:pPr>
    </w:p>
    <w:p>
      <w:pPr>
        <w:ind w:left="460" w:right="7780" w:hanging="452"/>
        <w:spacing w:after="0" w:line="425" w:lineRule="auto"/>
        <w:tabs>
          <w:tab w:leader="none" w:pos="19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ind w:firstLine="446"/>
        <w:spacing w:after="0" w:line="277" w:lineRule="auto"/>
        <w:rPr>
          <w:sz w:val="20"/>
          <w:szCs w:val="20"/>
          <w:color w:val="auto"/>
        </w:rPr>
      </w:pPr>
      <w:r>
        <w:rPr>
          <w:rFonts w:ascii="Arial" w:cs="Arial" w:eastAsia="Arial" w:hAnsi="Arial"/>
          <w:sz w:val="18"/>
          <w:szCs w:val="18"/>
          <w:color w:val="auto"/>
        </w:rPr>
        <w:t>These consolidated financial statements have been prepared in accordance with generally accepted accounting principles ("GAAP") in the United States of America.</w:t>
      </w:r>
    </w:p>
    <w:p>
      <w:pPr>
        <w:spacing w:after="0" w:line="89" w:lineRule="exact"/>
        <w:rPr>
          <w:sz w:val="20"/>
          <w:szCs w:val="20"/>
          <w:color w:val="auto"/>
        </w:rPr>
      </w:pPr>
    </w:p>
    <w:p>
      <w:pPr>
        <w:ind w:right="220" w:firstLine="446"/>
        <w:spacing w:after="0" w:line="276" w:lineRule="auto"/>
        <w:rPr>
          <w:sz w:val="20"/>
          <w:szCs w:val="20"/>
          <w:color w:val="auto"/>
        </w:rPr>
      </w:pPr>
      <w:r>
        <w:rPr>
          <w:rFonts w:ascii="Arial" w:cs="Arial" w:eastAsia="Arial" w:hAnsi="Arial"/>
          <w:sz w:val="17"/>
          <w:szCs w:val="17"/>
          <w:color w:val="auto"/>
        </w:rPr>
        <w:t>The accompanying consolidated financial statements include the accounts of the Company. Investments in entities in which the Company has a controlling financial interest or entities that meet the definition of a variable interest entity ("VIE")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105" w:lineRule="exact"/>
        <w:rPr>
          <w:sz w:val="20"/>
          <w:szCs w:val="20"/>
          <w:color w:val="auto"/>
        </w:rPr>
      </w:pPr>
    </w:p>
    <w:p>
      <w:pPr>
        <w:jc w:val="both"/>
        <w:ind w:right="620" w:firstLine="446"/>
        <w:spacing w:after="0" w:line="342" w:lineRule="auto"/>
        <w:rPr>
          <w:sz w:val="20"/>
          <w:szCs w:val="20"/>
          <w:color w:val="auto"/>
        </w:rPr>
      </w:pPr>
      <w:r>
        <w:rPr>
          <w:rFonts w:ascii="Arial" w:cs="Arial" w:eastAsia="Arial" w:hAnsi="Arial"/>
          <w:sz w:val="16"/>
          <w:szCs w:val="16"/>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Partnership's VIEs included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Property,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254,071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263,511</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30,049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23,001</w:t>
            </w:r>
          </w:p>
        </w:tc>
      </w:tr>
      <w:tr>
        <w:trPr>
          <w:trHeight w:val="264"/>
        </w:trPr>
        <w:tc>
          <w:tcPr>
            <w:tcW w:w="79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284,120</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286,512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Mortgage notes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219,140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125,273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32,101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32,503</w:t>
            </w:r>
          </w:p>
        </w:tc>
      </w:tr>
      <w:tr>
        <w:trPr>
          <w:trHeight w:val="264"/>
        </w:trPr>
        <w:tc>
          <w:tcPr>
            <w:tcW w:w="798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251,241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157,776</w:t>
            </w:r>
          </w:p>
        </w:tc>
      </w:tr>
      <w:tr>
        <w:trPr>
          <w:trHeight w:val="21"/>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reconciliation of the beginning of period and end of period cash, cash equivalents and restricted cash reported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to the totals shown on its consolidated statements of cash flows:</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b w:val="1"/>
                <w:bCs w:val="1"/>
                <w:color w:val="auto"/>
              </w:rPr>
              <w:t>Beginning of period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102,711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94,046</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46,590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52,067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49,951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149,301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143,105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143,997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End of period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102,711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91,038</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46,590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52,067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114,216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149,301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143,105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and Cash Equivalents and Restricted Cash:</w:t>
      </w:r>
    </w:p>
    <w:p>
      <w:pPr>
        <w:spacing w:after="0" w:line="158" w:lineRule="exact"/>
        <w:rPr>
          <w:sz w:val="20"/>
          <w:szCs w:val="20"/>
          <w:color w:val="auto"/>
        </w:rPr>
      </w:pPr>
    </w:p>
    <w:p>
      <w:pPr>
        <w:ind w:firstLine="446"/>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and other agreements.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Leasing revenue includes minimum rents, percentage rents, tenant recoveries and other leasing income. Minimum rental revenues are recognized on a straight-line basis over the terms of the related leases. The difference between the amount of rent due in a year and the amount recorded as rental income is referred to as the "straight-line rent adjustment." Minimum rents were increased by $10,533, $11,755 and $8,597 due to the straight-line rent adjustment during the years ended December 31, 2019, 2018 and 2017, respectively.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110"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 of the gross monthly rental revenue of the properties managed.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w:t>
      </w:r>
    </w:p>
    <w:p>
      <w:pPr>
        <w:spacing w:after="0" w:line="158" w:lineRule="exact"/>
        <w:rPr>
          <w:sz w:val="20"/>
          <w:szCs w:val="20"/>
          <w:color w:val="auto"/>
        </w:rPr>
      </w:pPr>
    </w:p>
    <w:p>
      <w:pPr>
        <w:ind w:right="540" w:firstLine="446"/>
        <w:spacing w:after="0" w:line="264"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useful lives of the assets as follows:</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 years</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Tenant improvements</w:t>
            </w:r>
          </w:p>
        </w:tc>
        <w:tc>
          <w:tcPr>
            <w:tcW w:w="3040" w:type="dxa"/>
            <w:vAlign w:val="bottom"/>
          </w:tcPr>
          <w:p>
            <w:pPr>
              <w:jc w:val="right"/>
              <w:spacing w:after="0"/>
              <w:rPr>
                <w:sz w:val="20"/>
                <w:szCs w:val="20"/>
                <w:color w:val="auto"/>
              </w:rPr>
            </w:pPr>
            <w:r>
              <w:rPr>
                <w:rFonts w:ascii="Arial" w:cs="Arial" w:eastAsia="Arial" w:hAnsi="Arial"/>
                <w:sz w:val="18"/>
                <w:szCs w:val="18"/>
                <w:color w:val="auto"/>
              </w:rPr>
              <w:t>5</w:t>
            </w:r>
          </w:p>
        </w:tc>
        <w:tc>
          <w:tcPr>
            <w:tcW w:w="132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7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bl>
    <w:p>
      <w:pPr>
        <w:spacing w:after="0" w:line="200" w:lineRule="exact"/>
        <w:rPr>
          <w:sz w:val="20"/>
          <w:szCs w:val="20"/>
          <w:color w:val="auto"/>
        </w:rPr>
      </w:pPr>
    </w:p>
    <w:p>
      <w:pPr>
        <w:sectPr>
          <w:pgSz w:w="11900" w:h="16838" w:orient="portrait"/>
          <w:cols w:equalWidth="0" w:num="1">
            <w:col w:w="11340"/>
          </w:cols>
          <w:pgMar w:left="240" w:top="274" w:right="31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Capitalization of Costs:</w:t>
      </w:r>
    </w:p>
    <w:p>
      <w:pPr>
        <w:spacing w:after="0" w:line="158" w:lineRule="exact"/>
        <w:rPr>
          <w:sz w:val="20"/>
          <w:szCs w:val="20"/>
          <w:color w:val="auto"/>
        </w:rPr>
      </w:pPr>
    </w:p>
    <w:p>
      <w:pPr>
        <w:ind w:right="80" w:firstLine="446"/>
        <w:spacing w:after="0" w:line="288" w:lineRule="auto"/>
        <w:rPr>
          <w:sz w:val="20"/>
          <w:szCs w:val="20"/>
          <w:color w:val="auto"/>
        </w:rPr>
      </w:pPr>
      <w:r>
        <w:rPr>
          <w:rFonts w:ascii="Arial" w:cs="Arial" w:eastAsia="Arial" w:hAnsi="Arial"/>
          <w:sz w:val="16"/>
          <w:szCs w:val="16"/>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in Unconsolidated Joint Ventures:</w:t>
      </w:r>
    </w:p>
    <w:p>
      <w:pPr>
        <w:spacing w:after="0" w:line="144"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The Company accounts for its investments in joint ventures using the equity method of accounting unless the Company has a controlling financial interest in the joint venture or the joint venture meets the definition of a variable interest entity in which the Company is the primary beneficiary through both its power to direct activities that most significantly impact the economic performance of the variable interest entity and the obligation to absorb losses or the right to receive benefits that could potentially be significant to the variable interest entity. Although the Company has a greater than 50% interest in Corte Madera Village, LLC, Macerich HHF Centers LLC, New River Associates LLC and Pacific Premier Retail LLC,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110" w:lineRule="exact"/>
        <w:rPr>
          <w:sz w:val="20"/>
          <w:szCs w:val="20"/>
          <w:color w:val="auto"/>
        </w:rPr>
      </w:pPr>
    </w:p>
    <w:p>
      <w:pPr>
        <w:ind w:right="200" w:firstLine="446"/>
        <w:spacing w:after="0" w:line="276" w:lineRule="auto"/>
        <w:rPr>
          <w:sz w:val="20"/>
          <w:szCs w:val="20"/>
          <w:color w:val="auto"/>
        </w:rPr>
      </w:pPr>
      <w:r>
        <w:rPr>
          <w:rFonts w:ascii="Arial" w:cs="Arial" w:eastAsia="Arial" w:hAnsi="Arial"/>
          <w:sz w:val="17"/>
          <w:szCs w:val="17"/>
          <w:color w:val="auto"/>
        </w:rPr>
        <w:t>Equity method investments are initially recorded on the balance sheet at cost and are subsequently adjusted to reflect the Company’s proportionate share of net earnings and losses, distributions received, additional contributions and certain other adjustments, as appropriate.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w:t>
      </w:r>
    </w:p>
    <w:p>
      <w:pPr>
        <w:spacing w:after="0" w:line="144"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 (Continued)</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91" w:lineRule="exact"/>
        <w:rPr>
          <w:sz w:val="20"/>
          <w:szCs w:val="20"/>
          <w:color w:val="auto"/>
        </w:rPr>
      </w:pPr>
    </w:p>
    <w:p>
      <w:pPr>
        <w:ind w:right="840" w:firstLine="446"/>
        <w:spacing w:after="0" w:line="277" w:lineRule="auto"/>
        <w:rPr>
          <w:sz w:val="20"/>
          <w:szCs w:val="20"/>
          <w:color w:val="auto"/>
        </w:rPr>
      </w:pPr>
      <w:r>
        <w:rPr>
          <w:rFonts w:ascii="Arial" w:cs="Arial" w:eastAsia="Arial" w:hAnsi="Arial"/>
          <w:sz w:val="18"/>
          <w:szCs w:val="18"/>
          <w:color w:val="auto"/>
        </w:rPr>
        <w:t>The Company immediately expenses costs associated with business combinations as period costs and capitalizes costs associated with asset acquisitions.</w:t>
      </w:r>
    </w:p>
    <w:p>
      <w:pPr>
        <w:spacing w:after="0" w:line="8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Charges:</w:t>
      </w:r>
    </w:p>
    <w:p>
      <w:pPr>
        <w:spacing w:after="0" w:line="158"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range of the terms of the agreements is as follows:</w:t>
      </w:r>
    </w:p>
    <w:p>
      <w:pPr>
        <w:spacing w:after="0" w:line="199"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leasing costs</w:t>
            </w:r>
          </w:p>
        </w:tc>
        <w:tc>
          <w:tcPr>
            <w:tcW w:w="450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1 - 15 years</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500" w:type="dxa"/>
            <w:vAlign w:val="bottom"/>
          </w:tcPr>
          <w:p>
            <w:pPr>
              <w:ind w:left="3080"/>
              <w:spacing w:after="0"/>
              <w:rPr>
                <w:sz w:val="20"/>
                <w:szCs w:val="20"/>
                <w:color w:val="auto"/>
              </w:rPr>
            </w:pPr>
            <w:r>
              <w:rPr>
                <w:rFonts w:ascii="Arial" w:cs="Arial" w:eastAsia="Arial" w:hAnsi="Arial"/>
                <w:sz w:val="18"/>
                <w:szCs w:val="18"/>
                <w:color w:val="auto"/>
              </w:rPr>
              <w:t>1 - 15 years</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for Impairment:</w:t>
      </w:r>
    </w:p>
    <w:p>
      <w:pPr>
        <w:spacing w:after="0" w:line="144"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110" w:lineRule="exact"/>
        <w:rPr>
          <w:sz w:val="20"/>
          <w:szCs w:val="20"/>
          <w:color w:val="auto"/>
        </w:rPr>
      </w:pPr>
    </w:p>
    <w:p>
      <w:pPr>
        <w:jc w:val="both"/>
        <w:ind w:right="580" w:firstLine="446"/>
        <w:spacing w:after="0" w:line="286" w:lineRule="auto"/>
        <w:rPr>
          <w:sz w:val="20"/>
          <w:szCs w:val="20"/>
          <w:color w:val="auto"/>
        </w:rPr>
      </w:pPr>
      <w:r>
        <w:rPr>
          <w:rFonts w:ascii="Arial" w:cs="Arial" w:eastAsia="Arial" w:hAnsi="Arial"/>
          <w:sz w:val="17"/>
          <w:szCs w:val="17"/>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and Unit-based Compensation Plans:</w:t>
      </w:r>
    </w:p>
    <w:p>
      <w:pPr>
        <w:spacing w:after="0" w:line="144"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5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paid (received) as a result of interest rate agreements are recorded as an addition (reduction) to (of) interest expense.</w:t>
      </w:r>
    </w:p>
    <w:p>
      <w:pPr>
        <w:spacing w:after="0" w:line="144"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any derivative instrument used for risk management does not meet the hedging criteria, it is marked-to-market each period with the change in value included in the consolidated statements of operations.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97"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114"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 Information:</w:t>
      </w:r>
    </w:p>
    <w:p>
      <w:pPr>
        <w:spacing w:after="0" w:line="144" w:lineRule="exact"/>
        <w:rPr>
          <w:sz w:val="20"/>
          <w:szCs w:val="20"/>
          <w:color w:val="auto"/>
        </w:rPr>
      </w:pPr>
    </w:p>
    <w:p>
      <w:pPr>
        <w:ind w:right="580" w:firstLine="446"/>
        <w:spacing w:after="0" w:line="308" w:lineRule="auto"/>
        <w:rPr>
          <w:sz w:val="20"/>
          <w:szCs w:val="20"/>
          <w:color w:val="auto"/>
        </w:rPr>
      </w:pPr>
      <w:r>
        <w:rPr>
          <w:rFonts w:ascii="Arial" w:cs="Arial" w:eastAsia="Arial" w:hAnsi="Arial"/>
          <w:sz w:val="17"/>
          <w:szCs w:val="17"/>
          <w:color w:val="auto"/>
        </w:rPr>
        <w:t>The Company currently operates in one business segment, the acquisition, ownership, development, redevelopment, management and leasing of regional and community shopping centers. Additionally, the Company operates in one geographic area,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03"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5"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14"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 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22" w:lineRule="exact"/>
        <w:rPr>
          <w:sz w:val="20"/>
          <w:szCs w:val="20"/>
          <w:color w:val="auto"/>
        </w:rPr>
      </w:pPr>
    </w:p>
    <w:p>
      <w:pPr>
        <w:ind w:right="300" w:firstLine="446"/>
        <w:spacing w:after="0" w:line="302" w:lineRule="auto"/>
        <w:rPr>
          <w:sz w:val="20"/>
          <w:szCs w:val="20"/>
          <w:color w:val="auto"/>
        </w:rPr>
      </w:pPr>
      <w:r>
        <w:rPr>
          <w:rFonts w:ascii="Arial" w:cs="Arial" w:eastAsia="Arial" w:hAnsi="Arial"/>
          <w:sz w:val="16"/>
          <w:szCs w:val="16"/>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 of Risk:</w:t>
      </w:r>
    </w:p>
    <w:p>
      <w:pPr>
        <w:spacing w:after="0" w:line="158" w:lineRule="exact"/>
        <w:rPr>
          <w:sz w:val="20"/>
          <w:szCs w:val="20"/>
          <w:color w:val="auto"/>
        </w:rPr>
      </w:pPr>
    </w:p>
    <w:p>
      <w:pPr>
        <w:ind w:right="140" w:firstLine="446"/>
        <w:spacing w:after="0" w:line="308" w:lineRule="auto"/>
        <w:rPr>
          <w:sz w:val="20"/>
          <w:szCs w:val="20"/>
          <w:color w:val="auto"/>
        </w:rPr>
      </w:pPr>
      <w:r>
        <w:rPr>
          <w:rFonts w:ascii="Arial" w:cs="Arial" w:eastAsia="Arial" w:hAnsi="Arial"/>
          <w:sz w:val="17"/>
          <w:szCs w:val="17"/>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Center or tenant generated more than 10% of total revenues during the years ended December 31, 2019, 2018 or 2017.</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Estimates:</w:t>
      </w:r>
    </w:p>
    <w:p>
      <w:pPr>
        <w:spacing w:after="0" w:line="158"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Shareholder Activism Costs:</w:t>
      </w:r>
    </w:p>
    <w:p>
      <w:pPr>
        <w:spacing w:after="0" w:line="144"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During the year ended December 31, 2018, the Company incurred $19,369 in costs associated with activities related to shareholder activism. These costs were primarily for legal and advisory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15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(ASC 606)," which outlines a comprehensive model for entities to use in accounting for revenue arising from contracts with customers. The standard states that “an entity recognizes revenue to depict the transfer of promised goods or services to customers in an amount that reflects the consideration to which the entity expects to be entitled in exchange for those goods or services.” While the standard specifically references contracts with customers, it may apply to certain other transactions such as the sale of real estate or equipment. The standard applies to the Company's recognition of management companies and other revenues. The Company's adoption of the standard on January 1, 2018 did not have an impact on the pattern of revenue recognition for management companies and other revenues.</w:t>
      </w:r>
    </w:p>
    <w:p>
      <w:pPr>
        <w:spacing w:after="0" w:line="122"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Additionally, under ASC 606, the Company changed its accounting for its joint venture in Chandler Freehold from a co-venture arrangement to a financing arrangement (See Note 12—Financing Arrangement). Upon adoption of the standard on January 1, 2018, the Company replaced its $31,150 distributions in excess of co-venture obligation with a financing arrangement obligation of $393,709 on its consolidated balance sheets. This resulted in the recognition of a $424,859 increase in the Company’s accumulated deficit as a cumulative effect adjustment under the modified retrospective method of adoption.</w:t>
      </w:r>
    </w:p>
    <w:p>
      <w:pPr>
        <w:spacing w:after="0" w:line="10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111" w:lineRule="exact"/>
        <w:rPr>
          <w:sz w:val="20"/>
          <w:szCs w:val="20"/>
          <w:color w:val="auto"/>
        </w:rPr>
      </w:pPr>
    </w:p>
    <w:p>
      <w:pPr>
        <w:ind w:right="220" w:firstLine="446"/>
        <w:spacing w:after="0" w:line="297" w:lineRule="auto"/>
        <w:rPr>
          <w:sz w:val="20"/>
          <w:szCs w:val="20"/>
          <w:color w:val="auto"/>
        </w:rPr>
      </w:pPr>
      <w:r>
        <w:rPr>
          <w:rFonts w:ascii="Arial" w:cs="Arial" w:eastAsia="Arial" w:hAnsi="Arial"/>
          <w:sz w:val="16"/>
          <w:szCs w:val="16"/>
          <w:color w:val="auto"/>
        </w:rPr>
        <w:t>The new standard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$2,203 upon adoption for the write off of straight-line rent receivables of tenants that were in litigation or bankruptcy. The standard also requires that the provision for bad debts relating to leases be presented as a reduction of leasing revenue. For the years ended December 31, 2018 and 2017, the provision for bad debts is included in shopping center and operating expenses.</w:t>
      </w:r>
    </w:p>
    <w:p>
      <w:pPr>
        <w:spacing w:after="0" w:line="91" w:lineRule="exact"/>
        <w:rPr>
          <w:sz w:val="20"/>
          <w:szCs w:val="20"/>
          <w:color w:val="auto"/>
        </w:rPr>
      </w:pPr>
    </w:p>
    <w:p>
      <w:pPr>
        <w:ind w:right="80" w:firstLine="446"/>
        <w:spacing w:after="0" w:line="289" w:lineRule="auto"/>
        <w:rPr>
          <w:sz w:val="20"/>
          <w:szCs w:val="20"/>
          <w:color w:val="auto"/>
        </w:rPr>
      </w:pPr>
      <w:r>
        <w:rPr>
          <w:rFonts w:ascii="Arial" w:cs="Arial" w:eastAsia="Arial" w:hAnsi="Arial"/>
          <w:sz w:val="16"/>
          <w:szCs w:val="16"/>
          <w:color w:val="auto"/>
        </w:rPr>
        <w:t>The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expenses that were included in management companies' operating expenses to leasing expenses for the years ended December 31, 2018 and 2017, to conform to the presentation for the year ended December 31, 2019. Upon the adoption of the new standard, the Company elected the practical expedient to not separate non-lease components, most significantly certain common area maintenance recoveries, from the associated lease components, resulting in the Company presenting all revenues associated with leases as leasing revenue on its consolidated statements of operations. For comparison purposes, the Company has reclassified minimum rents, percentage rents, tenant recoveries and other leasing income to leasing revenue for the years ended December 31, 2018 and 2017, to conform to the presentation for the year ended December 31, 2019.</w:t>
      </w:r>
    </w:p>
    <w:p>
      <w:pPr>
        <w:spacing w:after="0" w:line="86"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The standard requires lessees to classify its leases as either finance or operating leases. The lessee records a right-of-use ("ROU") asset and a lease liability for all leases with a term of greater than twelve months, regardless of their lease classification. Upon adoption, the Company recognized initial ROU assets and corresponding lease liabilities of $109,299, representing the discounted value of future lease payments required for leases classified as operating leases. In addition, the Company reclassified $59,736 from deferred charges and other assets, net, $5,978 from accounts payable and accrued expenses and $4,342 from other accrued liabilities, relating to existing intangible assets and straight-line rent liabilities. The Company's lease liabilities were increased at adoption by $15,268 for lease liabilities associated with finance leases that were previously included in other accrued liabilities. See Note 8—Leases, for further disclosure on the Company's adoption of the new standard.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(Continued)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August 2017, the FASB issued ASU 2017-12, “Targeted Improvements to Accounting for Hedging Activities,” which aims to (i) improve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transparency and understandability of information conveyed to financial statement users about an entity’s risk management activities by better aligning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entity’s financial reporting for hedging relationships with those risk management activities and (ii) reduce the complexity of and simplify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hedge accounting by preparers. The standard is effective for the Company beginning January 1, 2019. The Company's adoption of this standard did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a significant impact on its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48" w:lineRule="exact"/>
        <w:rPr>
          <w:sz w:val="20"/>
          <w:szCs w:val="20"/>
          <w:color w:val="auto"/>
        </w:rPr>
      </w:pPr>
    </w:p>
    <w:p>
      <w:pPr>
        <w:ind w:left="260" w:right="360" w:firstLine="405"/>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earnings per share for the years ended December 31 (shares in thousands):</w:t>
      </w:r>
    </w:p>
    <w:p>
      <w:pPr>
        <w:spacing w:after="0" w:line="14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102,554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68,972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161,673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96,820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60,020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146,130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Allocation of earnings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156"/>
        </w:trPr>
        <w:tc>
          <w:tcPr>
            <w:tcW w:w="6300" w:type="dxa"/>
            <w:vAlign w:val="bottom"/>
          </w:tcPr>
          <w:p>
            <w:pPr>
              <w:spacing w:after="0" w:line="156" w:lineRule="exact"/>
              <w:rPr>
                <w:sz w:val="20"/>
                <w:szCs w:val="20"/>
                <w:color w:val="auto"/>
              </w:rPr>
            </w:pPr>
            <w:r>
              <w:rPr>
                <w:rFonts w:ascii="Arial" w:cs="Arial" w:eastAsia="Arial" w:hAnsi="Arial"/>
                <w:sz w:val="18"/>
                <w:szCs w:val="18"/>
                <w:color w:val="auto"/>
              </w:rPr>
              <w:t>Numerator for basic and diluted EPS—net income attributable to common</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95,630</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58,914</w:t>
            </w:r>
          </w:p>
        </w:tc>
        <w:tc>
          <w:tcPr>
            <w:tcW w:w="10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145,373</w:t>
            </w:r>
          </w:p>
        </w:tc>
        <w:tc>
          <w:tcPr>
            <w:tcW w:w="0" w:type="dxa"/>
            <w:vAlign w:val="bottom"/>
          </w:tcPr>
          <w:p>
            <w:pPr>
              <w:spacing w:after="0"/>
              <w:rPr>
                <w:sz w:val="1"/>
                <w:szCs w:val="1"/>
                <w:color w:val="auto"/>
              </w:rPr>
            </w:pPr>
          </w:p>
        </w:tc>
      </w:tr>
      <w:tr>
        <w:trPr>
          <w:trHeight w:val="208"/>
        </w:trPr>
        <w:tc>
          <w:tcPr>
            <w:tcW w:w="6300" w:type="dxa"/>
            <w:vAlign w:val="bottom"/>
          </w:tcPr>
          <w:p>
            <w:pPr>
              <w:ind w:left="100"/>
              <w:spacing w:after="0" w:line="202" w:lineRule="exact"/>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w w:val="90"/>
              </w:rPr>
              <w:t>Denominator for basic EPS—weighted average number of common shares outstanding</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141,340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141,142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141,877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(1)</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60"/>
          </w:cols>
          <w:pgMar w:left="240" w:top="274" w:right="399" w:bottom="1440" w:gutter="0" w:footer="0" w:header="0"/>
        </w:sectPr>
      </w:pPr>
    </w:p>
    <w:p>
      <w:pPr>
        <w:ind w:left="400"/>
        <w:spacing w:after="0"/>
        <w:rPr>
          <w:sz w:val="20"/>
          <w:szCs w:val="20"/>
          <w:color w:val="auto"/>
        </w:rPr>
      </w:pPr>
      <w:r>
        <w:rPr>
          <w:rFonts w:ascii="Arial" w:cs="Arial" w:eastAsia="Arial" w:hAnsi="Arial"/>
          <w:sz w:val="18"/>
          <w:szCs w:val="18"/>
          <w:color w:val="auto"/>
        </w:rPr>
        <w:t>Share and unit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31750</wp:posOffset>
            </wp:positionV>
            <wp:extent cx="6431915"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1915" cy="308610"/>
                    </a:xfrm>
                    <a:prstGeom prst="rect">
                      <a:avLst/>
                    </a:prstGeom>
                    <a:noFill/>
                  </pic:spPr>
                </pic:pic>
              </a:graphicData>
            </a:graphic>
          </wp:anchor>
        </w:drawing>
      </w:r>
    </w:p>
    <w:p>
      <w:pPr>
        <w:spacing w:after="0" w:line="43" w:lineRule="exact"/>
        <w:rPr>
          <w:sz w:val="20"/>
          <w:szCs w:val="20"/>
          <w:color w:val="auto"/>
        </w:rPr>
      </w:pPr>
    </w:p>
    <w:p>
      <w:pPr>
        <w:ind w:left="260" w:right="60"/>
        <w:spacing w:after="0" w:line="277" w:lineRule="auto"/>
        <w:rPr>
          <w:sz w:val="20"/>
          <w:szCs w:val="20"/>
          <w:color w:val="auto"/>
        </w:rPr>
      </w:pPr>
      <w:r>
        <w:rPr>
          <w:rFonts w:ascii="Arial" w:cs="Arial" w:eastAsia="Arial" w:hAnsi="Arial"/>
          <w:sz w:val="18"/>
          <w:szCs w:val="18"/>
          <w:color w:val="auto"/>
        </w:rPr>
        <w:t>Denominator for diluted EPS—weighted average number of common shares outstanding</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EPS—net income attributable to common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left="480"/>
        <w:spacing w:after="0"/>
        <w:tabs>
          <w:tab w:leader="none" w:pos="1760" w:val="left"/>
          <w:tab w:leader="none" w:pos="3080" w:val="left"/>
        </w:tabs>
        <w:rPr>
          <w:sz w:val="20"/>
          <w:szCs w:val="20"/>
          <w:color w:val="auto"/>
        </w:rPr>
      </w:pPr>
      <w:r>
        <w:rPr>
          <w:rFonts w:ascii="Arial" w:cs="Arial" w:eastAsia="Arial" w:hAnsi="Arial"/>
          <w:sz w:val="18"/>
          <w:szCs w:val="18"/>
          <w:color w:val="auto"/>
        </w:rPr>
        <w:t>141,340</w:t>
      </w:r>
      <w:r>
        <w:rPr>
          <w:sz w:val="20"/>
          <w:szCs w:val="20"/>
          <w:color w:val="auto"/>
        </w:rPr>
        <w:tab/>
      </w:r>
      <w:r>
        <w:rPr>
          <w:rFonts w:ascii="Arial" w:cs="Arial" w:eastAsia="Arial" w:hAnsi="Arial"/>
          <w:sz w:val="18"/>
          <w:szCs w:val="18"/>
          <w:color w:val="auto"/>
        </w:rPr>
        <w:t>141,144</w:t>
      </w:r>
      <w:r>
        <w:rPr>
          <w:sz w:val="20"/>
          <w:szCs w:val="20"/>
          <w:color w:val="auto"/>
        </w:rPr>
        <w:tab/>
      </w:r>
      <w:r>
        <w:rPr>
          <w:rFonts w:ascii="Arial" w:cs="Arial" w:eastAsia="Arial" w:hAnsi="Arial"/>
          <w:sz w:val="16"/>
          <w:szCs w:val="16"/>
          <w:color w:val="auto"/>
        </w:rPr>
        <w:t>141,913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24269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5840" w:space="720"/>
            <w:col w:w="4700"/>
          </w:cols>
          <w:pgMar w:left="240" w:top="274" w:right="399" w:bottom="1440" w:gutter="0" w:footer="0" w:header="0"/>
          <w:type w:val="continuous"/>
        </w:sectPr>
      </w:pPr>
    </w:p>
    <w:tbl>
      <w:tblPr>
        <w:tblLayout w:type="fixed"/>
        <w:tblInd w:w="260" w:type="dxa"/>
        <w:tblCellMar>
          <w:top w:w="0" w:type="dxa"/>
          <w:left w:w="0" w:type="dxa"/>
          <w:bottom w:w="0" w:type="dxa"/>
          <w:right w:w="0" w:type="dxa"/>
        </w:tblCellMar>
      </w:tblPr>
      <w:tr>
        <w:trPr>
          <w:trHeight w:val="295"/>
        </w:trPr>
        <w:tc>
          <w:tcPr>
            <w:tcW w:w="6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w:t>
            </w:r>
          </w:p>
        </w:tc>
      </w:tr>
      <w:tr>
        <w:trPr>
          <w:trHeight w:val="21"/>
        </w:trPr>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____________________________________</w:t>
      </w:r>
    </w:p>
    <w:p>
      <w:pPr>
        <w:spacing w:after="0" w:line="159" w:lineRule="exact"/>
        <w:rPr>
          <w:sz w:val="20"/>
          <w:szCs w:val="20"/>
          <w:color w:val="auto"/>
        </w:rPr>
      </w:pPr>
    </w:p>
    <w:p>
      <w:pPr>
        <w:ind w:left="820" w:hanging="407"/>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Diluted EPS excludes 90,619 convertible preferred units for the years ended December 31, 2019, 2018 and 2017, as their impact was antidilutive.</w:t>
      </w:r>
    </w:p>
    <w:p>
      <w:pPr>
        <w:spacing w:after="0" w:line="140" w:lineRule="exact"/>
        <w:rPr>
          <w:rFonts w:ascii="Arial" w:cs="Arial" w:eastAsia="Arial" w:hAnsi="Arial"/>
          <w:sz w:val="16"/>
          <w:szCs w:val="16"/>
          <w:color w:val="auto"/>
        </w:rPr>
      </w:pPr>
    </w:p>
    <w:p>
      <w:pPr>
        <w:ind w:left="820" w:right="20"/>
        <w:spacing w:after="0" w:line="275" w:lineRule="auto"/>
        <w:rPr>
          <w:rFonts w:ascii="Arial" w:cs="Arial" w:eastAsia="Arial" w:hAnsi="Arial"/>
          <w:sz w:val="16"/>
          <w:szCs w:val="16"/>
          <w:color w:val="auto"/>
        </w:rPr>
      </w:pPr>
      <w:r>
        <w:rPr>
          <w:rFonts w:ascii="Arial" w:cs="Arial" w:eastAsia="Arial" w:hAnsi="Arial"/>
          <w:sz w:val="16"/>
          <w:szCs w:val="16"/>
          <w:color w:val="auto"/>
        </w:rPr>
        <w:t>Diluted EPS excludes 10,415,291, 10,360,390 and 10,416,321 Operating Partnership units ("OP Units") for the years ended December 31, 2019, 2018 and 2017,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162"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The following are the Company's direct or indirect investments in various unconsolidated joint ventures with third parties. The Company's direct or indirect ownership interest in each joint venture as of December 31, 2019 was as follows: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7860" w:type="dxa"/>
            <w:vAlign w:val="bottom"/>
            <w:gridSpan w:val="3"/>
          </w:tcPr>
          <w:p>
            <w:pPr>
              <w:ind w:left="20"/>
              <w:spacing w:after="0"/>
              <w:rPr>
                <w:sz w:val="20"/>
                <w:szCs w:val="20"/>
                <w:color w:val="auto"/>
              </w:rPr>
            </w:pPr>
            <w:r>
              <w:rPr>
                <w:rFonts w:ascii="Arial" w:cs="Arial" w:eastAsia="Arial" w:hAnsi="Arial"/>
                <w:sz w:val="14"/>
                <w:szCs w:val="14"/>
                <w:b w:val="1"/>
                <w:bCs w:val="1"/>
                <w:color w:val="auto"/>
              </w:rPr>
              <w:t>Joint Venture</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Ownership %(1)</w:t>
            </w:r>
          </w:p>
        </w:tc>
        <w:tc>
          <w:tcPr>
            <w:tcW w:w="20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4"/>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443 Wabash MAB LLC</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AM Tysons LLC</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Biltmore Shopping Center Partners LLC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CAM-CARSON LLC—Los Angeles Premium Outlets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Coolidge Holding LLC</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37.5 %</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Corte Madera Village, LLC</w:t>
            </w:r>
          </w:p>
        </w:tc>
        <w:tc>
          <w:tcPr>
            <w:tcW w:w="132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Country Club Plaza KC Partners LLC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Fashion District Philadelphia—Various Entities</w:t>
            </w: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Goodyear Peripheral LLC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HPP-MAC WSP, LLC—One Westside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25.0 %</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Jaren Associates #4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Kierland Commons Investment LLC</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Macerich HHF Broadway Plaza LLC—Broadway Plaza</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Macerich HHF Centers LLC—Various Properties</w:t>
            </w:r>
          </w:p>
        </w:tc>
        <w:tc>
          <w:tcPr>
            <w:tcW w:w="132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MS Portfolio LLC</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New River Associates LLC—Arrowhead Towne Center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60.0 %</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Bridge Chicago LLC</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One Scottsdale Investors LLC</w:t>
            </w: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Pacific Premier Retail LLC—Various Properties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Propcor II Associates, LLC—Boulevard Shops</w:t>
            </w: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Scottsdale Fashion Square Partnership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TM TRS Holding Company LLC</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Tysons Corner LLC</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Tysons Corner Hotel I LLC</w:t>
            </w: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Tysons Corner Property Holdings II LLC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Tysons Corner Property LLC</w:t>
            </w: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West Acres Development, LLP</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43"/>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Westcor/Surprise Auto Park LLC</w:t>
            </w:r>
          </w:p>
        </w:tc>
        <w:tc>
          <w:tcPr>
            <w:tcW w:w="132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43"/>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WMAP, L.L.C.—Atlas Park, The Shops at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1220" w:hanging="564"/>
        <w:spacing w:after="0" w:line="249" w:lineRule="auto"/>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The Company has made the following investments, dispositions and financings in unconsolidated joint ventures during the years ended December 31, 2019, 2018 and 2017:</w:t>
      </w:r>
    </w:p>
    <w:p>
      <w:pPr>
        <w:spacing w:after="0" w:line="103"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ownership interest in an office building for $78,000, resulting in a gain on sale of assets of $4,580. The Company's pro rata share of the gain on sale of assets of $2,290 was included in equity in income of unconsolidated joint ventures. The Company used its share of the proceeds to fund repurchases under the 2017 Stock Buyback Program (See Note 14—Stockholders' Equity).</w:t>
      </w:r>
    </w:p>
    <w:p>
      <w:pPr>
        <w:spacing w:after="0" w:line="79" w:lineRule="exact"/>
        <w:rPr>
          <w:sz w:val="20"/>
          <w:szCs w:val="20"/>
          <w:color w:val="auto"/>
        </w:rPr>
      </w:pPr>
    </w:p>
    <w:p>
      <w:pPr>
        <w:jc w:val="both"/>
        <w:ind w:right="360" w:firstLine="446"/>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an ownership interest in an office building for $61,500, resulting in a gain on sale of assets of $13,078. The Company's pro rata share of the gain on sale of assets of $6,539 was included in equity in income of unconsolidated joint ventures. The Company used its share of the proceeds to fund repurchases under the 2017 Stock Buyback Program (See Note 14— Stockholders' Equity).</w:t>
      </w:r>
    </w:p>
    <w:p>
      <w:pPr>
        <w:spacing w:after="0" w:line="10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On December 14, 2017, the Company’s joint venture in Westcor/Queen Creek LLC sold land for $30,491, resulting in a gain on sale of assets of</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$14,853. The Company’s share of the gain on sale was $5,436, which was included in equity in income of unconsolidated joint ventures. The Company used its portion of the proceeds to pay down its line of credit and for general corporate purposes.</w:t>
      </w:r>
    </w:p>
    <w:p>
      <w:pPr>
        <w:spacing w:after="0" w:line="116"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79"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color w:val="auto"/>
        </w:rPr>
        <w:t>On March 1, 2018, the Company formed a 25/75 joint venture with Hudson Pacific Properties, whereby the Company agreed to contribute Westside Pavilion, a 680,000 square foot regional shopping center in Los Angeles, California in exchange for $142,500. From March 1, 2018 to August 31, 2018, the Company accounted for its interest in the property as a collaborative arrangement (See Note 15—Collaborative Arrangement). On August 31, 2018, the Company completed the sale of the 75% ownership interest in the property to Hudson Pacific Properties, resulting in a gain on sale of assets of $46,242. The sales price was funded by a cash payment of $36,903 and the assumption of a pro rata share of the mortgage note payable on the property of $105,597. Concurrent with the sale of the ownership interest, the joint venture defeased the loan on the property by providing $149,175 portfolio of marketable securities as replacement collateral in lieu of the property. The Company funded its $37,294 share of the purchase price of the marketable securities portfolio with the proceeds from the sale of the ownership interest in the property. Upon completion of the sale of the ownership interest in the property, the Company has accounted for its remaining ownership interest in the property, also referred to as One Westside, under the equity method of accounting.</w:t>
      </w:r>
    </w:p>
    <w:p>
      <w:pPr>
        <w:spacing w:after="0" w:line="86"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$49,100, resulting in a gain on sale of assets of $12,598. The Company's share of the gain of $2,996 was included in equity in income from unconsolidated joint ventures. The proceeds were used to pay off the $24,118 mortgage loan payable on the property, settle development obligations and for distributions to the partners. The Company used its share of the net proceeds for general corporate purposes.</w:t>
      </w:r>
    </w:p>
    <w:p>
      <w:pPr>
        <w:spacing w:after="0" w:line="104"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stage.</w:t>
      </w:r>
    </w:p>
    <w:p>
      <w:pPr>
        <w:spacing w:after="0" w:line="114"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term loan on the joint venture to allow for additional borrowings up to $100,000 at LIBOR plus 2%. Concurrent with the amendment, the joint venture borrowed an additional $26,000. On August 16, 2019, the joint venture borrowed an additional $25,000. The Company used its share of the additional proceeds to pay down its line of credit and for general corporate purposes.</w:t>
      </w:r>
    </w:p>
    <w:p>
      <w:pPr>
        <w:spacing w:after="0" w:line="106"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On September 12, 2019, the Company’s joint venture in Tysons Tower placed a new $190,000 loan on the property that bears interest at an effective rate of 3.38% and matures on November 11, 2029. The Company used its share of the proceeds to pay down its line of credit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On December 18, 2019, the Company’s joint venture in One Westside placed a $414,600 construction loan on the redevelopment project.The loan bears interest at LIBOR plus 1.70%, which can be reduced to LIBOR plus 1.50% upon the completion of certain conditions, and matures on December 18, 2024. This loan is expected to fund the joint venture's remaining cost to complete the project.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15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Combined and Condensed Balance Sheets of Unconsolidated Joint Ventures as of December 31:</w:t>
      </w:r>
    </w:p>
    <w:p>
      <w:pPr>
        <w:spacing w:after="0" w:line="194"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00"/>
              <w:spacing w:after="0"/>
              <w:rPr>
                <w:sz w:val="20"/>
                <w:szCs w:val="20"/>
                <w:color w:val="auto"/>
              </w:rPr>
            </w:pPr>
            <w:r>
              <w:rPr>
                <w:rFonts w:ascii="Arial" w:cs="Arial" w:eastAsia="Arial" w:hAnsi="Arial"/>
                <w:sz w:val="18"/>
                <w:szCs w:val="18"/>
                <w:color w:val="auto"/>
              </w:rPr>
              <w:t>Property,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9,424,591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9,241,003</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772,116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703,861</w:t>
            </w:r>
          </w:p>
        </w:tc>
      </w:tr>
      <w:tr>
        <w:trPr>
          <w:trHeight w:val="264"/>
        </w:trPr>
        <w:tc>
          <w:tcPr>
            <w:tcW w:w="63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10,196,707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9,944,864</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and partners' capital(1):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00"/>
              <w:spacing w:after="0"/>
              <w:rPr>
                <w:sz w:val="20"/>
                <w:szCs w:val="20"/>
                <w:color w:val="auto"/>
              </w:rPr>
            </w:pPr>
            <w:r>
              <w:rPr>
                <w:rFonts w:ascii="Arial" w:cs="Arial" w:eastAsia="Arial" w:hAnsi="Arial"/>
                <w:sz w:val="18"/>
                <w:szCs w:val="18"/>
                <w:color w:val="auto"/>
              </w:rPr>
              <w:t>Mortgage and other notes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6,144,685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6,050,930</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565,412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388,509</w:t>
            </w:r>
          </w:p>
        </w:tc>
      </w:tr>
      <w:tr>
        <w:trPr>
          <w:trHeight w:val="243"/>
        </w:trPr>
        <w:tc>
          <w:tcPr>
            <w:tcW w:w="6340" w:type="dxa"/>
            <w:vAlign w:val="bottom"/>
          </w:tcPr>
          <w:p>
            <w:pPr>
              <w:ind w:left="100"/>
              <w:spacing w:after="0"/>
              <w:rPr>
                <w:sz w:val="20"/>
                <w:szCs w:val="20"/>
                <w:color w:val="auto"/>
              </w:rPr>
            </w:pPr>
            <w:r>
              <w:rPr>
                <w:rFonts w:ascii="Arial" w:cs="Arial" w:eastAsia="Arial" w:hAnsi="Arial"/>
                <w:sz w:val="18"/>
                <w:szCs w:val="18"/>
                <w:color w:val="auto"/>
              </w:rPr>
              <w:t>Company's capital</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1,904,145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1,913,475</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Outside partners' capital</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1,582,465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1,591,950</w:t>
            </w:r>
          </w:p>
        </w:tc>
      </w:tr>
      <w:tr>
        <w:trPr>
          <w:trHeight w:val="264"/>
        </w:trPr>
        <w:tc>
          <w:tcPr>
            <w:tcW w:w="6340" w:type="dxa"/>
            <w:vAlign w:val="bottom"/>
          </w:tcPr>
          <w:p>
            <w:pPr>
              <w:ind w:left="10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10,196,707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9,944,864</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unconsolidated joint ventures: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00"/>
              <w:spacing w:after="0"/>
              <w:rPr>
                <w:sz w:val="20"/>
                <w:szCs w:val="20"/>
                <w:color w:val="auto"/>
              </w:rPr>
            </w:pPr>
            <w:r>
              <w:rPr>
                <w:rFonts w:ascii="Arial" w:cs="Arial" w:eastAsia="Arial" w:hAnsi="Arial"/>
                <w:sz w:val="18"/>
                <w:szCs w:val="18"/>
                <w:color w:val="auto"/>
              </w:rPr>
              <w:t>Company's capital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1,904,145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1,913,475</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Basis adjustment(2)</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(492,350)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(535,808)</w:t>
            </w:r>
          </w:p>
        </w:tc>
      </w:tr>
      <w:tr>
        <w:trPr>
          <w:trHeight w:val="237"/>
        </w:trPr>
        <w:tc>
          <w:tcPr>
            <w:tcW w:w="63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1,411,795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1,377,667</w:t>
            </w:r>
          </w:p>
        </w:tc>
      </w:tr>
      <w:tr>
        <w:trPr>
          <w:trHeight w:val="27"/>
        </w:trPr>
        <w:tc>
          <w:tcPr>
            <w:tcW w:w="6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340" w:type="dxa"/>
            <w:vAlign w:val="bottom"/>
          </w:tcPr>
          <w:p>
            <w:pPr>
              <w:ind w:left="100"/>
              <w:spacing w:after="0"/>
              <w:rPr>
                <w:sz w:val="20"/>
                <w:szCs w:val="20"/>
                <w:color w:val="auto"/>
              </w:rPr>
            </w:pPr>
            <w:r>
              <w:rPr>
                <w:rFonts w:ascii="Arial" w:cs="Arial" w:eastAsia="Arial" w:hAnsi="Arial"/>
                <w:sz w:val="18"/>
                <w:szCs w:val="18"/>
                <w:color w:val="auto"/>
              </w:rPr>
              <w:t>Assets—Investments in unconsolidated joint ventures</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1,519,697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1,492,655</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Liabilities—Distributions in excess of investments in unconsolidated joint ventures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(114,988)</w:t>
            </w:r>
          </w:p>
        </w:tc>
      </w:tr>
      <w:tr>
        <w:trPr>
          <w:trHeight w:val="237"/>
        </w:trPr>
        <w:tc>
          <w:tcPr>
            <w:tcW w:w="63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1,411,795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1,377,667</w:t>
            </w:r>
          </w:p>
        </w:tc>
      </w:tr>
      <w:tr>
        <w:trPr>
          <w:trHeight w:val="27"/>
        </w:trPr>
        <w:tc>
          <w:tcPr>
            <w:tcW w:w="6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3" w:lineRule="exact"/>
        <w:rPr>
          <w:sz w:val="20"/>
          <w:szCs w:val="20"/>
          <w:color w:val="auto"/>
        </w:rPr>
      </w:pPr>
    </w:p>
    <w:p>
      <w:pPr>
        <w:ind w:left="580" w:right="60" w:hanging="572"/>
        <w:spacing w:after="0" w:line="275"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amounts include the assets of $2,932,401 and $3,047,851 of Pacific Premier Retail LLC (the "PPR Portfolio") as of December 31, 2019 and 2018, respectively, and liabilities of $1,732,976 and $1,859,637 of the PPR Portfolio as of December 31, 2019 and 2018, respectively.</w:t>
      </w:r>
    </w:p>
    <w:p>
      <w:pPr>
        <w:spacing w:after="0" w:line="199" w:lineRule="exact"/>
        <w:rPr>
          <w:rFonts w:ascii="Arial" w:cs="Arial" w:eastAsia="Arial" w:hAnsi="Arial"/>
          <w:sz w:val="16"/>
          <w:szCs w:val="16"/>
          <w:color w:val="auto"/>
        </w:rPr>
      </w:pPr>
    </w:p>
    <w:p>
      <w:pPr>
        <w:ind w:left="580" w:hanging="572"/>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$18,834, $12,793 and $16,562 for the years ended December 31, 2019, 2018 and 2017, respectively.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1159"/>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PPR Portfolio</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Joint</w:t>
            </w: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Ventures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Year Ended December 31, 2019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Leasing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712,860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900,649</w:t>
            </w:r>
          </w:p>
        </w:tc>
        <w:tc>
          <w:tcPr>
            <w:tcW w:w="0" w:type="dxa"/>
            <w:vAlign w:val="bottom"/>
          </w:tcPr>
          <w:p>
            <w:pPr>
              <w:spacing w:after="0"/>
              <w:rPr>
                <w:sz w:val="1"/>
                <w:szCs w:val="1"/>
                <w:color w:val="auto"/>
              </w:rPr>
            </w:pPr>
          </w:p>
        </w:tc>
      </w:tr>
      <w:tr>
        <w:trPr>
          <w:trHeight w:val="197"/>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49,184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50,782</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189,387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762,044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951,431</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Shopping center and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250,598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288,126</w:t>
            </w:r>
          </w:p>
        </w:tc>
        <w:tc>
          <w:tcPr>
            <w:tcW w:w="0" w:type="dxa"/>
            <w:vAlign w:val="bottom"/>
          </w:tcPr>
          <w:p>
            <w:pPr>
              <w:spacing w:after="0"/>
              <w:rPr>
                <w:sz w:val="1"/>
                <w:szCs w:val="1"/>
                <w:color w:val="auto"/>
              </w:rPr>
            </w:pPr>
          </w:p>
        </w:tc>
      </w:tr>
      <w:tr>
        <w:trPr>
          <w:trHeight w:val="197"/>
        </w:trPr>
        <w:tc>
          <w:tcPr>
            <w:tcW w:w="4660" w:type="dxa"/>
            <w:vAlign w:val="bottom"/>
          </w:tcPr>
          <w:p>
            <w:pPr>
              <w:ind w:left="100"/>
              <w:spacing w:after="0"/>
              <w:rPr>
                <w:sz w:val="20"/>
                <w:szCs w:val="20"/>
                <w:color w:val="auto"/>
              </w:rPr>
            </w:pPr>
            <w:r>
              <w:rPr>
                <w:rFonts w:ascii="Arial" w:cs="Arial" w:eastAsia="Arial" w:hAnsi="Arial"/>
                <w:sz w:val="14"/>
                <w:szCs w:val="14"/>
                <w:color w:val="auto"/>
              </w:rPr>
              <w:t>Leasing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6,695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8,293</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67,354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217,465</w:t>
            </w:r>
          </w:p>
        </w:tc>
        <w:tc>
          <w:tcPr>
            <w:tcW w:w="0" w:type="dxa"/>
            <w:vAlign w:val="bottom"/>
          </w:tcPr>
          <w:p>
            <w:pPr>
              <w:spacing w:after="0"/>
              <w:rPr>
                <w:sz w:val="1"/>
                <w:szCs w:val="1"/>
                <w:color w:val="auto"/>
              </w:rPr>
            </w:pPr>
          </w:p>
        </w:tc>
      </w:tr>
      <w:tr>
        <w:trPr>
          <w:trHeight w:val="197"/>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100,490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273,565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374,055</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206,970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680,969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887,939</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on sale of assets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22"/>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80,695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62,660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60" w:type="dxa"/>
            <w:vAlign w:val="bottom"/>
          </w:tcPr>
          <w:p>
            <w:pPr>
              <w:spacing w:after="0"/>
              <w:rPr>
                <w:sz w:val="20"/>
                <w:szCs w:val="20"/>
                <w:color w:val="auto"/>
              </w:rPr>
            </w:pPr>
            <w:r>
              <w:rPr>
                <w:rFonts w:ascii="Arial" w:cs="Arial" w:eastAsia="Arial" w:hAnsi="Arial"/>
                <w:sz w:val="14"/>
                <w:szCs w:val="14"/>
                <w:color w:val="auto"/>
              </w:rPr>
              <w:t>Company's equity in net (loss) income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49,098</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48,508</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20"/>
                <w:szCs w:val="20"/>
                <w:color w:val="auto"/>
              </w:rPr>
            </w:pPr>
            <w:r>
              <w:rPr>
                <w:rFonts w:ascii="Arial" w:cs="Arial" w:eastAsia="Arial" w:hAnsi="Arial"/>
                <w:sz w:val="14"/>
                <w:szCs w:val="14"/>
                <w:i w:val="1"/>
                <w:iCs w:val="1"/>
                <w:color w:val="auto"/>
              </w:rPr>
              <w:t>Year Ended December 31, 2018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60" w:type="dxa"/>
            <w:vAlign w:val="bottom"/>
          </w:tcPr>
          <w:p>
            <w:pPr>
              <w:ind w:left="100"/>
              <w:spacing w:after="0"/>
              <w:rPr>
                <w:sz w:val="20"/>
                <w:szCs w:val="20"/>
                <w:color w:val="auto"/>
              </w:rPr>
            </w:pPr>
            <w:r>
              <w:rPr>
                <w:rFonts w:ascii="Arial" w:cs="Arial" w:eastAsia="Arial" w:hAnsi="Arial"/>
                <w:sz w:val="14"/>
                <w:szCs w:val="14"/>
                <w:color w:val="auto"/>
              </w:rPr>
              <w:t>Leasing revenue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186,924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727,328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914,252</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41,420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42,325</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187,829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768,748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956,577</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tcPr>
          <w:p>
            <w:pPr>
              <w:ind w:left="100"/>
              <w:spacing w:after="0"/>
              <w:rPr>
                <w:sz w:val="20"/>
                <w:szCs w:val="20"/>
                <w:color w:val="auto"/>
              </w:rPr>
            </w:pPr>
            <w:r>
              <w:rPr>
                <w:rFonts w:ascii="Arial" w:cs="Arial" w:eastAsia="Arial" w:hAnsi="Arial"/>
                <w:sz w:val="14"/>
                <w:szCs w:val="14"/>
                <w:color w:val="auto"/>
              </w:rPr>
              <w:t>Shopping center and operating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39,283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246,652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285,935</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145,915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213,032</w:t>
            </w:r>
          </w:p>
        </w:tc>
        <w:tc>
          <w:tcPr>
            <w:tcW w:w="0" w:type="dxa"/>
            <w:vAlign w:val="bottom"/>
          </w:tcPr>
          <w:p>
            <w:pPr>
              <w:spacing w:after="0"/>
              <w:rPr>
                <w:sz w:val="1"/>
                <w:szCs w:val="1"/>
                <w:color w:val="auto"/>
              </w:rPr>
            </w:pPr>
          </w:p>
        </w:tc>
      </w:tr>
      <w:tr>
        <w:trPr>
          <w:trHeight w:val="197"/>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97,885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248,778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346,663</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204,285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641,345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845,630</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gain on sale of assets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14,331</w:t>
            </w:r>
          </w:p>
        </w:tc>
        <w:tc>
          <w:tcPr>
            <w:tcW w:w="0" w:type="dxa"/>
            <w:vAlign w:val="bottom"/>
          </w:tcPr>
          <w:p>
            <w:pPr>
              <w:spacing w:after="0"/>
              <w:rPr>
                <w:sz w:val="1"/>
                <w:szCs w:val="1"/>
                <w:color w:val="auto"/>
              </w:rPr>
            </w:pPr>
          </w:p>
        </w:tc>
      </w:tr>
      <w:tr>
        <w:trPr>
          <w:trHeight w:val="227"/>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141,874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125,278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60" w:type="dxa"/>
            <w:vAlign w:val="bottom"/>
          </w:tcPr>
          <w:p>
            <w:pPr>
              <w:spacing w:after="0"/>
              <w:rPr>
                <w:sz w:val="20"/>
                <w:szCs w:val="20"/>
                <w:color w:val="auto"/>
              </w:rPr>
            </w:pPr>
            <w:r>
              <w:rPr>
                <w:rFonts w:ascii="Arial" w:cs="Arial" w:eastAsia="Arial" w:hAnsi="Arial"/>
                <w:sz w:val="14"/>
                <w:szCs w:val="14"/>
                <w:color w:val="auto"/>
              </w:rPr>
              <w:t>Company's equity in net (loss) income</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71,789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71,773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PPR Portfolio</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Joint</w:t>
            </w:r>
          </w:p>
        </w:tc>
        <w:tc>
          <w:tcPr>
            <w:tcW w:w="220" w:type="dxa"/>
            <w:vAlign w:val="bottom"/>
          </w:tcPr>
          <w:p>
            <w:pPr>
              <w:spacing w:after="0"/>
              <w:rPr>
                <w:sz w:val="12"/>
                <w:szCs w:val="12"/>
                <w:color w:val="auto"/>
              </w:rPr>
            </w:pP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Ventures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Year Ended December 31, 2017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2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Leasing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719,406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909,592</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38,866</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192,034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756,424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948,458</w:t>
            </w:r>
          </w:p>
        </w:tc>
        <w:tc>
          <w:tcPr>
            <w:tcW w:w="0" w:type="dxa"/>
            <w:vAlign w:val="bottom"/>
          </w:tcPr>
          <w:p>
            <w:pPr>
              <w:spacing w:after="0"/>
              <w:rPr>
                <w:sz w:val="1"/>
                <w:szCs w:val="1"/>
                <w:color w:val="auto"/>
              </w:rPr>
            </w:pPr>
          </w:p>
        </w:tc>
      </w:tr>
      <w:tr>
        <w:trPr>
          <w:trHeight w:val="177"/>
        </w:trPr>
        <w:tc>
          <w:tcPr>
            <w:tcW w:w="412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Shopping center and operating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243,271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284,611</w:t>
            </w:r>
          </w:p>
        </w:tc>
        <w:tc>
          <w:tcPr>
            <w:tcW w:w="0" w:type="dxa"/>
            <w:vAlign w:val="bottom"/>
          </w:tcPr>
          <w:p>
            <w:pPr>
              <w:spacing w:after="0"/>
              <w:rPr>
                <w:sz w:val="1"/>
                <w:szCs w:val="1"/>
                <w:color w:val="auto"/>
              </w:rPr>
            </w:pPr>
          </w:p>
        </w:tc>
      </w:tr>
      <w:tr>
        <w:trPr>
          <w:trHeight w:val="197"/>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Interest expense(1)</w:t>
            </w: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67,053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131,714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198,767</w:t>
            </w: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101,625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250,921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352,546</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210,018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625,906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835,924</w:t>
            </w: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gain on sale of assets</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33,861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33,825</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rPr>
                <w:sz w:val="20"/>
                <w:szCs w:val="20"/>
                <w:color w:val="auto"/>
              </w:rPr>
            </w:pPr>
            <w:r>
              <w:rPr>
                <w:rFonts w:ascii="Arial" w:cs="Arial" w:eastAsia="Arial" w:hAnsi="Arial"/>
                <w:sz w:val="14"/>
                <w:szCs w:val="14"/>
                <w:color w:val="auto"/>
              </w:rPr>
              <w:t>Net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164,379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146,359</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Company's equity in net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85,999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85,546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3" w:lineRule="exact"/>
        <w:rPr>
          <w:sz w:val="20"/>
          <w:szCs w:val="20"/>
          <w:color w:val="auto"/>
        </w:rPr>
      </w:pPr>
    </w:p>
    <w:p>
      <w:pPr>
        <w:ind w:left="580" w:right="320" w:hanging="572"/>
        <w:spacing w:after="0" w:line="275"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Interest expense includes $20,197 and $17,898 for the years ended December 31, 2018 and 2017, respectively, related to mortgage notes payable to an affiliate of Northwestern Mutual Life ("NML") (See Note 18—Related Party Transactions).</w:t>
      </w: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62" w:lineRule="exact"/>
        <w:rPr>
          <w:sz w:val="20"/>
          <w:szCs w:val="20"/>
          <w:color w:val="auto"/>
        </w:rPr>
      </w:pPr>
    </w:p>
    <w:p>
      <w:pPr>
        <w:ind w:right="100" w:firstLine="446"/>
        <w:spacing w:after="0" w:line="312" w:lineRule="auto"/>
        <w:rPr>
          <w:sz w:val="20"/>
          <w:szCs w:val="20"/>
          <w:color w:val="auto"/>
        </w:rPr>
      </w:pPr>
      <w:r>
        <w:rPr>
          <w:rFonts w:ascii="Arial" w:cs="Arial" w:eastAsia="Arial" w:hAnsi="Arial"/>
          <w:sz w:val="16"/>
          <w:szCs w:val="16"/>
          <w:color w:val="auto"/>
        </w:rPr>
        <w:t xml:space="preserve">The Company uses an interest rate cap and four interest rate swap agreements to manage the interest rate risk of its floating rate debt. The Company recorded other comprehensive loss related to the marking-to-market of derivative instruments of </w:t>
      </w:r>
      <w:r>
        <w:rPr>
          <w:rFonts w:ascii="Arial" w:cs="Arial" w:eastAsia="Arial" w:hAnsi="Arial"/>
          <w:sz w:val="14"/>
          <w:szCs w:val="14"/>
          <w:color w:val="auto"/>
        </w:rPr>
        <w:t>$4,585, $4,424 and $42</w:t>
      </w:r>
      <w:r>
        <w:rPr>
          <w:rFonts w:ascii="Arial" w:cs="Arial" w:eastAsia="Arial" w:hAnsi="Arial"/>
          <w:sz w:val="16"/>
          <w:szCs w:val="16"/>
          <w:color w:val="auto"/>
        </w:rPr>
        <w:t xml:space="preserve"> during the years ended December 31, 2019, 2018 and 2017, respectively. The fair value of the Company's derivatives was $(9,051) and $(4,466) at December 31, 2019 and 2018, respectively.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derivatives were outstanding at December 31, 2019:</w:t>
      </w:r>
    </w:p>
    <w:p>
      <w:pPr>
        <w:spacing w:after="0" w:line="190"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9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3"/>
              </w:rPr>
              <w:t>Notional Amount</w:t>
            </w:r>
          </w:p>
        </w:tc>
        <w:tc>
          <w:tcPr>
            <w:tcW w:w="100" w:type="dxa"/>
            <w:vAlign w:val="bottom"/>
            <w:vMerge w:val="restart"/>
          </w:tcPr>
          <w:p>
            <w:pPr>
              <w:spacing w:after="0"/>
              <w:rPr>
                <w:sz w:val="13"/>
                <w:szCs w:val="13"/>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Product</w:t>
            </w:r>
          </w:p>
        </w:tc>
        <w:tc>
          <w:tcPr>
            <w:tcW w:w="100" w:type="dxa"/>
            <w:vAlign w:val="bottom"/>
            <w:vMerge w:val="restart"/>
          </w:tcPr>
          <w:p>
            <w:pPr>
              <w:spacing w:after="0"/>
              <w:rPr>
                <w:sz w:val="13"/>
                <w:szCs w:val="13"/>
                <w:color w:val="auto"/>
              </w:rPr>
            </w:pPr>
          </w:p>
        </w:tc>
        <w:tc>
          <w:tcPr>
            <w:tcW w:w="104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LIBOR Rate</w:t>
            </w:r>
          </w:p>
        </w:tc>
        <w:tc>
          <w:tcPr>
            <w:tcW w:w="120" w:type="dxa"/>
            <w:vAlign w:val="bottom"/>
            <w:vMerge w:val="restart"/>
          </w:tcPr>
          <w:p>
            <w:pPr>
              <w:spacing w:after="0"/>
              <w:rPr>
                <w:sz w:val="13"/>
                <w:szCs w:val="13"/>
                <w:color w:val="auto"/>
              </w:rPr>
            </w:pPr>
          </w:p>
        </w:tc>
        <w:tc>
          <w:tcPr>
            <w:tcW w:w="9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1120" w:type="dxa"/>
            <w:vAlign w:val="bottom"/>
          </w:tcPr>
          <w:p>
            <w:pPr>
              <w:jc w:val="right"/>
              <w:ind w:right="143"/>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12/9/2020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4"/>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The Macerich Partnership, L.P.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Swaps</w:t>
            </w:r>
          </w:p>
        </w:tc>
        <w:tc>
          <w:tcPr>
            <w:tcW w:w="86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9/30/2021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(9,051)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firstLine="802"/>
        <w:spacing w:after="0" w:line="276" w:lineRule="auto"/>
        <w:rPr>
          <w:sz w:val="20"/>
          <w:szCs w:val="20"/>
          <w:color w:val="auto"/>
        </w:rPr>
      </w:pPr>
      <w:r>
        <w:rPr>
          <w:rFonts w:ascii="Arial" w:cs="Arial" w:eastAsia="Arial" w:hAnsi="Arial"/>
          <w:sz w:val="17"/>
          <w:szCs w:val="17"/>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446"/>
        <w:spacing w:after="0" w:line="297"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net at December 31, 2019 and 2018 consists of the following:</w:t>
      </w:r>
    </w:p>
    <w:p>
      <w:pPr>
        <w:spacing w:after="0" w:line="190"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1,520,678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1,506,678</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6,389,458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6,288,308</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Tenant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726,533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678,110</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Equipment and furnishings(1)</w:t>
            </w:r>
          </w:p>
        </w:tc>
        <w:tc>
          <w:tcPr>
            <w:tcW w:w="3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230,215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206,398</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126,165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199,326</w:t>
            </w:r>
          </w:p>
        </w:tc>
      </w:tr>
      <w:tr>
        <w:trPr>
          <w:trHeight w:val="237"/>
        </w:trPr>
        <w:tc>
          <w:tcPr>
            <w:tcW w:w="6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8,993,049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8,878,820</w:t>
            </w:r>
          </w:p>
        </w:tc>
      </w:tr>
      <w:tr>
        <w:trPr>
          <w:trHeight w:val="27"/>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(2,349,536)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(2,093,044)</w:t>
            </w:r>
          </w:p>
        </w:tc>
      </w:tr>
      <w:tr>
        <w:trPr>
          <w:trHeight w:val="237"/>
        </w:trPr>
        <w:tc>
          <w:tcPr>
            <w:tcW w:w="63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6,643,513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6,785,776</w:t>
            </w:r>
          </w:p>
        </w:tc>
      </w:tr>
      <w:tr>
        <w:trPr>
          <w:trHeight w:val="27"/>
        </w:trPr>
        <w:tc>
          <w:tcPr>
            <w:tcW w:w="6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580" w:right="700" w:hanging="572"/>
        <w:spacing w:after="0" w:line="275"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Equipment and furnishings and accumulated depreciation include the cost and accumulated amortization of ROU assets in connection with finance leases at December 31, 2019 (See Note 8—Leases).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the years ended December 31, 2019, 2018 and 2017 was $287,846, $275,236 and $277,917,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(loss) gain on sale or write down of assets, net for the years ended December 31, 2019, 2018 and 2017 consist of the following:</w:t>
      </w:r>
    </w:p>
    <w:p>
      <w:pPr>
        <w:spacing w:after="0" w:line="200" w:lineRule="exact"/>
        <w:rPr>
          <w:sz w:val="20"/>
          <w:szCs w:val="20"/>
          <w:color w:val="auto"/>
        </w:rPr>
      </w:pPr>
    </w:p>
    <w:p>
      <w:pPr>
        <w:spacing w:after="0" w:line="38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sales(1)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74,174</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Write-down of assets(2)</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(23,154)</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1,564</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Non-real estate disposition</w:t>
            </w:r>
          </w:p>
        </w:tc>
        <w:tc>
          <w:tcPr>
            <w:tcW w:w="3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(10,138)</w:t>
            </w:r>
          </w:p>
        </w:tc>
      </w:tr>
      <w:tr>
        <w:trPr>
          <w:trHeight w:val="27"/>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42,446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3" w:lineRule="exact"/>
        <w:rPr>
          <w:sz w:val="20"/>
          <w:szCs w:val="20"/>
          <w:color w:val="auto"/>
        </w:rPr>
      </w:pPr>
    </w:p>
    <w:p>
      <w:pPr>
        <w:ind w:left="580" w:hanging="572"/>
        <w:spacing w:after="0" w:line="256"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Property sales during the year ended December 31, 2018 includes a $46,242 gain on the sale of a 75% ownership interest in One Westside (See Note 4—Investments in Unconsolidated Joint Ventures) and a loss of $311 on the sale of Promenade at Casa Grande (See Note 16—Dispositions). Gain on sale of properties during the year ended December 31, 2017 includes a gain of $59,577 on the sale of Cascade Mall and Northgate Mall (See Note 16—Dispositions) and $14,597 on the sale of 500 North Michigan Avenue (See Note 16—Dispositions).</w:t>
      </w:r>
    </w:p>
    <w:p>
      <w:pPr>
        <w:spacing w:after="0" w:line="214" w:lineRule="exact"/>
        <w:rPr>
          <w:rFonts w:ascii="Arial" w:cs="Arial" w:eastAsia="Arial" w:hAnsi="Arial"/>
          <w:sz w:val="16"/>
          <w:szCs w:val="16"/>
          <w:color w:val="auto"/>
        </w:rPr>
      </w:pPr>
    </w:p>
    <w:p>
      <w:pPr>
        <w:ind w:left="580" w:right="60" w:hanging="572"/>
        <w:spacing w:after="0" w:line="256"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impairment losses of $36,338 on SouthPark Mall, $7,907 on La Cumbre Plaza, $7,494 on two freestanding stores, $1,697 on Southridge Center and $1,043 on Promenade at Casa Grande during the year ended December 31, 2018 and $12,036 on Southridge Center and $10,072 on Promenade at Casa Grande during the year ended December 31, 2017. The impairment losses were due to the reduction of the estimated holding periods of the properties. The remaining balances represent the write off of development costs.</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impairment charges recorded for the years ended December 31, 2018 and 2017 as described above:</w:t>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Quoted Prices in Active</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Markets for Identical</w:t>
            </w:r>
          </w:p>
        </w:tc>
        <w:tc>
          <w:tcPr>
            <w:tcW w:w="160" w:type="dxa"/>
            <w:vAlign w:val="bottom"/>
          </w:tcPr>
          <w:p>
            <w:pPr>
              <w:spacing w:after="0"/>
              <w:rPr>
                <w:sz w:val="17"/>
                <w:szCs w:val="17"/>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7"/>
                <w:szCs w:val="17"/>
                <w:color w:val="auto"/>
              </w:rPr>
            </w:pPr>
          </w:p>
        </w:tc>
        <w:tc>
          <w:tcPr>
            <w:tcW w:w="1620" w:type="dxa"/>
            <w:vAlign w:val="bottom"/>
          </w:tcPr>
          <w:p>
            <w:pPr>
              <w:jc w:val="center"/>
              <w:ind w:right="35"/>
              <w:spacing w:after="0"/>
              <w:rPr>
                <w:sz w:val="20"/>
                <w:szCs w:val="20"/>
                <w:color w:val="auto"/>
              </w:rPr>
            </w:pPr>
            <w:r>
              <w:rPr>
                <w:rFonts w:ascii="Arial" w:cs="Arial" w:eastAsia="Arial" w:hAnsi="Arial"/>
                <w:sz w:val="16"/>
                <w:szCs w:val="16"/>
                <w:b w:val="1"/>
                <w:bCs w:val="1"/>
                <w:color w:val="auto"/>
                <w:w w:val="90"/>
              </w:rPr>
              <w:t>Significant</w:t>
            </w:r>
          </w:p>
        </w:tc>
      </w:tr>
      <w:tr>
        <w:trPr>
          <w:trHeight w:val="257"/>
        </w:trPr>
        <w:tc>
          <w:tcPr>
            <w:tcW w:w="1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Years ended</w:t>
            </w:r>
          </w:p>
        </w:tc>
        <w:tc>
          <w:tcPr>
            <w:tcW w:w="200" w:type="dxa"/>
            <w:vAlign w:val="bottom"/>
          </w:tcPr>
          <w:p>
            <w:pPr>
              <w:spacing w:after="0"/>
              <w:rPr>
                <w:sz w:val="22"/>
                <w:szCs w:val="22"/>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Total Fair Value</w:t>
            </w:r>
          </w:p>
        </w:tc>
        <w:tc>
          <w:tcPr>
            <w:tcW w:w="120" w:type="dxa"/>
            <w:vAlign w:val="bottom"/>
          </w:tcPr>
          <w:p>
            <w:pPr>
              <w:spacing w:after="0"/>
              <w:rPr>
                <w:sz w:val="22"/>
                <w:szCs w:val="22"/>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160" w:type="dxa"/>
            <w:vAlign w:val="bottom"/>
          </w:tcPr>
          <w:p>
            <w:pPr>
              <w:spacing w:after="0"/>
              <w:rPr>
                <w:sz w:val="22"/>
                <w:szCs w:val="22"/>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Observable Inputs</w:t>
            </w:r>
          </w:p>
        </w:tc>
        <w:tc>
          <w:tcPr>
            <w:tcW w:w="120" w:type="dxa"/>
            <w:vAlign w:val="bottom"/>
          </w:tcPr>
          <w:p>
            <w:pPr>
              <w:spacing w:after="0"/>
              <w:rPr>
                <w:sz w:val="22"/>
                <w:szCs w:val="22"/>
                <w:color w:val="auto"/>
              </w:rPr>
            </w:pPr>
          </w:p>
        </w:tc>
        <w:tc>
          <w:tcPr>
            <w:tcW w:w="162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Unobservable Inputs</w:t>
            </w:r>
          </w:p>
        </w:tc>
      </w:tr>
      <w:tr>
        <w:trPr>
          <w:trHeight w:val="210"/>
        </w:trPr>
        <w:tc>
          <w:tcPr>
            <w:tcW w:w="17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Measurement</w:t>
            </w:r>
          </w:p>
        </w:tc>
        <w:tc>
          <w:tcPr>
            <w:tcW w:w="12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1)</w:t>
            </w:r>
          </w:p>
        </w:tc>
        <w:tc>
          <w:tcPr>
            <w:tcW w:w="16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8"/>
                <w:szCs w:val="18"/>
                <w:color w:val="auto"/>
              </w:rPr>
            </w:pPr>
          </w:p>
        </w:tc>
        <w:tc>
          <w:tcPr>
            <w:tcW w:w="1620" w:type="dxa"/>
            <w:vAlign w:val="bottom"/>
          </w:tcPr>
          <w:p>
            <w:pPr>
              <w:jc w:val="center"/>
              <w:ind w:right="35"/>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104,700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43"/>
        </w:trPr>
        <w:tc>
          <w:tcPr>
            <w:tcW w:w="16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38,000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ind w:left="132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relating to impairments that were based on sales contracts were classified within Level 2 of the fair value hierarchy.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162" w:lineRule="exact"/>
        <w:rPr>
          <w:sz w:val="20"/>
          <w:szCs w:val="20"/>
          <w:color w:val="auto"/>
        </w:rPr>
      </w:pPr>
    </w:p>
    <w:p>
      <w:pPr>
        <w:ind w:right="60" w:firstLine="446"/>
        <w:spacing w:after="0" w:line="312" w:lineRule="auto"/>
        <w:rPr>
          <w:sz w:val="20"/>
          <w:szCs w:val="20"/>
          <w:color w:val="auto"/>
        </w:rPr>
      </w:pPr>
      <w:r>
        <w:rPr>
          <w:rFonts w:ascii="Arial" w:cs="Arial" w:eastAsia="Arial" w:hAnsi="Arial"/>
          <w:sz w:val="16"/>
          <w:szCs w:val="16"/>
          <w:color w:val="auto"/>
        </w:rPr>
        <w:t>Included in tenant and other receivables, net is an allowance for doubtful accounts of $4,836 and $2,919 at December 31, 2019 and 2018, respectively. Also included in tenant and other receivables, net are accrued percentage rents of $9,618 and $8,949 at December 31, 2019 and 2018, respectively, and a deferred rent receivable due to straight-line rent adjustments of $82,214 and $72,456 at December 31, 2019 and 2018, respectively.</w:t>
      </w:r>
    </w:p>
    <w:p>
      <w:pPr>
        <w:spacing w:after="0" w:line="79"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On March 17, 2014, in connection with the sale of Lake Square Mall, a 559,000 square foot regional shopping center in Leesburg, Florida, the Company issued a note receivable for $6,500 that bore interest at an effective rate of 6.5% and was to mature on March 17, 2018. The note was collected in full on October 20,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Lessor Leases:</w:t>
      </w:r>
    </w:p>
    <w:p>
      <w:pPr>
        <w:spacing w:after="0" w:line="158"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leasing revenue for the years ended December 31, 2019, 2018 and 2017:</w:t>
      </w:r>
    </w:p>
    <w:p>
      <w:pPr>
        <w:spacing w:after="0" w:line="200" w:lineRule="exact"/>
        <w:rPr>
          <w:sz w:val="20"/>
          <w:szCs w:val="20"/>
          <w:color w:val="auto"/>
        </w:rPr>
      </w:pPr>
    </w:p>
    <w:p>
      <w:pPr>
        <w:spacing w:after="0" w:line="39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Leasing revenue - fixed payments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647,876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659,991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677,503</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Leasing revenue - variable payments</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210,998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224,005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244,649</w:t>
            </w:r>
          </w:p>
        </w:tc>
      </w:tr>
      <w:tr>
        <w:trPr>
          <w:trHeight w:val="27"/>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858,874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883,996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922,152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7360" w:type="dxa"/>
            <w:vAlign w:val="bottom"/>
          </w:tcPr>
          <w:p>
            <w:pPr>
              <w:ind w:left="2540"/>
              <w:spacing w:after="0"/>
              <w:rPr>
                <w:sz w:val="20"/>
                <w:szCs w:val="20"/>
                <w:color w:val="auto"/>
              </w:rPr>
            </w:pPr>
            <w:r>
              <w:rPr>
                <w:rFonts w:ascii="Arial" w:cs="Arial" w:eastAsia="Arial" w:hAnsi="Arial"/>
                <w:sz w:val="18"/>
                <w:szCs w:val="18"/>
                <w:b w:val="1"/>
                <w:bCs w:val="1"/>
                <w:color w:val="auto"/>
              </w:rPr>
              <w:t>(Dollars in thousands, except per share amounts)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8. Leases: (Continued)</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91"/>
        </w:trPr>
        <w:tc>
          <w:tcPr>
            <w:tcW w:w="8660" w:type="dxa"/>
            <w:vAlign w:val="bottom"/>
            <w:gridSpan w:val="2"/>
          </w:tcPr>
          <w:p>
            <w:pPr>
              <w:ind w:left="460"/>
              <w:spacing w:after="0"/>
              <w:rPr>
                <w:sz w:val="20"/>
                <w:szCs w:val="20"/>
                <w:color w:val="auto"/>
              </w:rPr>
            </w:pPr>
            <w:r>
              <w:rPr>
                <w:rFonts w:ascii="Arial" w:cs="Arial" w:eastAsia="Arial" w:hAnsi="Arial"/>
                <w:sz w:val="18"/>
                <w:szCs w:val="18"/>
                <w:color w:val="auto"/>
              </w:rPr>
              <w:t>The following table summarizes the future rental payments to the Company:</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866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0"/>
        </w:trPr>
        <w:tc>
          <w:tcPr>
            <w:tcW w:w="13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490,510</w:t>
            </w:r>
          </w:p>
        </w:tc>
      </w:tr>
      <w:tr>
        <w:trPr>
          <w:trHeight w:val="243"/>
        </w:trPr>
        <w:tc>
          <w:tcPr>
            <w:tcW w:w="8660" w:type="dxa"/>
            <w:vAlign w:val="bottom"/>
            <w:gridSpan w:val="2"/>
          </w:tcPr>
          <w:p>
            <w:pPr>
              <w:ind w:left="130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418,884</w:t>
            </w:r>
          </w:p>
        </w:tc>
      </w:tr>
      <w:tr>
        <w:trPr>
          <w:trHeight w:val="27"/>
        </w:trPr>
        <w:tc>
          <w:tcPr>
            <w:tcW w:w="8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364,768</w:t>
            </w:r>
          </w:p>
        </w:tc>
      </w:tr>
      <w:tr>
        <w:trPr>
          <w:trHeight w:val="243"/>
        </w:trPr>
        <w:tc>
          <w:tcPr>
            <w:tcW w:w="8660" w:type="dxa"/>
            <w:vAlign w:val="bottom"/>
            <w:gridSpan w:val="2"/>
          </w:tcPr>
          <w:p>
            <w:pPr>
              <w:ind w:left="130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315,868</w:t>
            </w:r>
          </w:p>
        </w:tc>
      </w:tr>
      <w:tr>
        <w:trPr>
          <w:trHeight w:val="27"/>
        </w:trPr>
        <w:tc>
          <w:tcPr>
            <w:tcW w:w="8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250,216</w:t>
            </w:r>
          </w:p>
        </w:tc>
      </w:tr>
      <w:tr>
        <w:trPr>
          <w:trHeight w:val="243"/>
        </w:trPr>
        <w:tc>
          <w:tcPr>
            <w:tcW w:w="1300" w:type="dxa"/>
            <w:vAlign w:val="bottom"/>
          </w:tcPr>
          <w:p>
            <w:pPr>
              <w:spacing w:after="0"/>
              <w:rPr>
                <w:sz w:val="21"/>
                <w:szCs w:val="21"/>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741,235</w:t>
            </w:r>
          </w:p>
        </w:tc>
      </w:tr>
      <w:tr>
        <w:trPr>
          <w:trHeight w:val="27"/>
        </w:trPr>
        <w:tc>
          <w:tcPr>
            <w:tcW w:w="1300" w:type="dxa"/>
            <w:vAlign w:val="bottom"/>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1300" w:type="dxa"/>
            <w:vAlign w:val="bottom"/>
          </w:tcPr>
          <w:p>
            <w:pPr>
              <w:spacing w:after="0"/>
              <w:rPr>
                <w:sz w:val="24"/>
                <w:szCs w:val="24"/>
                <w:color w:val="auto"/>
              </w:rPr>
            </w:pPr>
          </w:p>
        </w:tc>
        <w:tc>
          <w:tcPr>
            <w:tcW w:w="73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2,581,481</w:t>
            </w:r>
          </w:p>
        </w:tc>
      </w:tr>
      <w:tr>
        <w:trPr>
          <w:trHeight w:val="20"/>
        </w:trPr>
        <w:tc>
          <w:tcPr>
            <w:tcW w:w="130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Lessee Leases:</w:t>
      </w:r>
    </w:p>
    <w:p>
      <w:pPr>
        <w:spacing w:after="0" w:line="15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four finance leases that expire at various times through 2022.</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The following table summarizes the lease costs for the the year ended December 31, 2019:</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62"/>
        </w:trPr>
        <w:tc>
          <w:tcPr>
            <w:tcW w:w="1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0"/>
        </w:trPr>
        <w:tc>
          <w:tcPr>
            <w:tcW w:w="160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17,070</w:t>
            </w:r>
          </w:p>
        </w:tc>
      </w:tr>
      <w:tr>
        <w:trPr>
          <w:trHeight w:val="243"/>
        </w:trPr>
        <w:tc>
          <w:tcPr>
            <w:tcW w:w="160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1,882</w:t>
            </w:r>
          </w:p>
        </w:tc>
      </w:tr>
      <w:tr>
        <w:trPr>
          <w:trHeight w:val="243"/>
        </w:trPr>
        <w:tc>
          <w:tcPr>
            <w:tcW w:w="1600" w:type="dxa"/>
            <w:vAlign w:val="bottom"/>
          </w:tcPr>
          <w:p>
            <w:pPr>
              <w:spacing w:after="0"/>
              <w:rPr>
                <w:sz w:val="21"/>
                <w:szCs w:val="21"/>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4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596</w:t>
            </w:r>
          </w:p>
        </w:tc>
      </w:tr>
      <w:tr>
        <w:trPr>
          <w:trHeight w:val="27"/>
        </w:trPr>
        <w:tc>
          <w:tcPr>
            <w:tcW w:w="1600" w:type="dxa"/>
            <w:vAlign w:val="bottom"/>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1600" w:type="dxa"/>
            <w:vAlign w:val="bottom"/>
          </w:tcPr>
          <w:p>
            <w:pPr>
              <w:spacing w:after="0"/>
              <w:rPr>
                <w:sz w:val="24"/>
                <w:szCs w:val="24"/>
                <w:color w:val="auto"/>
              </w:rPr>
            </w:pPr>
          </w:p>
        </w:tc>
        <w:tc>
          <w:tcPr>
            <w:tcW w:w="59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19,548</w:t>
            </w:r>
          </w:p>
        </w:tc>
      </w:tr>
      <w:tr>
        <w:trPr>
          <w:trHeight w:val="20"/>
        </w:trPr>
        <w:tc>
          <w:tcPr>
            <w:tcW w:w="160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future rental payments required under the leases as of December 31, 2019:</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w:t>
            </w:r>
          </w:p>
        </w:tc>
        <w:tc>
          <w:tcPr>
            <w:tcW w:w="24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2"/>
        </w:trPr>
        <w:tc>
          <w:tcPr>
            <w:tcW w:w="4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17,149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16,867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9,068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131,347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 undiscounted rental payments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202,490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100,405</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13,796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weighted average remaining lease term of its operating and finance leases at December 31, 2019 was 31 and 1.6 years,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weighted average incremental borrowing rate of its operating and finance leases at December 31, 2019 was 7.7% and 4.2%, respectively.</w:t>
      </w:r>
    </w:p>
    <w:p>
      <w:pPr>
        <w:sectPr>
          <w:pgSz w:w="11900" w:h="16838" w:orient="portrait"/>
          <w:cols w:equalWidth="0" w:num="1">
            <w:col w:w="11120"/>
          </w:cols>
          <w:pgMar w:left="240" w:top="27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274" w:right="5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charges and other assets, net at December 31, 2019 and 2018 consist of the following:</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Leasing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226,885</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In-place lease values(1)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94,966</w:t>
            </w:r>
          </w:p>
        </w:tc>
      </w:tr>
      <w:tr>
        <w:trPr>
          <w:trHeight w:val="243"/>
        </w:trPr>
        <w:tc>
          <w:tcPr>
            <w:tcW w:w="6340" w:type="dxa"/>
            <w:vAlign w:val="bottom"/>
          </w:tcPr>
          <w:p>
            <w:pPr>
              <w:ind w:left="100"/>
              <w:spacing w:after="0"/>
              <w:rPr>
                <w:sz w:val="20"/>
                <w:szCs w:val="20"/>
                <w:color w:val="auto"/>
              </w:rPr>
            </w:pPr>
            <w:r>
              <w:rPr>
                <w:rFonts w:ascii="Arial" w:cs="Arial" w:eastAsia="Arial" w:hAnsi="Arial"/>
                <w:sz w:val="18"/>
                <w:szCs w:val="18"/>
                <w:color w:val="auto"/>
              </w:rPr>
              <w:t>Leasing commissions and legal costs(1)</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20,518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23,508</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Above-market leases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140,889</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30,757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32,197</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45,857</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60,475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75,497</w:t>
            </w:r>
          </w:p>
        </w:tc>
      </w:tr>
      <w:tr>
        <w:trPr>
          <w:trHeight w:val="27"/>
        </w:trPr>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639,799</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Less accumulated amortization(2)</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(229,860)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(249,396)</w:t>
            </w:r>
          </w:p>
        </w:tc>
      </w:tr>
      <w:tr>
        <w:trPr>
          <w:trHeight w:val="27"/>
        </w:trPr>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277,866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390,403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49" w:lineRule="exact"/>
        <w:rPr>
          <w:sz w:val="20"/>
          <w:szCs w:val="20"/>
          <w:color w:val="auto"/>
        </w:rPr>
      </w:pPr>
    </w:p>
    <w:p>
      <w:pPr>
        <w:ind w:left="1220" w:hanging="564"/>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amortization of these intangible assets for the next five years and thereafter is as follows:</w:t>
      </w:r>
    </w:p>
    <w:p>
      <w:pPr>
        <w:spacing w:after="0" w:line="55"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7,921</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6,255</w:t>
            </w:r>
          </w:p>
        </w:tc>
      </w:tr>
      <w:tr>
        <w:trPr>
          <w:trHeight w:val="27"/>
        </w:trPr>
        <w:tc>
          <w:tcPr>
            <w:tcW w:w="7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4,719</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3,436</w:t>
            </w:r>
          </w:p>
        </w:tc>
      </w:tr>
      <w:tr>
        <w:trPr>
          <w:trHeight w:val="27"/>
        </w:trPr>
        <w:tc>
          <w:tcPr>
            <w:tcW w:w="7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7,760</w:t>
            </w:r>
          </w:p>
        </w:tc>
      </w:tr>
      <w:tr>
        <w:trPr>
          <w:trHeight w:val="27"/>
        </w:trPr>
        <w:tc>
          <w:tcPr>
            <w:tcW w:w="7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70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32,367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220" w:hanging="564"/>
        <w:spacing w:after="0" w:line="286" w:lineRule="auto"/>
        <w:tabs>
          <w:tab w:leader="none" w:pos="121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Accumulated amortization includes $66,322 and $72,286 relating to in-place lease values, leasing commissions and legal costs at December 31, 2019 and 2018, respectively. Amortization expense for in-place lease values, leasing commissions and legal costs was $13,821, $13,635 and $19,958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80"/>
          </w:cols>
          <w:pgMar w:left="240" w:top="274" w:right="8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Above-Market Leases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Original allocated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273"/>
              <w:spacing w:after="0"/>
              <w:rPr>
                <w:sz w:val="20"/>
                <w:szCs w:val="20"/>
                <w:color w:val="auto"/>
              </w:rPr>
            </w:pPr>
            <w:r>
              <w:rPr>
                <w:rFonts w:ascii="Arial" w:cs="Arial" w:eastAsia="Arial" w:hAnsi="Arial"/>
                <w:sz w:val="18"/>
                <w:szCs w:val="18"/>
                <w:color w:val="auto"/>
                <w:w w:val="87"/>
              </w:rPr>
              <w:t>59,916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140,889</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2"/>
              </w:rPr>
              <w:t>(35,737)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(49,847)</w:t>
            </w:r>
          </w:p>
        </w:tc>
      </w:tr>
      <w:tr>
        <w:trPr>
          <w:trHeight w:val="237"/>
        </w:trPr>
        <w:tc>
          <w:tcPr>
            <w:tcW w:w="63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center"/>
              <w:ind w:left="273"/>
              <w:spacing w:after="0"/>
              <w:rPr>
                <w:sz w:val="20"/>
                <w:szCs w:val="20"/>
                <w:color w:val="auto"/>
              </w:rPr>
            </w:pPr>
            <w:r>
              <w:rPr>
                <w:rFonts w:ascii="Arial" w:cs="Arial" w:eastAsia="Arial" w:hAnsi="Arial"/>
                <w:sz w:val="18"/>
                <w:szCs w:val="18"/>
                <w:color w:val="auto"/>
                <w:w w:val="87"/>
              </w:rPr>
              <w:t>24,179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91,042</w:t>
            </w:r>
          </w:p>
        </w:tc>
      </w:tr>
      <w:tr>
        <w:trPr>
          <w:trHeight w:val="27"/>
        </w:trPr>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Below-Market Leases(1)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Original allocated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273"/>
              <w:spacing w:after="0"/>
              <w:rPr>
                <w:sz w:val="20"/>
                <w:szCs w:val="20"/>
                <w:color w:val="auto"/>
              </w:rPr>
            </w:pPr>
            <w:r>
              <w:rPr>
                <w:rFonts w:ascii="Arial" w:cs="Arial" w:eastAsia="Arial" w:hAnsi="Arial"/>
                <w:sz w:val="18"/>
                <w:szCs w:val="18"/>
                <w:color w:val="auto"/>
                <w:w w:val="87"/>
              </w:rPr>
              <w:t>90,790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108,330</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2"/>
              </w:rPr>
              <w:t>(53,727)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(56,345)</w:t>
            </w:r>
          </w:p>
        </w:tc>
      </w:tr>
      <w:tr>
        <w:trPr>
          <w:trHeight w:val="237"/>
        </w:trPr>
        <w:tc>
          <w:tcPr>
            <w:tcW w:w="63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center"/>
              <w:ind w:left="273"/>
              <w:spacing w:after="0"/>
              <w:rPr>
                <w:sz w:val="20"/>
                <w:szCs w:val="20"/>
                <w:color w:val="auto"/>
              </w:rPr>
            </w:pPr>
            <w:r>
              <w:rPr>
                <w:rFonts w:ascii="Arial" w:cs="Arial" w:eastAsia="Arial" w:hAnsi="Arial"/>
                <w:sz w:val="18"/>
                <w:szCs w:val="18"/>
                <w:color w:val="auto"/>
                <w:w w:val="87"/>
              </w:rPr>
              <w:t>37,063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51,985</w:t>
            </w:r>
          </w:p>
        </w:tc>
      </w:tr>
      <w:tr>
        <w:trPr>
          <w:trHeight w:val="27"/>
        </w:trPr>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1" w:lineRule="exact"/>
        <w:rPr>
          <w:sz w:val="20"/>
          <w:szCs w:val="20"/>
          <w:color w:val="auto"/>
        </w:rPr>
      </w:pPr>
    </w:p>
    <w:p>
      <w:pPr>
        <w:ind w:left="1220" w:hanging="564"/>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Below-market leases are included in other accrued liabilities.</w:t>
      </w:r>
    </w:p>
    <w:p>
      <w:pPr>
        <w:spacing w:after="0" w:line="38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allocated values of above and below-market leases will be amortized into minimum rents on a straight-line basis over the individual remaining lease terms. The amortization of these values for the next five years and thereafter is as follows: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Above</w:t>
            </w:r>
          </w:p>
        </w:tc>
        <w:tc>
          <w:tcPr>
            <w:tcW w:w="300" w:type="dxa"/>
            <w:vAlign w:val="bottom"/>
          </w:tcPr>
          <w:p>
            <w:pPr>
              <w:spacing w:after="0"/>
              <w:rPr>
                <w:sz w:val="14"/>
                <w:szCs w:val="14"/>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Below</w:t>
            </w: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Market</w:t>
            </w: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24,179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37,063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274" w:right="61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Mortgage notes payable at December 31, 2019 and 2018 consist of the following:</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4"/>
          </w:tcPr>
          <w:p>
            <w:pPr>
              <w:jc w:val="right"/>
              <w:ind w:right="190"/>
              <w:spacing w:after="0"/>
              <w:rPr>
                <w:sz w:val="20"/>
                <w:szCs w:val="20"/>
                <w:color w:val="auto"/>
              </w:rPr>
            </w:pPr>
            <w:r>
              <w:rPr>
                <w:rFonts w:ascii="Arial" w:cs="Arial" w:eastAsia="Arial" w:hAnsi="Arial"/>
                <w:sz w:val="16"/>
                <w:szCs w:val="16"/>
                <w:b w:val="1"/>
                <w:bCs w:val="1"/>
                <w:color w:val="auto"/>
                <w:w w:val="95"/>
              </w:rPr>
              <w:t>Carrying Amounts of Mortgage</w:t>
            </w:r>
          </w:p>
        </w:tc>
        <w:tc>
          <w:tcPr>
            <w:tcW w:w="100" w:type="dxa"/>
            <w:vAlign w:val="bottom"/>
          </w:tcPr>
          <w:p>
            <w:pPr>
              <w:spacing w:after="0"/>
              <w:rPr>
                <w:sz w:val="17"/>
                <w:szCs w:val="17"/>
                <w:color w:val="auto"/>
              </w:rPr>
            </w:pPr>
          </w:p>
        </w:tc>
        <w:tc>
          <w:tcPr>
            <w:tcW w:w="88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89"/>
              </w:rPr>
              <w:t>Effective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Monthly</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80" w:type="dxa"/>
            <w:vAlign w:val="bottom"/>
            <w:gridSpan w:val="3"/>
            <w:vMerge w:val="restart"/>
          </w:tcPr>
          <w:p>
            <w:pPr>
              <w:jc w:val="right"/>
              <w:ind w:right="10"/>
              <w:spacing w:after="0"/>
              <w:rPr>
                <w:sz w:val="20"/>
                <w:szCs w:val="20"/>
                <w:color w:val="auto"/>
              </w:rPr>
            </w:pPr>
            <w:r>
              <w:rPr>
                <w:rFonts w:ascii="Arial" w:cs="Arial" w:eastAsia="Arial" w:hAnsi="Arial"/>
                <w:sz w:val="16"/>
                <w:szCs w:val="16"/>
                <w:b w:val="1"/>
                <w:bCs w:val="1"/>
                <w:color w:val="auto"/>
              </w:rPr>
              <w:t>Notes(1)</w:t>
            </w: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left="139"/>
              <w:spacing w:after="0" w:line="176" w:lineRule="exact"/>
              <w:rPr>
                <w:sz w:val="20"/>
                <w:szCs w:val="20"/>
                <w:color w:val="auto"/>
              </w:rPr>
            </w:pPr>
            <w:r>
              <w:rPr>
                <w:rFonts w:ascii="Arial" w:cs="Arial" w:eastAsia="Arial" w:hAnsi="Arial"/>
                <w:sz w:val="16"/>
                <w:szCs w:val="16"/>
                <w:b w:val="1"/>
                <w:bCs w:val="1"/>
                <w:color w:val="auto"/>
                <w:w w:val="93"/>
              </w:rPr>
              <w:t>Interest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line="176" w:lineRule="exact"/>
              <w:rPr>
                <w:sz w:val="20"/>
                <w:szCs w:val="20"/>
                <w:color w:val="auto"/>
              </w:rPr>
            </w:pPr>
            <w:r>
              <w:rPr>
                <w:rFonts w:ascii="Arial" w:cs="Arial" w:eastAsia="Arial" w:hAnsi="Arial"/>
                <w:sz w:val="16"/>
                <w:szCs w:val="16"/>
                <w:b w:val="1"/>
                <w:bCs w:val="1"/>
                <w:color w:val="auto"/>
                <w:w w:val="89"/>
              </w:rPr>
              <w:t>Debt</w:t>
            </w:r>
          </w:p>
        </w:tc>
        <w:tc>
          <w:tcPr>
            <w:tcW w:w="1080" w:type="dxa"/>
            <w:vAlign w:val="bottom"/>
            <w:vMerge w:val="restart"/>
          </w:tcPr>
          <w:p>
            <w:pPr>
              <w:jc w:val="right"/>
              <w:ind w:right="131"/>
              <w:spacing w:after="0" w:line="176" w:lineRule="exact"/>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Property Pledged as Collateral</w:t>
            </w:r>
          </w:p>
        </w:tc>
        <w:tc>
          <w:tcPr>
            <w:tcW w:w="18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880" w:type="dxa"/>
            <w:vAlign w:val="bottom"/>
          </w:tcPr>
          <w:p>
            <w:pPr>
              <w:jc w:val="center"/>
              <w:ind w:left="119"/>
              <w:spacing w:after="0"/>
              <w:rPr>
                <w:sz w:val="20"/>
                <w:szCs w:val="20"/>
                <w:color w:val="auto"/>
              </w:rPr>
            </w:pPr>
            <w:r>
              <w:rPr>
                <w:rFonts w:ascii="Arial" w:cs="Arial" w:eastAsia="Arial" w:hAnsi="Arial"/>
                <w:sz w:val="16"/>
                <w:szCs w:val="16"/>
                <w:b w:val="1"/>
                <w:bCs w:val="1"/>
                <w:color w:val="auto"/>
                <w:w w:val="95"/>
              </w:rPr>
              <w:t>Rate(2)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Service(3)</w:t>
            </w:r>
          </w:p>
        </w:tc>
        <w:tc>
          <w:tcPr>
            <w:tcW w:w="1080" w:type="dxa"/>
            <w:vAlign w:val="bottom"/>
          </w:tcPr>
          <w:p>
            <w:pPr>
              <w:jc w:val="right"/>
              <w:ind w:right="191"/>
              <w:spacing w:after="0"/>
              <w:rPr>
                <w:sz w:val="20"/>
                <w:szCs w:val="20"/>
                <w:color w:val="auto"/>
              </w:rPr>
            </w:pPr>
            <w:r>
              <w:rPr>
                <w:rFonts w:ascii="Arial" w:cs="Arial" w:eastAsia="Arial" w:hAnsi="Arial"/>
                <w:sz w:val="16"/>
                <w:szCs w:val="16"/>
                <w:b w:val="1"/>
                <w:bCs w:val="1"/>
                <w:color w:val="auto"/>
              </w:rPr>
              <w:t>Date(4)</w:t>
            </w:r>
          </w:p>
        </w:tc>
        <w:tc>
          <w:tcPr>
            <w:tcW w:w="0" w:type="dxa"/>
            <w:vAlign w:val="bottom"/>
          </w:tcPr>
          <w:p>
            <w:pPr>
              <w:spacing w:after="0"/>
              <w:rPr>
                <w:sz w:val="1"/>
                <w:szCs w:val="1"/>
                <w:color w:val="auto"/>
              </w:rPr>
            </w:pPr>
          </w:p>
        </w:tc>
      </w:tr>
      <w:tr>
        <w:trPr>
          <w:trHeight w:val="33"/>
        </w:trPr>
        <w:tc>
          <w:tcPr>
            <w:tcW w:w="3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Chandler Fashion Center(5)(6)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255,174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199,972</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4.18</w:t>
            </w:r>
          </w:p>
        </w:tc>
        <w:tc>
          <w:tcPr>
            <w:tcW w:w="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Danbury Fair Mall</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194,718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202,158</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5.53</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Fashion Outlets of Chicago(7)</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299,112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199,622</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4.61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Fashion Outlets of Niagara Falls USA(8)</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106,398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109,651</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4.89</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Freehold Raceway Mall(5)</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398,379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398,212</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3.94</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Fresno Fashion Fair</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323,659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323,460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3.67</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Green Acres Commons(9)</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128,926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128,006</w:t>
            </w: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w w:val="92"/>
              </w:rPr>
              <w:t>4.40 %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Green Acres Mall</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277,747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284,686</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3.61</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Kings Plaza Shopping Center(10)</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535,097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437,120</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3.71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Oaks, The</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187,142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192,037</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4.14</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Pacific View</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118,202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121,362</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4.08</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Queens Center</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600,000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3.49</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Santa Monica Place(11)</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297,817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297,069</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3.34</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SanTan Village Regional Center(12)</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219,140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121,585</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4.34</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Towne Mall</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20,284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20,733</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4.48</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Tucson La Encantada</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63,682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65,361</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4.23</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Victor Valley, Mall of</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114,733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114,675</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4.00</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Vintage Faire Mall</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252,389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258,207</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3.55</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4,392,599</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4,073,916</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820" w:right="100" w:hanging="407"/>
        <w:spacing w:after="0" w:line="312" w:lineRule="auto"/>
        <w:tabs>
          <w:tab w:leader="none" w:pos="812"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$16,042 and $13,053 at December 31, 2019 and 2018, respectively.</w:t>
      </w:r>
    </w:p>
    <w:p>
      <w:pPr>
        <w:spacing w:after="0" w:line="83" w:lineRule="exact"/>
        <w:rPr>
          <w:rFonts w:ascii="Arial" w:cs="Arial" w:eastAsia="Arial" w:hAnsi="Arial"/>
          <w:sz w:val="13"/>
          <w:szCs w:val="13"/>
          <w:color w:val="auto"/>
        </w:rPr>
      </w:pPr>
    </w:p>
    <w:p>
      <w:pPr>
        <w:ind w:left="820" w:hanging="407"/>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pacing w:after="0" w:line="149" w:lineRule="exact"/>
        <w:rPr>
          <w:rFonts w:ascii="Arial" w:cs="Arial" w:eastAsia="Arial" w:hAnsi="Arial"/>
          <w:sz w:val="14"/>
          <w:szCs w:val="14"/>
          <w:color w:val="auto"/>
        </w:rPr>
      </w:pPr>
    </w:p>
    <w:p>
      <w:pPr>
        <w:ind w:left="820" w:hanging="407"/>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136" w:lineRule="exact"/>
        <w:rPr>
          <w:rFonts w:ascii="Arial" w:cs="Arial" w:eastAsia="Arial" w:hAnsi="Arial"/>
          <w:sz w:val="14"/>
          <w:szCs w:val="14"/>
          <w:color w:val="auto"/>
        </w:rPr>
      </w:pPr>
    </w:p>
    <w:p>
      <w:pPr>
        <w:ind w:left="820" w:right="20" w:hanging="407"/>
        <w:spacing w:after="0" w:line="273" w:lineRule="auto"/>
        <w:tabs>
          <w:tab w:leader="none" w:pos="812"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6" w:lineRule="exact"/>
        <w:rPr>
          <w:rFonts w:ascii="Arial" w:cs="Arial" w:eastAsia="Arial" w:hAnsi="Arial"/>
          <w:sz w:val="14"/>
          <w:szCs w:val="14"/>
          <w:color w:val="auto"/>
        </w:rPr>
      </w:pPr>
    </w:p>
    <w:p>
      <w:pPr>
        <w:ind w:left="820" w:hanging="407"/>
        <w:spacing w:after="0"/>
        <w:tabs>
          <w:tab w:leader="none" w:pos="8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12—Financing Arrangement).</w:t>
      </w:r>
    </w:p>
    <w:p>
      <w:pPr>
        <w:spacing w:after="0" w:line="161" w:lineRule="exact"/>
        <w:rPr>
          <w:rFonts w:ascii="Arial" w:cs="Arial" w:eastAsia="Arial" w:hAnsi="Arial"/>
          <w:sz w:val="13"/>
          <w:szCs w:val="13"/>
          <w:color w:val="auto"/>
        </w:rPr>
      </w:pPr>
    </w:p>
    <w:p>
      <w:pPr>
        <w:ind w:left="820" w:hanging="407"/>
        <w:spacing w:after="0"/>
        <w:tabs>
          <w:tab w:leader="none" w:pos="8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On June 27, 2019, the Company replaced the existing loan on the property with a new $256,000 loan that bears interest at an effective rate of 4.18% and matures on July 5, 2024.</w:t>
      </w:r>
    </w:p>
    <w:p>
      <w:pPr>
        <w:spacing w:after="0" w:line="147" w:lineRule="exact"/>
        <w:rPr>
          <w:rFonts w:ascii="Arial" w:cs="Arial" w:eastAsia="Arial" w:hAnsi="Arial"/>
          <w:sz w:val="13"/>
          <w:szCs w:val="13"/>
          <w:color w:val="auto"/>
        </w:rPr>
      </w:pPr>
    </w:p>
    <w:p>
      <w:pPr>
        <w:ind w:left="820" w:right="220" w:hanging="407"/>
        <w:spacing w:after="0" w:line="273" w:lineRule="auto"/>
        <w:tabs>
          <w:tab w:leader="none" w:pos="812"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January 10, 2019, the Company replaced the existing loan on the property with a new $300,000 loan that bears interest at an effective rate of 4.61% and matures on February 1, 2031.</w:t>
      </w:r>
    </w:p>
    <w:p>
      <w:pPr>
        <w:spacing w:after="0" w:line="106" w:lineRule="exact"/>
        <w:rPr>
          <w:rFonts w:ascii="Arial" w:cs="Arial" w:eastAsia="Arial" w:hAnsi="Arial"/>
          <w:sz w:val="14"/>
          <w:szCs w:val="14"/>
          <w:color w:val="auto"/>
        </w:rPr>
      </w:pPr>
    </w:p>
    <w:p>
      <w:pPr>
        <w:ind w:left="820" w:hanging="407"/>
        <w:spacing w:after="0" w:line="257" w:lineRule="auto"/>
        <w:tabs>
          <w:tab w:leader="none" w:pos="812"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loan includes an unamortized debt premium of $773 and $1,701 at December 31, 2019 and 2018, respectively. The debt premiums represent the excess of the fair value of the loan over the principal value of the loan assumed at acquisition and is amortized into interest expense over the remaining term of the loan in a manner that approximates the effective interest method.</w:t>
      </w:r>
    </w:p>
    <w:p>
      <w:pPr>
        <w:spacing w:after="0" w:line="117" w:lineRule="exact"/>
        <w:rPr>
          <w:rFonts w:ascii="Arial" w:cs="Arial" w:eastAsia="Arial" w:hAnsi="Arial"/>
          <w:sz w:val="14"/>
          <w:szCs w:val="14"/>
          <w:color w:val="auto"/>
        </w:rPr>
      </w:pPr>
    </w:p>
    <w:p>
      <w:pPr>
        <w:ind w:left="820" w:hanging="407"/>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loan bears interest at LIBOR plus 2.15%. At December 31, 2019 and 2018, the total interest rate was 4.40% and 5.06%, respectively.</w:t>
      </w:r>
    </w:p>
    <w:p>
      <w:pPr>
        <w:spacing w:after="0" w:line="136" w:lineRule="exact"/>
        <w:rPr>
          <w:rFonts w:ascii="Arial" w:cs="Arial" w:eastAsia="Arial" w:hAnsi="Arial"/>
          <w:sz w:val="14"/>
          <w:szCs w:val="14"/>
          <w:color w:val="auto"/>
        </w:rPr>
      </w:pPr>
    </w:p>
    <w:p>
      <w:pPr>
        <w:ind w:left="820" w:right="220" w:hanging="407"/>
        <w:spacing w:after="0" w:line="273" w:lineRule="auto"/>
        <w:tabs>
          <w:tab w:leader="none" w:pos="817"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December 3, 2019, the Company replaced the existing loan on the property with a new $540,000 loan that bears interest at an effective rate of 3.71% and matures on January 1, 2030 .</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3" w:lineRule="exact"/>
        <w:rPr>
          <w:rFonts w:ascii="Arial" w:cs="Arial" w:eastAsia="Arial" w:hAnsi="Arial"/>
          <w:sz w:val="18"/>
          <w:szCs w:val="18"/>
          <w:b w:val="1"/>
          <w:bCs w:val="1"/>
          <w:color w:val="auto"/>
        </w:rPr>
      </w:pPr>
    </w:p>
    <w:p>
      <w:pPr>
        <w:ind w:left="820" w:right="260" w:hanging="407"/>
        <w:spacing w:after="0" w:line="312" w:lineRule="auto"/>
        <w:tabs>
          <w:tab w:leader="none" w:pos="811"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The loan bears interest at LIBOR plus 1.35%. The loan is covered by an interest rate cap agreement that effectively prevents LIBOR from exceeding 4.0% during the period ending December 9, 2021 (See Note 5—Derivative Instruments and Hedging Activities). At December 31, 2019 and 2018, the total interest rate was 3.34% and 4.01%, respectively.</w:t>
      </w:r>
    </w:p>
    <w:p>
      <w:pPr>
        <w:spacing w:after="0" w:line="83" w:lineRule="exact"/>
        <w:rPr>
          <w:rFonts w:ascii="Arial" w:cs="Arial" w:eastAsia="Arial" w:hAnsi="Arial"/>
          <w:sz w:val="13"/>
          <w:szCs w:val="13"/>
          <w:color w:val="auto"/>
        </w:rPr>
      </w:pPr>
    </w:p>
    <w:p>
      <w:pPr>
        <w:ind w:left="820" w:right="120" w:hanging="407"/>
        <w:spacing w:after="0" w:line="273" w:lineRule="auto"/>
        <w:tabs>
          <w:tab w:leader="none" w:pos="817" w:val="left"/>
        </w:tabs>
        <w:numPr>
          <w:ilvl w:val="1"/>
          <w:numId w:val="44"/>
        </w:numPr>
        <w:rPr>
          <w:rFonts w:ascii="Arial" w:cs="Arial" w:eastAsia="Arial" w:hAnsi="Arial"/>
          <w:sz w:val="14"/>
          <w:szCs w:val="14"/>
          <w:color w:val="auto"/>
        </w:rPr>
      </w:pPr>
      <w:r>
        <w:rPr>
          <w:rFonts w:ascii="Arial" w:cs="Arial" w:eastAsia="Arial" w:hAnsi="Arial"/>
          <w:sz w:val="14"/>
          <w:szCs w:val="14"/>
          <w:color w:val="auto"/>
        </w:rPr>
        <w:t>On June 3, 2019, the Company’s joint venture in SanTan Village Regional Center replaced the existing loan on the property with a new $220,000 loan that bear interest at an effective rate of 4.34% and matures on July 1, 2029.</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144"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As of December 31, 2019, all of the Company's mortgage notes payable are secured by the properties on which they are placed and are non-recourse to the Company.</w:t>
      </w:r>
    </w:p>
    <w:p>
      <w:pPr>
        <w:spacing w:after="0" w:line="103"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The Company expects all loan maturities during the next twelve months will be refinanced, restructured, and/or paid off from the Company's line of credit or with cash on hand.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interest expense capitalized during the years ended December 31, 2019, 2018 and 2017 was $9,614, $15,422 and $13,160, respectively.</w:t>
      </w:r>
    </w:p>
    <w:p>
      <w:pPr>
        <w:spacing w:after="0" w:line="156"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The estimated fair value (Level 2 measurement) of mortgage notes payable at December 31, 2019 and 2018 was $4,427,790 and $4,082,448,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maturities of mortgage notes payable are as follows:</w:t>
      </w: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Year Ending December 31,</w:t>
      </w:r>
    </w:p>
    <w:p>
      <w:pPr>
        <w:spacing w:after="0" w:line="50" w:lineRule="exact"/>
        <w:rPr>
          <w:sz w:val="20"/>
          <w:szCs w:val="20"/>
          <w:color w:val="auto"/>
        </w:rPr>
      </w:pPr>
    </w:p>
    <w:tbl>
      <w:tblPr>
        <w:tblLayout w:type="fixed"/>
        <w:tblInd w:w="1040" w:type="dxa"/>
        <w:tblCellMar>
          <w:top w:w="0" w:type="dxa"/>
          <w:left w:w="0" w:type="dxa"/>
          <w:bottom w:w="0" w:type="dxa"/>
          <w:right w:w="0" w:type="dxa"/>
        </w:tblCellMar>
      </w:tblPr>
      <w:tr>
        <w:trPr>
          <w:trHeight w:val="23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325,133</w:t>
            </w:r>
          </w:p>
        </w:tc>
      </w:tr>
      <w:tr>
        <w:trPr>
          <w:trHeight w:val="224"/>
        </w:trPr>
        <w:tc>
          <w:tcPr>
            <w:tcW w:w="7900" w:type="dxa"/>
            <w:vAlign w:val="bottom"/>
          </w:tcPr>
          <w:p>
            <w:pPr>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418,239</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674,340</w:t>
            </w:r>
          </w:p>
        </w:tc>
      </w:tr>
      <w:tr>
        <w:trPr>
          <w:trHeight w:val="224"/>
        </w:trPr>
        <w:tc>
          <w:tcPr>
            <w:tcW w:w="7900" w:type="dxa"/>
            <w:vAlign w:val="bottom"/>
          </w:tcPr>
          <w:p>
            <w:pPr>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6,895</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2024</w:t>
            </w: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378,120</w:t>
            </w:r>
          </w:p>
        </w:tc>
      </w:tr>
      <w:tr>
        <w:trPr>
          <w:trHeight w:val="224"/>
        </w:trPr>
        <w:tc>
          <w:tcPr>
            <w:tcW w:w="7900" w:type="dxa"/>
            <w:vAlign w:val="bottom"/>
          </w:tcPr>
          <w:p>
            <w:pPr>
              <w:spacing w:after="0"/>
              <w:rPr>
                <w:sz w:val="20"/>
                <w:szCs w:val="20"/>
                <w:color w:val="auto"/>
              </w:rPr>
            </w:pPr>
            <w:r>
              <w:rPr>
                <w:rFonts w:ascii="Arial" w:cs="Arial" w:eastAsia="Arial" w:hAnsi="Arial"/>
                <w:sz w:val="16"/>
                <w:szCs w:val="16"/>
                <w:color w:val="auto"/>
              </w:rPr>
              <w:t>Thereafter</w:t>
            </w:r>
          </w:p>
        </w:tc>
        <w:tc>
          <w:tcPr>
            <w:tcW w:w="4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2,605,141</w:t>
            </w: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4,407,868</w:t>
            </w:r>
          </w:p>
        </w:tc>
      </w:tr>
      <w:tr>
        <w:trPr>
          <w:trHeight w:val="224"/>
        </w:trPr>
        <w:tc>
          <w:tcPr>
            <w:tcW w:w="7900" w:type="dxa"/>
            <w:vAlign w:val="bottom"/>
          </w:tcPr>
          <w:p>
            <w:pPr>
              <w:spacing w:after="0"/>
              <w:rPr>
                <w:sz w:val="20"/>
                <w:szCs w:val="20"/>
                <w:color w:val="auto"/>
              </w:rPr>
            </w:pPr>
            <w:r>
              <w:rPr>
                <w:rFonts w:ascii="Arial" w:cs="Arial" w:eastAsia="Arial" w:hAnsi="Arial"/>
                <w:sz w:val="16"/>
                <w:szCs w:val="16"/>
                <w:color w:val="auto"/>
              </w:rPr>
              <w:t>Debt premium</w:t>
            </w:r>
          </w:p>
        </w:tc>
        <w:tc>
          <w:tcPr>
            <w:tcW w:w="4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773</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finance cost, net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(16,042)</w:t>
            </w:r>
          </w:p>
        </w:tc>
      </w:tr>
      <w:tr>
        <w:trPr>
          <w:trHeight w:val="217"/>
        </w:trPr>
        <w:tc>
          <w:tcPr>
            <w:tcW w:w="79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4,392,599</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maturities reflected above reflect the extension options that the Company believes will be exercised.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and other notes payable at December 31, 2019 and 2018 consist of the following: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Line of Credit:</w:t>
      </w:r>
    </w:p>
    <w:p>
      <w:pPr>
        <w:spacing w:after="0" w:line="158"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11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Based on the Company's leverage level as of December 31, 2019, the borrowing rate on the facility was LIBOR plus 1.55%. The Company has four interest rate swap agreements that effectively convert a total of $400,000 of the outstanding balance from floating rate debt of LIBOR plus 1.55% to fixed rate debt of 4.30% until September 30, 2021 (See Note 5—Derivative Instruments and Hedging Activities). As of December 31, 2019 and 2018, borrowings under the line of credit, were $820,000 and $910,000, respectively, less unamortized deferred finance costs of $2,623 and $5,145, respectively, at a total interest rate of 3.92% and 4.20%, respectively. As of December 31, 2019 and 2018, the Company's availability under the line of</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credit for additional borrowings was $679,719 and $589,719, respectively, The estimated fair value (Level 2 measurement) of the line of credit at December 31, 2019 and 2018 was $826,280 and $912,163, respectively, based on a present value model using a credit interest rate spread offered to the Company for comparable debt.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Prasada Note:</w:t>
      </w:r>
    </w:p>
    <w:p>
      <w:pPr>
        <w:spacing w:after="0" w:line="15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On March 29, 2013, the Company issued a $13,330 note payable that bore interest at 5.25% and was to mature on May 30, 2021. The note payable was collateralized by a portion of a development reimbursement agreement with the City of Surprise, Arizona. On October 7, 2019, the loan was paid off. At December 31, 2018, the note had a balance of $3,689. The estimated fair value (Level 2 measurement) of the note at December 31, 2018 was $3,690, based on current interest rates for comparable notes. Fair value was determined using a present value model and an interest rate that included a credit value adjustment based on the estimated value of the collateral for the underlying debt.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and 2018, the Company was in compliance with all applicable financial loan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w:t>
      </w:r>
    </w:p>
    <w:p>
      <w:pPr>
        <w:spacing w:after="0" w:line="162"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On September 30, 2009, the Company formed a joint venture, whereby a third party acquired a 49.9% interest in Chandler Fashion Center, a 1,318,000 square foot regional shopping center in Chandler, Arizona, and Freehold Raceway Mall, a 1,673,000 square foot regional shopping center in Freehold, New Jersey, referred to herein as Chandler Freehold. As a result of the Company having certain rights under the agreement to repurchase the assets of Chandler Freehold, the transaction did not qualify for sale treatment. The Company, however, is not obligated to repurchase the assets. The transaction was initially accounted for as a co-venture arrangement, and accordingly the assets, liabilities and operations of the properties remain on the books of the Company and a co-venture obligation was established for the net cash proceeds received from the third party less costs allocated to a warrant. The co-venture obligation was increased for the allocation of income to the co-venture partner and decreased for distributions to the co-venture partner.</w:t>
      </w:r>
    </w:p>
    <w:p>
      <w:pPr>
        <w:spacing w:after="0" w:line="86"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Upon adoption of ASC 606 on January 1, 2018, the Company changed its accounting for Chandler Freehold from a co-venture arrangement to a financing arrangement. Accordingly, the Company replaced its $31,150 distributions in excess of co-venture obligation with a financing arrangement liability of $393,709 on its consolidated balance sheets. This resulted in the recognition of a $424,859 increase in the Company’s accumulated deficit as a cumulative effect adjustment under the modified retrospective method of adoption. As a result of adopting ASC 606,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110"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During the years ended December 31, 2019 and 2018, the Company incurred interest (income) expense in connection with the financing arrangement as follows:</w:t>
      </w:r>
    </w:p>
    <w:p>
      <w:pPr>
        <w:spacing w:after="0" w:line="200" w:lineRule="exact"/>
        <w:rPr>
          <w:sz w:val="20"/>
          <w:szCs w:val="20"/>
          <w:color w:val="auto"/>
        </w:rPr>
      </w:pPr>
    </w:p>
    <w:p>
      <w:pPr>
        <w:spacing w:after="0" w:line="327"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5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of the partner's share of 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9,079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Distributions in excess of the partner's share of net income</w:t>
            </w:r>
          </w:p>
        </w:tc>
        <w:tc>
          <w:tcPr>
            <w:tcW w:w="32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6,376</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to fair value of financing arrangement obligation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(15,225)</w:t>
            </w:r>
          </w:p>
        </w:tc>
      </w:tr>
      <w:tr>
        <w:trPr>
          <w:trHeight w:val="237"/>
        </w:trPr>
        <w:tc>
          <w:tcPr>
            <w:tcW w:w="55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230</w:t>
            </w:r>
          </w:p>
        </w:tc>
      </w:tr>
      <w:tr>
        <w:trPr>
          <w:trHeight w:val="27"/>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fair value (Level 3 measurement) of the financing arrangement obligation at December 31, 2019 and 2018 was based upon a terminal capitalization rate of 5.0% and 4.8%, respectively, a discount rate of 6.0% and 5.8%, respectively, and market rents per square foot of $35 to $115. The fair value of the financing arrangement obligation is sensitive to these significant unobservable inputs and a change in these inputs may result in a significantly higher or lower fair value measurement.</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Distributions to the partner, excluding distributions of excess loan proceeds, and changes in fair value of the financing arrangement obligation are recognized as interest (income) expense in the Company's consolidated statements of operations.</w:t>
      </w:r>
    </w:p>
    <w:p>
      <w:pPr>
        <w:spacing w:after="0" w:line="103" w:lineRule="exact"/>
        <w:rPr>
          <w:sz w:val="20"/>
          <w:szCs w:val="20"/>
          <w:color w:val="auto"/>
        </w:rPr>
      </w:pPr>
    </w:p>
    <w:p>
      <w:pPr>
        <w:jc w:val="both"/>
        <w:ind w:right="280" w:firstLine="446"/>
        <w:spacing w:after="0" w:line="264" w:lineRule="auto"/>
        <w:rPr>
          <w:sz w:val="20"/>
          <w:szCs w:val="20"/>
          <w:color w:val="auto"/>
        </w:rPr>
      </w:pPr>
      <w:r>
        <w:rPr>
          <w:rFonts w:ascii="Arial" w:cs="Arial" w:eastAsia="Arial" w:hAnsi="Arial"/>
          <w:sz w:val="18"/>
          <w:szCs w:val="18"/>
          <w:color w:val="auto"/>
        </w:rPr>
        <w:t>On June 27, 2019, the Company replaced the existing mortgage note payable on Chandler Fashion Center with a new $256,000 loan (See Note 10— Mortgage Notes Payable). In connection with the refinancing transaction, the Company distributed $27,945 of the excess loan proceeds to its joint venture partner, which was recorded as a reduction to the financing arrangement obligation.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148"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93% ownership interest in the Operating Partnership as of December 31, 2019 and 2018. The remaining 7% limited partnership interest as of December 31, 2019 and 2018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2019 and 2018, the aggregate redemption value of the then-outstanding OP Units not owned by the Company was $277,524 and $448,116, respectively.</w:t>
      </w:r>
    </w:p>
    <w:p>
      <w:pPr>
        <w:spacing w:after="0" w:line="99"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14"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2017 Stock Buyback Program:</w:t>
      </w:r>
    </w:p>
    <w:p>
      <w:pPr>
        <w:spacing w:after="0" w:line="158"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w:t>
      </w:r>
    </w:p>
    <w:p>
      <w:pPr>
        <w:spacing w:after="0" w:line="106"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color w:val="auto"/>
        </w:rPr>
        <w:t>During the period from February 12, 2017 to December 31, 2017, the Company repurchased a total of 3,627,390 of its common shares for $221,428, representing an average price of $61.01 per share. The Company funded the repurchases from the net proceeds of the sale of Cascade Mall and Northgate Mall (See Note 16—Dispositions), its share of the proceeds from the sale of ownership interests in office buildings at Country Club Plaza and Fashion District Philadelphia (See Note 4—Investments in Unconsolidated Joint Ventures) and from borrowings under its line of credit. There were no repurchases during the years ended December 31, 2019 or 2018.</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At-The-Market Stock Offering Program ("ATM Program"):</w:t>
      </w:r>
    </w:p>
    <w:p>
      <w:pPr>
        <w:spacing w:after="0" w:line="158"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On August 20, 2014, the Company entered into an equity distribution agreement with a number of sales agents (the "ATM Program") to issue and sell, from time to time, shares of common stock, par value $0.01 per share, having an aggregate offering price of up to $500,000. The ATM Program expired by its terms in August 2017. No shares were sold under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Collaborative Arrangement:</w:t>
      </w:r>
    </w:p>
    <w:p>
      <w:pPr>
        <w:spacing w:after="0" w:line="162" w:lineRule="exact"/>
        <w:rPr>
          <w:sz w:val="20"/>
          <w:szCs w:val="20"/>
          <w:color w:val="auto"/>
        </w:rPr>
      </w:pPr>
    </w:p>
    <w:p>
      <w:pPr>
        <w:ind w:right="640" w:firstLine="446"/>
        <w:spacing w:after="0" w:line="277" w:lineRule="auto"/>
        <w:rPr>
          <w:sz w:val="20"/>
          <w:szCs w:val="20"/>
          <w:color w:val="auto"/>
        </w:rPr>
      </w:pPr>
      <w:r>
        <w:rPr>
          <w:rFonts w:ascii="Arial" w:cs="Arial" w:eastAsia="Arial" w:hAnsi="Arial"/>
          <w:sz w:val="18"/>
          <w:szCs w:val="18"/>
          <w:color w:val="auto"/>
        </w:rPr>
        <w:t>On March 1, 2018, the Company formed a 25/75 joint venture with Hudson Pacific Properties, whereby the Company agreed to contribute One Westside in exchange for a cash payment of $142,500. The Company completed the transfer on August 31, 2018.</w:t>
      </w:r>
    </w:p>
    <w:p>
      <w:pPr>
        <w:spacing w:after="0" w:line="103"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During the period from March 1, 2018 to August 31, 2018, the Company accounted for the operations of One Westside as a collaborative arrangement. Both partners shared operating control of the property and the Company was reimbursed by the outside partner for 75% of the carrying cost of the property, which were defined in the agreement as operating expenses in excess of revenues, debt service and capital expenditures. Accordingly, the Company reduced minimum rents, percentage rents, tenant recoveries, other revenue, shopping center and operating expenses and interest expense by its partner's 75% share and recorded a receivable due from its partner, which was settled upon completion of the transfer of the property. In addition, the Company was reimbursed by its partner for its 75% share of mortgage loan principal payments and capital expenditures during the period. Since completion of the transfer, the Company has accounted for its investment in One Westside under the equity method of accounting (See Note 4—Investments in Unconsolidated Joint Ventures).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Dispositions: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18, 2017, the Company sold Cascade Mall, a 589,000 square foot regional shopping center in Burlington, Washington; and Northgate Mall,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750,000 square foot regional shopping center in San Rafael, California, in a combined transaction for $170,000, resulting in a gain on the sale of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$59,577. The proceeds were used to pay off the mortgage note payable on Northgate Mall and to repurchase shares of the Company's common stock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Stock Buyback Program (See Note 14—Stockholders' Equity).</w:t>
      </w:r>
    </w:p>
    <w:p>
      <w:pPr>
        <w:spacing w:after="0" w:line="143"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$86,350, resulting in a gain on sale of assets of $14,597. The Company used the proceeds from the sale to pay down its line of credit and for other general corporate purposes.</w:t>
      </w:r>
    </w:p>
    <w:p>
      <w:pPr>
        <w:spacing w:after="0" w:line="100" w:lineRule="exact"/>
        <w:rPr>
          <w:sz w:val="20"/>
          <w:szCs w:val="20"/>
          <w:color w:val="auto"/>
        </w:rPr>
      </w:pPr>
    </w:p>
    <w:p>
      <w:pPr>
        <w:jc w:val="both"/>
        <w:ind w:right="500" w:firstLine="446"/>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62" w:lineRule="exact"/>
        <w:rPr>
          <w:sz w:val="20"/>
          <w:szCs w:val="20"/>
          <w:color w:val="auto"/>
        </w:rPr>
      </w:pPr>
    </w:p>
    <w:p>
      <w:pPr>
        <w:ind w:right="240" w:firstLine="446"/>
        <w:spacing w:after="0" w:line="308" w:lineRule="auto"/>
        <w:rPr>
          <w:sz w:val="20"/>
          <w:szCs w:val="20"/>
          <w:color w:val="auto"/>
        </w:rPr>
      </w:pPr>
      <w:r>
        <w:rPr>
          <w:rFonts w:ascii="Arial" w:cs="Arial" w:eastAsia="Arial" w:hAnsi="Arial"/>
          <w:sz w:val="17"/>
          <w:szCs w:val="17"/>
          <w:color w:val="auto"/>
        </w:rPr>
        <w:t>As of December 31, 2019, the Company was contingently liable for $40,814 in letters of credit guaranteeing performance by the Company of certain obligations relating to the Centers. The Company does not believe that these letters of credit will result in a liability to the Company.</w:t>
      </w:r>
    </w:p>
    <w:p>
      <w:pPr>
        <w:spacing w:after="0" w:line="66"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December 31, 2019, the Company had $4,194 in outstanding obligations, which it believes will be settled in the next twelve months.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62" w:lineRule="exact"/>
        <w:rPr>
          <w:sz w:val="20"/>
          <w:szCs w:val="20"/>
          <w:color w:val="auto"/>
        </w:rPr>
      </w:pPr>
    </w:p>
    <w:p>
      <w:pPr>
        <w:ind w:right="220" w:firstLine="446"/>
        <w:spacing w:after="0" w:line="312" w:lineRule="auto"/>
        <w:rPr>
          <w:sz w:val="20"/>
          <w:szCs w:val="20"/>
          <w:color w:val="auto"/>
        </w:rPr>
      </w:pPr>
      <w:r>
        <w:rPr>
          <w:rFonts w:ascii="Arial" w:cs="Arial" w:eastAsia="Arial" w:hAnsi="Arial"/>
          <w:sz w:val="16"/>
          <w:szCs w:val="16"/>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11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19,105</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Development and leasing fees</w:t>
            </w:r>
          </w:p>
        </w:tc>
        <w:tc>
          <w:tcPr>
            <w:tcW w:w="34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15,558</w:t>
            </w:r>
          </w:p>
        </w:tc>
      </w:tr>
      <w:tr>
        <w:trPr>
          <w:trHeight w:val="27"/>
        </w:trPr>
        <w:tc>
          <w:tcPr>
            <w:tcW w:w="4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7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34,804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34,164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34,663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Certain mortgage notes on the properties are held by NML. NML was considered a related party due to its ownership interest in Broadway Plaza until it sold its ownership interest in the property to a third party on October 12, 2018. Interest expense in connection with these notes, during the period that NML was a related party, was $6,653 and $8,731 for the years ended December 31, 2018 and 2017, respectively.</w:t>
      </w:r>
    </w:p>
    <w:p>
      <w:pPr>
        <w:spacing w:after="0" w:line="98" w:lineRule="exact"/>
        <w:rPr>
          <w:sz w:val="20"/>
          <w:szCs w:val="20"/>
          <w:color w:val="auto"/>
        </w:rPr>
      </w:pPr>
    </w:p>
    <w:p>
      <w:pPr>
        <w:ind w:right="760" w:firstLine="446"/>
        <w:spacing w:after="0" w:line="277" w:lineRule="auto"/>
        <w:rPr>
          <w:sz w:val="20"/>
          <w:szCs w:val="20"/>
          <w:color w:val="auto"/>
        </w:rPr>
      </w:pPr>
      <w:r>
        <w:rPr>
          <w:rFonts w:ascii="Arial" w:cs="Arial" w:eastAsia="Arial" w:hAnsi="Arial"/>
          <w:sz w:val="18"/>
          <w:szCs w:val="18"/>
          <w:color w:val="auto"/>
        </w:rPr>
        <w:t>Interest (income) expense from related party transactions also includes $(62,517) and $230 for the years ended December 31, 2019 and 2018, respectively, in connection with the Financing Arrangement (See Note 12—Financing Arrangement).</w:t>
      </w:r>
    </w:p>
    <w:p>
      <w:pPr>
        <w:spacing w:after="0" w:line="103"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Due from affiliates includes $6,157 and $6,385 of unreimbursed costs and fees due from unconsolidated joint ventures under management agreements at December 31, 2019 and 2018, respectively.</w:t>
      </w:r>
    </w:p>
    <w:p>
      <w:pPr>
        <w:spacing w:after="0" w:line="89"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In addition, due from affiliates at December 31, 2018 included a note receivable from RED/303 LLC ("RED") that bore interest at 5.25% and was to mature on May 30, 2021. Interest income earned on this note was $141, $224 and $268 for the years ended December 31, 2019, 2018 and 2017, respectively. The balance on this note receivable was $3,689 at December 31, 2018. On October 7, 2019, the note was collected in full. RED was considered a related party because it was a partner in a joint venture development project. The note was collateralized by RED's interest in a development agreement.</w:t>
      </w:r>
    </w:p>
    <w:p>
      <w:pPr>
        <w:spacing w:after="0" w:line="87"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Also included in due from affiliates at December 31, 2018 was a note receivable from Lennar Corporation that bore interest at LIBOR plus 2% and was to mature upon the completion of certain milestones in connection with the planned development of Fashion Outlets of San Francisco. The balance on this note, including interest, was $75,107 at December 31, 2018. As a result of those milestones not being completed, the Company elected to terminate the development agreement and the note was collected in full on February 13, 2019. Interest income earned on this note was $1,112, $3,152 and $2,513 for the years ended December 31, 2019, 2018 and 2017, respectively. Lennar Corporation was considered a related party because it had an ownership interest in the project.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w:t>
      </w:r>
    </w:p>
    <w:p>
      <w:pPr>
        <w:spacing w:after="0" w:line="148"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The Company has established share and unit-based compensation plans for the purpose of attracting and retaining executive officers, directors and key employees.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2003 Equity Incentive Plan:</w:t>
      </w:r>
    </w:p>
    <w:p>
      <w:pPr>
        <w:spacing w:after="0" w:line="162"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2019,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19,825,428 shares. As of December 31, 2019, there were 6,056,813 shares available for issuance under the 2003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Units:</w:t>
      </w:r>
    </w:p>
    <w:p>
      <w:pPr>
        <w:spacing w:after="0" w:line="144"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2019,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129,457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64.21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151,355</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148,428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160,932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87,983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74.04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(5,245)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43.59</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64.21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151,355</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exercise, the recipients received unrestricted common shares for the appreciation in value of the SARs from the grant date to the exercise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SARs awards during the years ended December 31, 2019,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235,439</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284,146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43"/>
        </w:trPr>
        <w:tc>
          <w:tcPr>
            <w:tcW w:w="39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0"/>
              </w:rPr>
              <w:t>(235,439)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53.83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(48,707)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64"/>
        </w:trPr>
        <w:tc>
          <w:tcPr>
            <w:tcW w:w="30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8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235,439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Incentive Plan Units:</w:t>
      </w:r>
    </w:p>
    <w:p>
      <w:pPr>
        <w:spacing w:after="0" w:line="158"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Under the Long-Term Incentive Plan ("LTIP"), each award recipient is issued a form of operating partnership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107"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stockholders (the "Total Return") per common stock share relative to the Total Return of a group of peer REITs, as measured at the end of the measurement period.</w:t>
      </w:r>
    </w:p>
    <w:p>
      <w:pPr>
        <w:spacing w:after="0" w:line="114"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fair value of the service-based LTIP Units was determined by the market price of the Company's common stock on the date of the grant. The fair value of the market-indexed LTIP Units are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granted the following LTIP units during the years ended December 31, 2019, 2018 and 2017:</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Fair Value per</w:t>
            </w:r>
          </w:p>
        </w:tc>
        <w:tc>
          <w:tcPr>
            <w:tcW w:w="1300" w:type="dxa"/>
            <w:vAlign w:val="bottom"/>
          </w:tcPr>
          <w:p>
            <w:pPr>
              <w:spacing w:after="0"/>
              <w:rPr>
                <w:sz w:val="17"/>
                <w:szCs w:val="17"/>
                <w:color w:val="auto"/>
              </w:rPr>
            </w:pPr>
          </w:p>
        </w:tc>
      </w:tr>
      <w:tr>
        <w:trPr>
          <w:trHeight w:val="210"/>
        </w:trPr>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Grant Date</w:t>
            </w:r>
          </w:p>
        </w:tc>
        <w:tc>
          <w:tcPr>
            <w:tcW w:w="1240" w:type="dxa"/>
            <w:vAlign w:val="bottom"/>
          </w:tcPr>
          <w:p>
            <w:pPr>
              <w:jc w:val="right"/>
              <w:ind w:right="350"/>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8"/>
                <w:szCs w:val="18"/>
                <w:color w:val="auto"/>
              </w:rPr>
            </w:pPr>
          </w:p>
        </w:tc>
        <w:tc>
          <w:tcPr>
            <w:tcW w:w="2040" w:type="dxa"/>
            <w:vAlign w:val="bottom"/>
            <w:gridSpan w:val="2"/>
          </w:tcPr>
          <w:p>
            <w:pPr>
              <w:ind w:left="76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LTIP Unit</w:t>
            </w:r>
          </w:p>
        </w:tc>
        <w:tc>
          <w:tcPr>
            <w:tcW w:w="1300" w:type="dxa"/>
            <w:vAlign w:val="bottom"/>
          </w:tcPr>
          <w:p>
            <w:pPr>
              <w:jc w:val="right"/>
              <w:ind w:right="251"/>
              <w:spacing w:after="0"/>
              <w:rPr>
                <w:sz w:val="20"/>
                <w:szCs w:val="20"/>
                <w:color w:val="auto"/>
              </w:rPr>
            </w:pPr>
            <w:r>
              <w:rPr>
                <w:rFonts w:ascii="Arial" w:cs="Arial" w:eastAsia="Arial" w:hAnsi="Arial"/>
                <w:sz w:val="16"/>
                <w:szCs w:val="16"/>
                <w:b w:val="1"/>
                <w:bCs w:val="1"/>
                <w:color w:val="auto"/>
              </w:rPr>
              <w:t>Vest Date</w:t>
            </w:r>
          </w:p>
        </w:tc>
      </w:tr>
      <w:tr>
        <w:trPr>
          <w:trHeight w:val="33"/>
        </w:trPr>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1/1/2017</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66,079</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70.84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12/31/2019</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1/1/2017</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297,849</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12/31/2019</w:t>
            </w: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3/3/2017</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134,742</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66.57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3/3/2017</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6/1/2017</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1,522</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58.31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5/29/2020</w:t>
            </w: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6,714</w:t>
            </w:r>
          </w:p>
        </w:tc>
        <w:tc>
          <w:tcPr>
            <w:tcW w:w="1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39.66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5/29/2020</w:t>
            </w:r>
          </w:p>
        </w:tc>
      </w:tr>
      <w:tr>
        <w:trPr>
          <w:trHeight w:val="237"/>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506,906</w:t>
            </w: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1/1/2018</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65,466</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291,326</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44.28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1/29/2018</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13,632</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2/1/2022</w:t>
            </w: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1,893</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1/29/2018</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7,775</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3/2/2018</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99,407</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59.04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3/2/2018</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4/26/2018</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89,637</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55.78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4/26/2018</w:t>
            </w:r>
          </w:p>
        </w:tc>
      </w:tr>
      <w:tr>
        <w:trPr>
          <w:trHeight w:val="27"/>
        </w:trPr>
        <w:tc>
          <w:tcPr>
            <w:tcW w:w="1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9"/>
        </w:trPr>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569,136</w:t>
            </w:r>
          </w:p>
        </w:tc>
        <w:tc>
          <w:tcPr>
            <w:tcW w:w="1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1/1/2019</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81,732</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43.28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12/31/2021</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1/1/2019</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250,852</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12/31/2021</w:t>
            </w: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9/1/2019</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4,393</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8/31/2022</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9/1/2019</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6,454</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8/31/2022</w:t>
            </w:r>
          </w:p>
        </w:tc>
      </w:tr>
      <w:tr>
        <w:trPr>
          <w:trHeight w:val="27"/>
        </w:trPr>
        <w:tc>
          <w:tcPr>
            <w:tcW w:w="1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9"/>
        </w:trPr>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343,431</w:t>
            </w:r>
          </w:p>
        </w:tc>
        <w:tc>
          <w:tcPr>
            <w:tcW w:w="1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 fair value of the market-indexed LTIP Units (Level 3) were estimated on the date of grant using a Monte Carlo Simulation model that based on the following assumptions:</w:t>
      </w:r>
    </w:p>
    <w:p>
      <w:pPr>
        <w:spacing w:after="0" w:line="153" w:lineRule="exact"/>
        <w:rPr>
          <w:sz w:val="20"/>
          <w:szCs w:val="20"/>
          <w:color w:val="auto"/>
        </w:rPr>
      </w:pPr>
    </w:p>
    <w:tbl>
      <w:tblPr>
        <w:tblLayout w:type="fixed"/>
        <w:tblInd w:w="318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b w:val="1"/>
                <w:bCs w:val="1"/>
                <w:color w:val="auto"/>
              </w:rPr>
              <w:t>Risk Free Interest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164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 Date</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Expected Volatility</w:t>
            </w:r>
          </w:p>
        </w:tc>
      </w:tr>
      <w:tr>
        <w:trPr>
          <w:trHeight w:val="27"/>
        </w:trPr>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1/1/2017</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1480" w:type="dxa"/>
            <w:vAlign w:val="bottom"/>
          </w:tcPr>
          <w:p>
            <w:pPr>
              <w:jc w:val="right"/>
              <w:spacing w:after="0"/>
              <w:rPr>
                <w:sz w:val="20"/>
                <w:szCs w:val="20"/>
                <w:color w:val="auto"/>
              </w:rPr>
            </w:pPr>
            <w:r>
              <w:rPr>
                <w:rFonts w:ascii="Arial" w:cs="Arial" w:eastAsia="Arial" w:hAnsi="Arial"/>
                <w:sz w:val="18"/>
                <w:szCs w:val="18"/>
                <w:color w:val="auto"/>
              </w:rPr>
              <w:t>6/1/2017</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1480" w:type="dxa"/>
            <w:vAlign w:val="bottom"/>
          </w:tcPr>
          <w:p>
            <w:pPr>
              <w:jc w:val="right"/>
              <w:spacing w:after="0"/>
              <w:rPr>
                <w:sz w:val="20"/>
                <w:szCs w:val="20"/>
                <w:color w:val="auto"/>
              </w:rPr>
            </w:pPr>
            <w:r>
              <w:rPr>
                <w:rFonts w:ascii="Arial" w:cs="Arial" w:eastAsia="Arial" w:hAnsi="Arial"/>
                <w:sz w:val="18"/>
                <w:szCs w:val="18"/>
                <w:color w:val="auto"/>
              </w:rPr>
              <w:t>1/29/2018</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1/1/2019</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1480" w:type="dxa"/>
            <w:vAlign w:val="bottom"/>
          </w:tcPr>
          <w:p>
            <w:pPr>
              <w:jc w:val="right"/>
              <w:spacing w:after="0"/>
              <w:rPr>
                <w:sz w:val="20"/>
                <w:szCs w:val="20"/>
                <w:color w:val="auto"/>
              </w:rPr>
            </w:pPr>
            <w:r>
              <w:rPr>
                <w:rFonts w:ascii="Arial" w:cs="Arial" w:eastAsia="Arial" w:hAnsi="Arial"/>
                <w:sz w:val="18"/>
                <w:szCs w:val="18"/>
                <w:color w:val="auto"/>
              </w:rPr>
              <w:t>9/1/2019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non-vested LTIP Units during the years ended December 31, 2019,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661,578</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48.38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89"/>
              </w:rPr>
              <w:t>636,632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52.36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322,572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343,431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21"/>
                <w:szCs w:val="21"/>
                <w:color w:val="auto"/>
              </w:rPr>
            </w:pPr>
          </w:p>
        </w:tc>
        <w:tc>
          <w:tcPr>
            <w:tcW w:w="1200" w:type="dxa"/>
            <w:vAlign w:val="bottom"/>
          </w:tcPr>
          <w:p>
            <w:pPr>
              <w:jc w:val="center"/>
              <w:ind w:left="413"/>
              <w:spacing w:after="0"/>
              <w:rPr>
                <w:sz w:val="20"/>
                <w:szCs w:val="20"/>
                <w:color w:val="auto"/>
              </w:rPr>
            </w:pPr>
            <w:r>
              <w:rPr>
                <w:rFonts w:ascii="Arial" w:cs="Arial" w:eastAsia="Arial" w:hAnsi="Arial"/>
                <w:sz w:val="18"/>
                <w:szCs w:val="18"/>
                <w:color w:val="auto"/>
                <w:w w:val="89"/>
              </w:rPr>
              <w:t>569,136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(76,306)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373"/>
              <w:spacing w:after="0"/>
              <w:rPr>
                <w:sz w:val="20"/>
                <w:szCs w:val="20"/>
                <w:color w:val="auto"/>
              </w:rPr>
            </w:pPr>
            <w:r>
              <w:rPr>
                <w:rFonts w:ascii="Arial" w:cs="Arial" w:eastAsia="Arial" w:hAnsi="Arial"/>
                <w:sz w:val="18"/>
                <w:szCs w:val="18"/>
                <w:color w:val="auto"/>
                <w:w w:val="90"/>
              </w:rPr>
              <w:t>(253,625)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0"/>
              </w:rPr>
              <w:t>(192,846)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(312,484)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21"/>
                <w:szCs w:val="21"/>
                <w:color w:val="auto"/>
              </w:rPr>
            </w:pPr>
          </w:p>
        </w:tc>
        <w:tc>
          <w:tcPr>
            <w:tcW w:w="1200" w:type="dxa"/>
            <w:vAlign w:val="bottom"/>
          </w:tcPr>
          <w:p>
            <w:pPr>
              <w:jc w:val="center"/>
              <w:ind w:left="373"/>
              <w:spacing w:after="0"/>
              <w:rPr>
                <w:sz w:val="20"/>
                <w:szCs w:val="20"/>
                <w:color w:val="auto"/>
              </w:rPr>
            </w:pPr>
            <w:r>
              <w:rPr>
                <w:rFonts w:ascii="Arial" w:cs="Arial" w:eastAsia="Arial" w:hAnsi="Arial"/>
                <w:sz w:val="18"/>
                <w:szCs w:val="18"/>
                <w:color w:val="auto"/>
                <w:w w:val="90"/>
              </w:rPr>
              <w:t>(290,565)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616,219</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39.04</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9"/>
              </w:rPr>
              <w:t>661,578</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636,632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jc w:val="both"/>
        <w:ind w:right="300" w:firstLine="446"/>
        <w:spacing w:after="0" w:line="286" w:lineRule="auto"/>
        <w:rPr>
          <w:sz w:val="20"/>
          <w:szCs w:val="20"/>
          <w:color w:val="auto"/>
        </w:rPr>
      </w:pPr>
      <w:r>
        <w:rPr>
          <w:rFonts w:ascii="Arial" w:cs="Arial" w:eastAsia="Arial" w:hAnsi="Arial"/>
          <w:sz w:val="17"/>
          <w:szCs w:val="17"/>
          <w:color w:val="auto"/>
        </w:rPr>
        <w:t>On May 30, 2017, the Company granted 25,000 non-qualified stock options with a grant date fair value of $10.02 that vested on May 30, 2019. The Company measured the value of each option awarded using the Black-Scholes Option Pricing Model based upon the following assumptions: volatility of 30.19%, dividend yield of 4.93%, risk free rate of 2.08%, current value of $57.55 and an expected term of 8 years.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stock options for the years ended December 31, 2019, 2018 and 2017:</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2018</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2017</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7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1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57.32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57.32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0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35,565</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57.32</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35,565</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35,565</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Phantom Stock Plan:</w:t>
      </w:r>
    </w:p>
    <w:p>
      <w:pPr>
        <w:spacing w:after="0" w:line="148" w:lineRule="exact"/>
        <w:rPr>
          <w:sz w:val="20"/>
          <w:szCs w:val="20"/>
          <w:color w:val="auto"/>
        </w:rPr>
      </w:pPr>
    </w:p>
    <w:p>
      <w:pPr>
        <w:ind w:right="80" w:firstLine="446"/>
        <w:spacing w:after="0" w:line="288" w:lineRule="auto"/>
        <w:rPr>
          <w:sz w:val="20"/>
          <w:szCs w:val="20"/>
          <w:color w:val="auto"/>
        </w:rPr>
      </w:pPr>
      <w:r>
        <w:rPr>
          <w:rFonts w:ascii="Arial" w:cs="Arial" w:eastAsia="Arial" w:hAnsi="Arial"/>
          <w:sz w:val="16"/>
          <w:szCs w:val="16"/>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500,000. As of December 31, 2019, there were 134,638 stock units available for grant under the Directors' Phantom Stock Plan.</w:t>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of the non-vested phantom stock units for the years ended December 31, 2019,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Stock 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79.82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23,690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40.26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38.94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43.29</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79.82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 ("ESPP"):</w:t>
      </w:r>
    </w:p>
    <w:p>
      <w:pPr>
        <w:spacing w:after="0" w:line="148"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750,000 shares of common stock is available for purchase under the ESPP. The number of shares available for future purchase under the plan at December 31, 2019 was 356,822.</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summarizes the compensation cost under the share and unit-based plans for the years ended December 31, 2019, 2018 and 2017:</w:t>
      </w:r>
    </w:p>
    <w:p>
      <w:pPr>
        <w:spacing w:after="0" w:line="20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units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6,045</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LTIP units</w:t>
            </w:r>
          </w:p>
        </w:tc>
        <w:tc>
          <w:tcPr>
            <w:tcW w:w="3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26,311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30,161</w:t>
            </w: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Phantom stock units</w:t>
            </w:r>
          </w:p>
        </w:tc>
        <w:tc>
          <w:tcPr>
            <w:tcW w:w="3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714</w:t>
            </w:r>
          </w:p>
        </w:tc>
      </w:tr>
      <w:tr>
        <w:trPr>
          <w:trHeight w:val="27"/>
        </w:trPr>
        <w:tc>
          <w:tcPr>
            <w:tcW w:w="4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7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16,723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33,551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37,005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Company capitalized share and unit-based compensation costs of $4,691, $6,184 and $6,206 for the years ended December 31, 2019, 2018 and 2017, respectively.</w:t>
      </w:r>
    </w:p>
    <w:p>
      <w:pPr>
        <w:spacing w:after="0" w:line="103" w:lineRule="exact"/>
        <w:rPr>
          <w:sz w:val="20"/>
          <w:szCs w:val="20"/>
          <w:color w:val="auto"/>
        </w:rPr>
      </w:pPr>
    </w:p>
    <w:p>
      <w:pPr>
        <w:ind w:right="360" w:firstLine="446"/>
        <w:spacing w:after="0" w:line="264" w:lineRule="auto"/>
        <w:rPr>
          <w:sz w:val="20"/>
          <w:szCs w:val="20"/>
          <w:color w:val="auto"/>
        </w:rPr>
      </w:pPr>
      <w:r>
        <w:rPr>
          <w:rFonts w:ascii="Arial" w:cs="Arial" w:eastAsia="Arial" w:hAnsi="Arial"/>
          <w:sz w:val="18"/>
          <w:szCs w:val="18"/>
          <w:color w:val="auto"/>
        </w:rPr>
        <w:t>The fair value of the stock awards and stock units that vested during the years ended December 31, 2019, 2018 and 2017 was $3,577, $6,479 and $5,257, respectively. Unrecognized compensation costs of share and unit-based plans at December 31, 2019 consisted of $1,647 from LTIP Units, $2,949 from stock units and $0 from stock options.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right="9260" w:hanging="452"/>
        <w:spacing w:after="0" w:line="417" w:lineRule="auto"/>
        <w:tabs>
          <w:tab w:leader="none" w:pos="28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i w:val="1"/>
          <w:iCs w:val="1"/>
          <w:color w:val="auto"/>
        </w:rPr>
        <w:t>401(k) Plan:</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The Company has a defined contribution retirement plan that covers its eligible employees (the "Plan"). The Plan is a defined contribution retirement plan covering eligible employees of the Macerich Property Management Company, LLC and participating affiliates. This Plan includes The Macerich Company Common Stock Fund as a new investment alternative under the Plan with 650,000 shares of common stock reserved for issuance under the Plan. In accordance with the Plan, the Company makes matching contributions equal to 100 percent of the first three percent of compensation deferred by a participant and 50 percent of the next two percent of compensation deferred by a participant. During the years ended December 31, 2019, 2018 and 2017, these matching contributions made by the Company were $3,346, $3,422 and $3,481, respectively. Contributions and matching contributions to the Plan by the plan sponsor and/or participating affiliates are recognized as an expense of the Company in the period that they are made.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Compensation Plans:</w:t>
      </w:r>
    </w:p>
    <w:p>
      <w:pPr>
        <w:spacing w:after="0" w:line="144"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$814, $813 and $1,069 to the plans during the years ended December 31, 2019, 2018 and 2017, respectively. Contributions are recognized as compensation in the periods they are made.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148" w:lineRule="exact"/>
        <w:rPr>
          <w:sz w:val="20"/>
          <w:szCs w:val="20"/>
          <w:color w:val="auto"/>
        </w:rPr>
      </w:pPr>
    </w:p>
    <w:p>
      <w:pPr>
        <w:ind w:right="380" w:firstLine="446"/>
        <w:spacing w:after="0" w:line="264" w:lineRule="auto"/>
        <w:rPr>
          <w:sz w:val="20"/>
          <w:szCs w:val="20"/>
          <w:color w:val="auto"/>
        </w:rPr>
      </w:pPr>
      <w:r>
        <w:rPr>
          <w:rFonts w:ascii="Arial" w:cs="Arial" w:eastAsia="Arial" w:hAnsi="Arial"/>
          <w:sz w:val="18"/>
          <w:szCs w:val="18"/>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2019, 2018 and 2017:</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3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2019(1)</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2018(1)</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36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Unrecaptured Section 1250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36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34.6 %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3"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2019 and 2018 taxable ordinary dividends are treated as "qualified REIT dividends" for purposes of Internal Revenue Code Section 199A.</w:t>
      </w:r>
    </w:p>
    <w:p>
      <w:pPr>
        <w:spacing w:after="0" w:line="392" w:lineRule="exact"/>
        <w:rPr>
          <w:sz w:val="20"/>
          <w:szCs w:val="20"/>
          <w:color w:val="auto"/>
        </w:rPr>
      </w:pPr>
    </w:p>
    <w:p>
      <w:pPr>
        <w:ind w:right="700" w:firstLine="446"/>
        <w:spacing w:after="0" w:line="342" w:lineRule="auto"/>
        <w:rPr>
          <w:sz w:val="20"/>
          <w:szCs w:val="20"/>
          <w:color w:val="auto"/>
        </w:rPr>
      </w:pPr>
      <w:r>
        <w:rPr>
          <w:rFonts w:ascii="Arial" w:cs="Arial" w:eastAsia="Arial" w:hAnsi="Arial"/>
          <w:sz w:val="16"/>
          <w:szCs w:val="16"/>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of the TRSs for the years ended December 31, 2019, 2018 and 2017 are as follows:</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7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(15,779)</w:t>
            </w:r>
          </w:p>
        </w:tc>
      </w:tr>
      <w:tr>
        <w:trPr>
          <w:trHeight w:val="27"/>
        </w:trPr>
        <w:tc>
          <w:tcPr>
            <w:tcW w:w="4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income tax provision of the TRSs for the years ended December 31, 2019, 2018 and 2017 are reconciled to the amount computed by applying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Corporate tax rate as follows:</w:t>
      </w:r>
    </w:p>
    <w:p>
      <w:pPr>
        <w:spacing w:after="0" w:line="189"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5"/>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(income) loss for TRSs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19,525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line="163" w:lineRule="exact"/>
              <w:rPr>
                <w:sz w:val="20"/>
                <w:szCs w:val="20"/>
                <w:color w:val="auto"/>
              </w:rPr>
            </w:pPr>
            <w:r>
              <w:rPr>
                <w:rFonts w:ascii="Arial" w:cs="Arial" w:eastAsia="Arial" w:hAnsi="Arial"/>
                <w:sz w:val="18"/>
                <w:szCs w:val="18"/>
                <w:color w:val="auto"/>
                <w:w w:val="99"/>
              </w:rPr>
              <w:t>Tax at statutory rate on earnings from continuing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53"/>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4780" w:type="dxa"/>
            <w:vAlign w:val="bottom"/>
          </w:tcPr>
          <w:p>
            <w:pPr>
              <w:ind w:left="80"/>
              <w:spacing w:after="0"/>
              <w:rPr>
                <w:sz w:val="20"/>
                <w:szCs w:val="20"/>
                <w:color w:val="auto"/>
              </w:rPr>
            </w:pPr>
            <w:r>
              <w:rPr>
                <w:rFonts w:ascii="Arial" w:cs="Arial" w:eastAsia="Arial" w:hAnsi="Arial"/>
                <w:sz w:val="18"/>
                <w:szCs w:val="18"/>
                <w:color w:val="auto"/>
              </w:rPr>
              <w:t>before income taxes</w:t>
            </w:r>
          </w:p>
        </w:tc>
        <w:tc>
          <w:tcPr>
            <w:tcW w:w="3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tax rates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(15,594)</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 Tax Cuts and Jobs Act of 2017 (“TCJA”), signed into law on December 22, 2017, adjusted the federal corporate tax income rate to 21%. FASB Accounting Standards Codification Topic 740 requires deferred tax assets and liabilities to be measured at the enacted rate expected to apply when temporary differences are to be realized or settled. Accordingly, the Company remeasured its ending deferred tax asset and reduced the value by $14,189 for the year ended December 31, 2017. Additionally, GAAP requires that all adjustments resulting from tax rate changes be recorded to the income statement. Therefore, the Company recorded a $14,189 deferred tax expense for the year ended December 31, 2017 related to the revaluation of its deferred tax assets and liabilities.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net operating loss ("NOL") carryforwards for NOLs generated through the 2017 tax year are scheduled to expire through 2037, beginning in 2025.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TCJA, NOLs generated in 2018 and subsequent tax years carryforward indefinitely subject to the 80% of taxable income limitation.</w:t>
      </w:r>
    </w:p>
    <w:p>
      <w:pPr>
        <w:spacing w:after="0" w:line="155"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tax effects of temporary differences and carryforwards of the TRSs included in the net deferred tax assets at December 31, 2019 and 2018 are summarized as follows:</w:t>
      </w:r>
    </w:p>
    <w:tbl>
      <w:tblPr>
        <w:tblLayout w:type="fixed"/>
        <w:tblInd w:w="1040" w:type="dxa"/>
        <w:tblCellMar>
          <w:top w:w="0" w:type="dxa"/>
          <w:left w:w="0" w:type="dxa"/>
          <w:bottom w:w="0" w:type="dxa"/>
          <w:right w:w="0" w:type="dxa"/>
        </w:tblCellMar>
      </w:tblPr>
      <w:tr>
        <w:trPr>
          <w:trHeight w:val="192"/>
        </w:trPr>
        <w:tc>
          <w:tcPr>
            <w:tcW w:w="6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25,751</w:t>
            </w:r>
          </w:p>
        </w:tc>
        <w:tc>
          <w:tcPr>
            <w:tcW w:w="0" w:type="dxa"/>
            <w:vAlign w:val="bottom"/>
          </w:tcPr>
          <w:p>
            <w:pPr>
              <w:spacing w:after="0"/>
              <w:rPr>
                <w:sz w:val="1"/>
                <w:szCs w:val="1"/>
                <w:color w:val="auto"/>
              </w:rPr>
            </w:pPr>
          </w:p>
        </w:tc>
      </w:tr>
      <w:tr>
        <w:trPr>
          <w:trHeight w:val="176"/>
        </w:trPr>
        <w:tc>
          <w:tcPr>
            <w:tcW w:w="6340" w:type="dxa"/>
            <w:vAlign w:val="bottom"/>
          </w:tcPr>
          <w:p>
            <w:pPr>
              <w:spacing w:after="0" w:line="176" w:lineRule="exact"/>
              <w:rPr>
                <w:sz w:val="20"/>
                <w:szCs w:val="20"/>
                <w:color w:val="auto"/>
              </w:rPr>
            </w:pPr>
            <w:r>
              <w:rPr>
                <w:rFonts w:ascii="Arial" w:cs="Arial" w:eastAsia="Arial" w:hAnsi="Arial"/>
                <w:sz w:val="18"/>
                <w:szCs w:val="18"/>
                <w:color w:val="auto"/>
                <w:w w:val="94"/>
              </w:rPr>
              <w:t>Property, primarily differences in depreciation and amortization, the tax basis of land</w:t>
            </w:r>
          </w:p>
        </w:tc>
        <w:tc>
          <w:tcPr>
            <w:tcW w:w="340" w:type="dxa"/>
            <w:vAlign w:val="bottom"/>
          </w:tcPr>
          <w:p>
            <w:pPr>
              <w:spacing w:after="0"/>
              <w:rPr>
                <w:sz w:val="15"/>
                <w:szCs w:val="15"/>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30"/>
        </w:trPr>
        <w:tc>
          <w:tcPr>
            <w:tcW w:w="6340" w:type="dxa"/>
            <w:vAlign w:val="bottom"/>
          </w:tcPr>
          <w:p>
            <w:pPr>
              <w:ind w:left="80"/>
              <w:spacing w:after="0"/>
              <w:rPr>
                <w:sz w:val="20"/>
                <w:szCs w:val="20"/>
                <w:color w:val="auto"/>
              </w:rPr>
            </w:pPr>
            <w:r>
              <w:rPr>
                <w:rFonts w:ascii="Arial" w:cs="Arial" w:eastAsia="Arial" w:hAnsi="Arial"/>
                <w:sz w:val="18"/>
                <w:szCs w:val="18"/>
                <w:color w:val="auto"/>
              </w:rPr>
              <w:t>assets and treatment of certain other costs</w:t>
            </w: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64"/>
        </w:trPr>
        <w:tc>
          <w:tcPr>
            <w:tcW w:w="6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30,757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32,197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2019, 2018 and 2017 there were no unrecognized tax benefits.</w:t>
      </w:r>
    </w:p>
    <w:p>
      <w:pPr>
        <w:spacing w:after="0" w:line="144"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The tax years 2016 through 2018 remain open to examination by the taxing jurisdictions to which the Company is subject. The Company does not expect that the total amount of unrecognized tax benefit will materially change within the next 12 months.</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quarterly results of operations for the years ended December 31, 2019 and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2019 Quarter Ended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2018 Quarter Ended</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 30</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 30</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 31</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 30</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 30</w:t>
            </w:r>
          </w:p>
        </w:tc>
        <w:tc>
          <w:tcPr>
            <w:tcW w:w="180" w:type="dxa"/>
            <w:vAlign w:val="bottom"/>
          </w:tcPr>
          <w:p>
            <w:pPr>
              <w:spacing w:after="0"/>
              <w:rPr>
                <w:sz w:val="17"/>
                <w:szCs w:val="17"/>
                <w:color w:val="auto"/>
              </w:rPr>
            </w:pPr>
          </w:p>
        </w:tc>
        <w:tc>
          <w:tcPr>
            <w:tcW w:w="840" w:type="dxa"/>
            <w:vAlign w:val="bottom"/>
          </w:tcPr>
          <w:p>
            <w:pPr>
              <w:jc w:val="right"/>
              <w:ind w:right="201"/>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236"/>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241,841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231,127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227,972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226,522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246,874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242,198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234,545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236,734</w:t>
            </w: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w w:val="95"/>
              </w:rPr>
              <w:t>Net income (loss) attributable to the</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26,891</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2"/>
              <w:spacing w:after="0"/>
              <w:rPr>
                <w:sz w:val="20"/>
                <w:szCs w:val="20"/>
                <w:color w:val="auto"/>
              </w:rPr>
            </w:pPr>
            <w:r>
              <w:rPr>
                <w:rFonts w:ascii="Arial" w:cs="Arial" w:eastAsia="Arial" w:hAnsi="Arial"/>
                <w:sz w:val="16"/>
                <w:szCs w:val="16"/>
                <w:color w:val="auto"/>
              </w:rPr>
              <w:t>46,371</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15,734</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61"/>
              <w:spacing w:after="0"/>
              <w:rPr>
                <w:sz w:val="20"/>
                <w:szCs w:val="20"/>
                <w:color w:val="auto"/>
              </w:rPr>
            </w:pPr>
            <w:r>
              <w:rPr>
                <w:rFonts w:ascii="Arial" w:cs="Arial" w:eastAsia="Arial" w:hAnsi="Arial"/>
                <w:sz w:val="16"/>
                <w:szCs w:val="16"/>
                <w:color w:val="auto"/>
              </w:rPr>
              <w:t>7,824</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11,749</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82"/>
              <w:spacing w:after="0"/>
              <w:rPr>
                <w:sz w:val="20"/>
                <w:szCs w:val="20"/>
                <w:color w:val="auto"/>
              </w:rPr>
            </w:pPr>
            <w:r>
              <w:rPr>
                <w:rFonts w:ascii="Arial" w:cs="Arial" w:eastAsia="Arial" w:hAnsi="Arial"/>
                <w:sz w:val="16"/>
                <w:szCs w:val="16"/>
                <w:color w:val="auto"/>
              </w:rPr>
              <w:t>74,028</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81"/>
              <w:spacing w:after="0"/>
              <w:rPr>
                <w:sz w:val="20"/>
                <w:szCs w:val="20"/>
                <w:color w:val="auto"/>
              </w:rPr>
            </w:pPr>
            <w:r>
              <w:rPr>
                <w:rFonts w:ascii="Arial" w:cs="Arial" w:eastAsia="Arial" w:hAnsi="Arial"/>
                <w:sz w:val="16"/>
                <w:szCs w:val="16"/>
                <w:color w:val="auto"/>
              </w:rPr>
              <w:t>7,816</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41"/>
              <w:spacing w:after="0"/>
              <w:rPr>
                <w:sz w:val="20"/>
                <w:szCs w:val="20"/>
                <w:color w:val="auto"/>
              </w:rPr>
            </w:pPr>
            <w:r>
              <w:rPr>
                <w:rFonts w:ascii="Arial" w:cs="Arial" w:eastAsia="Arial" w:hAnsi="Arial"/>
                <w:sz w:val="16"/>
                <w:szCs w:val="16"/>
                <w:color w:val="auto"/>
              </w:rPr>
              <w:t>(33,573)</w:t>
            </w:r>
          </w:p>
        </w:tc>
        <w:tc>
          <w:tcPr>
            <w:tcW w:w="0" w:type="dxa"/>
            <w:vAlign w:val="bottom"/>
          </w:tcPr>
          <w:p>
            <w:pPr>
              <w:spacing w:after="0"/>
              <w:rPr>
                <w:sz w:val="1"/>
                <w:szCs w:val="1"/>
                <w:color w:val="auto"/>
              </w:rPr>
            </w:pPr>
          </w:p>
        </w:tc>
      </w:tr>
      <w:tr>
        <w:trPr>
          <w:trHeight w:val="209"/>
        </w:trPr>
        <w:tc>
          <w:tcPr>
            <w:tcW w:w="2460" w:type="dxa"/>
            <w:vAlign w:val="bottom"/>
          </w:tcPr>
          <w:p>
            <w:pPr>
              <w:ind w:left="100"/>
              <w:spacing w:after="0"/>
              <w:rPr>
                <w:sz w:val="20"/>
                <w:szCs w:val="20"/>
                <w:color w:val="auto"/>
              </w:rPr>
            </w:pPr>
            <w:r>
              <w:rPr>
                <w:rFonts w:ascii="Arial" w:cs="Arial" w:eastAsia="Arial" w:hAnsi="Arial"/>
                <w:sz w:val="16"/>
                <w:szCs w:val="16"/>
                <w:color w:val="auto"/>
              </w:rPr>
              <w:t>Company</w:t>
            </w: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(loss) attributable to</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common stockholders per share-</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rPr>
              <w:t>Net income (loss) attributable to</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00"/>
              <w:spacing w:after="0" w:line="162" w:lineRule="exact"/>
              <w:rPr>
                <w:sz w:val="20"/>
                <w:szCs w:val="20"/>
                <w:color w:val="auto"/>
              </w:rPr>
            </w:pPr>
            <w:r>
              <w:rPr>
                <w:rFonts w:ascii="Arial" w:cs="Arial" w:eastAsia="Arial" w:hAnsi="Arial"/>
                <w:sz w:val="16"/>
                <w:szCs w:val="16"/>
                <w:color w:val="auto"/>
              </w:rPr>
              <w:t>common stockholders per share-</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2"/>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61"/>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82"/>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81"/>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41"/>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6"/>
        </w:trPr>
        <w:tc>
          <w:tcPr>
            <w:tcW w:w="2460" w:type="dxa"/>
            <w:vAlign w:val="bottom"/>
          </w:tcPr>
          <w:p>
            <w:pPr>
              <w:ind w:left="100"/>
              <w:spacing w:after="0"/>
              <w:rPr>
                <w:sz w:val="20"/>
                <w:szCs w:val="20"/>
                <w:color w:val="auto"/>
              </w:rPr>
            </w:pPr>
            <w:r>
              <w:rPr>
                <w:rFonts w:ascii="Arial" w:cs="Arial" w:eastAsia="Arial" w:hAnsi="Arial"/>
                <w:sz w:val="16"/>
                <w:szCs w:val="16"/>
                <w:color w:val="auto"/>
              </w:rPr>
              <w:t>diluted</w:t>
            </w: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162" w:lineRule="exact"/>
        <w:rPr>
          <w:sz w:val="20"/>
          <w:szCs w:val="20"/>
          <w:color w:val="auto"/>
        </w:rPr>
      </w:pPr>
    </w:p>
    <w:p>
      <w:pPr>
        <w:jc w:val="both"/>
        <w:ind w:right="140" w:firstLine="446"/>
        <w:spacing w:after="0" w:line="277" w:lineRule="auto"/>
        <w:rPr>
          <w:sz w:val="20"/>
          <w:szCs w:val="20"/>
          <w:color w:val="auto"/>
        </w:rPr>
      </w:pPr>
      <w:r>
        <w:rPr>
          <w:rFonts w:ascii="Arial" w:cs="Arial" w:eastAsia="Arial" w:hAnsi="Arial"/>
          <w:sz w:val="18"/>
          <w:szCs w:val="18"/>
          <w:color w:val="auto"/>
        </w:rPr>
        <w:t>On January 31, 2020, the Company announced a dividend/distribution of $0.75 per share for common stockholders and OP Unit holders of record on February 21, 2020. All dividends/distributions will be paid 100% in cash on 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gridSpan w:val="8"/>
          </w:tcPr>
          <w:p>
            <w:pPr>
              <w:ind w:left="4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40" w:type="dxa"/>
            <w:vAlign w:val="bottom"/>
            <w:gridSpan w:val="10"/>
          </w:tcPr>
          <w:p>
            <w:pPr>
              <w:ind w:left="40"/>
              <w:spacing w:after="0"/>
              <w:rPr>
                <w:sz w:val="20"/>
                <w:szCs w:val="20"/>
                <w:color w:val="auto"/>
              </w:rPr>
            </w:pPr>
            <w:r>
              <w:rPr>
                <w:rFonts w:ascii="Arial" w:cs="Arial" w:eastAsia="Arial" w:hAnsi="Arial"/>
                <w:sz w:val="13"/>
                <w:szCs w:val="13"/>
                <w:b w:val="1"/>
                <w:bCs w:val="1"/>
                <w:color w:val="auto"/>
                <w:w w:val="89"/>
              </w:rPr>
              <w:t>Gross Amount at Which Carried at Close of Period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17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88"/>
              </w:rPr>
              <w:t>Total Cost</w:t>
            </w:r>
          </w:p>
        </w:tc>
      </w:tr>
      <w:tr>
        <w:trPr>
          <w:trHeight w:val="135"/>
        </w:trPr>
        <w:tc>
          <w:tcPr>
            <w:tcW w:w="1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Equipment</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Cost Capitalized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Equipment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Net of</w:t>
            </w:r>
          </w:p>
        </w:tc>
      </w:tr>
      <w:tr>
        <w:trPr>
          <w:trHeight w:val="135"/>
        </w:trPr>
        <w:tc>
          <w:tcPr>
            <w:tcW w:w="1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Building and</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and</w:t>
            </w: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Building and</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and</w:t>
            </w:r>
          </w:p>
        </w:tc>
        <w:tc>
          <w:tcPr>
            <w:tcW w:w="8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Construction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Accumulated</w:t>
            </w:r>
          </w:p>
        </w:tc>
      </w:tr>
      <w:tr>
        <w:trPr>
          <w:trHeight w:val="174"/>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Shopping Centers/Entities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Land</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8"/>
              </w:rPr>
              <w:t>Furnishings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4"/>
              </w:rPr>
              <w:t>Acquisition</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Land</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5"/>
              </w:rPr>
              <w:t>Improvements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Furnishings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1"/>
              </w:rPr>
              <w:t>in Progress</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6"/>
              </w:rPr>
              <w:t>Depreciation</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6"/>
              </w:rPr>
              <w:t>Depreciation</w:t>
            </w:r>
          </w:p>
        </w:tc>
      </w:tr>
      <w:tr>
        <w:trPr>
          <w:trHeight w:val="189"/>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Chandler Fashion Center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24,188</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223,143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28,847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5"/>
              </w:rPr>
              <w:t>$  24,188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245,798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$ 276,178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119,086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157,092</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Danbury Fair Mall</w:t>
            </w:r>
          </w:p>
        </w:tc>
        <w:tc>
          <w:tcPr>
            <w:tcW w:w="540" w:type="dxa"/>
            <w:vAlign w:val="bottom"/>
          </w:tcPr>
          <w:p>
            <w:pPr>
              <w:jc w:val="right"/>
              <w:spacing w:after="0"/>
              <w:rPr>
                <w:sz w:val="20"/>
                <w:szCs w:val="20"/>
                <w:color w:val="auto"/>
              </w:rPr>
            </w:pPr>
            <w:r>
              <w:rPr>
                <w:rFonts w:ascii="Arial" w:cs="Arial" w:eastAsia="Arial" w:hAnsi="Arial"/>
                <w:sz w:val="13"/>
                <w:szCs w:val="13"/>
                <w:color w:val="auto"/>
              </w:rPr>
              <w:t>130,367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316,951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126,366</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142,751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419,228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10,357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1,348</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573,684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168,324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405,360</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Desert Sky Mall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37,245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5,925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41,304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52,629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39,281</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Eastland Mall</w:t>
            </w:r>
          </w:p>
        </w:tc>
        <w:tc>
          <w:tcPr>
            <w:tcW w:w="540" w:type="dxa"/>
            <w:vAlign w:val="bottom"/>
          </w:tcPr>
          <w:p>
            <w:pPr>
              <w:jc w:val="right"/>
              <w:spacing w:after="0"/>
              <w:rPr>
                <w:sz w:val="20"/>
                <w:szCs w:val="20"/>
                <w:color w:val="auto"/>
              </w:rPr>
            </w:pPr>
            <w:r>
              <w:rPr>
                <w:rFonts w:ascii="Arial" w:cs="Arial" w:eastAsia="Arial" w:hAnsi="Arial"/>
                <w:sz w:val="13"/>
                <w:szCs w:val="13"/>
                <w:color w:val="auto"/>
              </w:rPr>
              <w:t>22,050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151,605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11,949</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21,400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162,087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2,117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185,604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39,109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146,495</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Estrella Falls</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72,292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10,524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58,053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82,842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79,759</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Fashion Outlets of Chicago</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271,689</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40,575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225,564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4,615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935</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271,689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69,616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202,073</w:t>
            </w: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Fashion Outlets of Niagara Falls</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210,139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106,071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22,936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309,508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334,791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86,070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248,721</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The Marketplace at Flagstaff</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45,839</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45,839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45,839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25,320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20,519</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Freehold Raceway Mall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164,986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362,841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127,095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168,098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476,605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654,922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206,014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448,908</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Fresno Fashion Fair</w:t>
            </w:r>
          </w:p>
        </w:tc>
        <w:tc>
          <w:tcPr>
            <w:tcW w:w="540" w:type="dxa"/>
            <w:vAlign w:val="bottom"/>
          </w:tcPr>
          <w:p>
            <w:pPr>
              <w:jc w:val="right"/>
              <w:spacing w:after="0"/>
              <w:rPr>
                <w:sz w:val="20"/>
                <w:szCs w:val="20"/>
                <w:color w:val="auto"/>
              </w:rPr>
            </w:pPr>
            <w:r>
              <w:rPr>
                <w:rFonts w:ascii="Arial" w:cs="Arial" w:eastAsia="Arial" w:hAnsi="Arial"/>
                <w:sz w:val="13"/>
                <w:szCs w:val="13"/>
                <w:color w:val="auto"/>
              </w:rPr>
              <w:t>17,966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72,194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49,086</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17,966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117,086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2,595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1,599</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139,246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59,862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79,384</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Green Acres Mall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321,034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192,815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179,274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477,334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3,235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670,489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133,725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536,764</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Inland Center</w:t>
            </w:r>
          </w:p>
        </w:tc>
        <w:tc>
          <w:tcPr>
            <w:tcW w:w="540" w:type="dxa"/>
            <w:vAlign w:val="bottom"/>
          </w:tcPr>
          <w:p>
            <w:pPr>
              <w:jc w:val="right"/>
              <w:spacing w:after="0"/>
              <w:rPr>
                <w:sz w:val="20"/>
                <w:szCs w:val="20"/>
                <w:color w:val="auto"/>
              </w:rPr>
            </w:pPr>
            <w:r>
              <w:rPr>
                <w:rFonts w:ascii="Arial" w:cs="Arial" w:eastAsia="Arial" w:hAnsi="Arial"/>
                <w:sz w:val="13"/>
                <w:szCs w:val="13"/>
                <w:color w:val="auto"/>
              </w:rPr>
              <w:t>8,321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83,550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30,458</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10,291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111,540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122,329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23,371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98,958</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Kings Plaza Shopping Center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485,548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278,300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209,041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725,672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55,924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2,252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992,889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123,795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869,094</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La Cumbre Plaza</w:t>
            </w:r>
          </w:p>
        </w:tc>
        <w:tc>
          <w:tcPr>
            <w:tcW w:w="540" w:type="dxa"/>
            <w:vAlign w:val="bottom"/>
          </w:tcPr>
          <w:p>
            <w:pPr>
              <w:jc w:val="right"/>
              <w:spacing w:after="0"/>
              <w:rPr>
                <w:sz w:val="20"/>
                <w:szCs w:val="20"/>
                <w:color w:val="auto"/>
              </w:rPr>
            </w:pPr>
            <w:r>
              <w:rPr>
                <w:rFonts w:ascii="Arial" w:cs="Arial" w:eastAsia="Arial" w:hAnsi="Arial"/>
                <w:sz w:val="13"/>
                <w:szCs w:val="13"/>
                <w:color w:val="auto"/>
              </w:rPr>
              <w:t>18,122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21,492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15,558</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13,856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40,054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887</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55,172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24,311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30,861</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Macerich Management Co.</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10,475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26,562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68,215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17,803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82,502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2,219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106,402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58,890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47,512</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MACWH, LP</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25,771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13,241</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11,557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27,455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39,012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10,542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28,470</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NorthPark Mall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74,661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14,270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88,348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96,677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24,202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72,475</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Oaks, The</w:t>
            </w:r>
          </w:p>
        </w:tc>
        <w:tc>
          <w:tcPr>
            <w:tcW w:w="540" w:type="dxa"/>
            <w:vAlign w:val="bottom"/>
          </w:tcPr>
          <w:p>
            <w:pPr>
              <w:jc w:val="right"/>
              <w:spacing w:after="0"/>
              <w:rPr>
                <w:sz w:val="20"/>
                <w:szCs w:val="20"/>
                <w:color w:val="auto"/>
              </w:rPr>
            </w:pPr>
            <w:r>
              <w:rPr>
                <w:rFonts w:ascii="Arial" w:cs="Arial" w:eastAsia="Arial" w:hAnsi="Arial"/>
                <w:sz w:val="13"/>
                <w:szCs w:val="13"/>
                <w:color w:val="auto"/>
              </w:rPr>
              <w:t>32,300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117,156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268,713</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56,387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357,661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3,581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540</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418,169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164,549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253,620</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Pacific View</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137,802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145,604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155,195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76,064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79,131</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Paradise Valley Mall</w:t>
            </w:r>
          </w:p>
        </w:tc>
        <w:tc>
          <w:tcPr>
            <w:tcW w:w="540" w:type="dxa"/>
            <w:vAlign w:val="bottom"/>
          </w:tcPr>
          <w:p>
            <w:pPr>
              <w:jc w:val="right"/>
              <w:spacing w:after="0"/>
              <w:rPr>
                <w:sz w:val="20"/>
                <w:szCs w:val="20"/>
                <w:color w:val="auto"/>
              </w:rPr>
            </w:pPr>
            <w:r>
              <w:rPr>
                <w:rFonts w:ascii="Arial" w:cs="Arial" w:eastAsia="Arial" w:hAnsi="Arial"/>
                <w:sz w:val="13"/>
                <w:szCs w:val="13"/>
                <w:color w:val="auto"/>
              </w:rPr>
              <w:t>33,445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128,485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30,568</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36,027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152,420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2,815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1,236</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192,498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83,546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108,952</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Queens Center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1,039,922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53,224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256,786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1,082,499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1,344,620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150,749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1,193,871</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Santa Monica Place</w:t>
            </w:r>
          </w:p>
        </w:tc>
        <w:tc>
          <w:tcPr>
            <w:tcW w:w="540" w:type="dxa"/>
            <w:vAlign w:val="bottom"/>
          </w:tcPr>
          <w:p>
            <w:pPr>
              <w:jc w:val="right"/>
              <w:spacing w:after="0"/>
              <w:rPr>
                <w:sz w:val="20"/>
                <w:szCs w:val="20"/>
                <w:color w:val="auto"/>
              </w:rPr>
            </w:pPr>
            <w:r>
              <w:rPr>
                <w:rFonts w:ascii="Arial" w:cs="Arial" w:eastAsia="Arial" w:hAnsi="Arial"/>
                <w:sz w:val="13"/>
                <w:szCs w:val="13"/>
                <w:color w:val="auto"/>
              </w:rPr>
              <w:t>26,400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105,600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348,573</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48,374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422,736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6,710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2,753</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480,573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143,965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336,608</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SanTan Adjacent Land</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8,280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26,902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10,792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37,694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37,694</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w w:val="91"/>
              </w:rPr>
              <w:t>SanTan Village Regional Center</w:t>
            </w:r>
          </w:p>
        </w:tc>
        <w:tc>
          <w:tcPr>
            <w:tcW w:w="540" w:type="dxa"/>
            <w:vAlign w:val="bottom"/>
          </w:tcPr>
          <w:p>
            <w:pPr>
              <w:jc w:val="right"/>
              <w:spacing w:after="0"/>
              <w:rPr>
                <w:sz w:val="20"/>
                <w:szCs w:val="20"/>
                <w:color w:val="auto"/>
              </w:rPr>
            </w:pPr>
            <w:r>
              <w:rPr>
                <w:rFonts w:ascii="Arial" w:cs="Arial" w:eastAsia="Arial" w:hAnsi="Arial"/>
                <w:sz w:val="13"/>
                <w:szCs w:val="13"/>
                <w:color w:val="auto"/>
              </w:rPr>
              <w:t>7,827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213,089</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5,921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213,348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1,647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220,916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100,092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120,824</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SouthPark Mall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38,215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(7,993)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33,857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37,257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15,207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22,050</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Southridge Center</w:t>
            </w:r>
          </w:p>
        </w:tc>
        <w:tc>
          <w:tcPr>
            <w:tcW w:w="540" w:type="dxa"/>
            <w:vAlign w:val="bottom"/>
          </w:tcPr>
          <w:p>
            <w:pPr>
              <w:jc w:val="right"/>
              <w:spacing w:after="0"/>
              <w:rPr>
                <w:sz w:val="20"/>
                <w:szCs w:val="20"/>
                <w:color w:val="auto"/>
              </w:rPr>
            </w:pPr>
            <w:r>
              <w:rPr>
                <w:rFonts w:ascii="Arial" w:cs="Arial" w:eastAsia="Arial" w:hAnsi="Arial"/>
                <w:sz w:val="13"/>
                <w:szCs w:val="13"/>
                <w:color w:val="auto"/>
              </w:rPr>
              <w:t>6,764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8,174</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2,295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12,329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14,938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6,915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8,023</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Stonewood Center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302,527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12,002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314,127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319,477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50,479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268,998</w:t>
            </w: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Superstition Springs Center</w:t>
            </w:r>
          </w:p>
        </w:tc>
        <w:tc>
          <w:tcPr>
            <w:tcW w:w="540" w:type="dxa"/>
            <w:vAlign w:val="bottom"/>
          </w:tcPr>
          <w:p>
            <w:pPr>
              <w:jc w:val="right"/>
              <w:spacing w:after="0"/>
              <w:rPr>
                <w:sz w:val="20"/>
                <w:szCs w:val="20"/>
                <w:color w:val="auto"/>
              </w:rPr>
            </w:pPr>
            <w:r>
              <w:rPr>
                <w:rFonts w:ascii="Arial" w:cs="Arial" w:eastAsia="Arial" w:hAnsi="Arial"/>
                <w:sz w:val="13"/>
                <w:szCs w:val="13"/>
                <w:color w:val="auto"/>
              </w:rPr>
              <w:t>10,928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112,718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12,350</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10,928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124,173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135,996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24,683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111,313</w:t>
            </w: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Superstition Springs Power</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Center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4,234</w:t>
            </w:r>
          </w:p>
        </w:tc>
      </w:tr>
      <w:tr>
        <w:trPr>
          <w:trHeight w:val="148"/>
        </w:trPr>
        <w:tc>
          <w:tcPr>
            <w:tcW w:w="1740" w:type="dxa"/>
            <w:vAlign w:val="bottom"/>
          </w:tcPr>
          <w:p>
            <w:pPr>
              <w:ind w:left="20"/>
              <w:spacing w:after="0" w:line="148" w:lineRule="exact"/>
              <w:rPr>
                <w:sz w:val="20"/>
                <w:szCs w:val="20"/>
                <w:color w:val="auto"/>
              </w:rPr>
            </w:pPr>
            <w:r>
              <w:rPr>
                <w:rFonts w:ascii="Arial" w:cs="Arial" w:eastAsia="Arial" w:hAnsi="Arial"/>
                <w:sz w:val="13"/>
                <w:szCs w:val="13"/>
                <w:color w:val="auto"/>
                <w:w w:val="91"/>
              </w:rPr>
              <w:t>Tangerine (Marana), The Shops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740" w:type="dxa"/>
            <w:vAlign w:val="bottom"/>
          </w:tcPr>
          <w:p>
            <w:pPr>
              <w:ind w:left="20"/>
              <w:spacing w:after="0"/>
              <w:rPr>
                <w:sz w:val="20"/>
                <w:szCs w:val="20"/>
                <w:color w:val="auto"/>
              </w:rPr>
            </w:pPr>
            <w:r>
              <w:rPr>
                <w:rFonts w:ascii="Arial" w:cs="Arial" w:eastAsia="Arial" w:hAnsi="Arial"/>
                <w:sz w:val="13"/>
                <w:szCs w:val="13"/>
                <w:color w:val="auto"/>
              </w:rPr>
              <w:t>at</w:t>
            </w:r>
          </w:p>
        </w:tc>
        <w:tc>
          <w:tcPr>
            <w:tcW w:w="540" w:type="dxa"/>
            <w:vAlign w:val="bottom"/>
          </w:tcPr>
          <w:p>
            <w:pPr>
              <w:jc w:val="right"/>
              <w:spacing w:after="0"/>
              <w:rPr>
                <w:sz w:val="20"/>
                <w:szCs w:val="20"/>
                <w:color w:val="auto"/>
              </w:rPr>
            </w:pPr>
            <w:r>
              <w:rPr>
                <w:rFonts w:ascii="Arial" w:cs="Arial" w:eastAsia="Arial" w:hAnsi="Arial"/>
                <w:sz w:val="13"/>
                <w:szCs w:val="13"/>
                <w:color w:val="auto"/>
              </w:rPr>
              <w:t>36,158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(7,622)</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16,922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11,614</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28,536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28,536</w:t>
            </w: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The Macerich Partnership, L.P.</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5,107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7,365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6,421</w:t>
            </w: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264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89"/>
              </w:rPr>
              <w:t>Initial Cost to Company</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40" w:type="dxa"/>
            <w:vAlign w:val="bottom"/>
            <w:gridSpan w:val="8"/>
          </w:tcPr>
          <w:p>
            <w:pPr>
              <w:ind w:left="40"/>
              <w:spacing w:after="0"/>
              <w:rPr>
                <w:sz w:val="20"/>
                <w:szCs w:val="20"/>
                <w:color w:val="auto"/>
              </w:rPr>
            </w:pPr>
            <w:r>
              <w:rPr>
                <w:rFonts w:ascii="Arial" w:cs="Arial" w:eastAsia="Arial" w:hAnsi="Arial"/>
                <w:sz w:val="13"/>
                <w:szCs w:val="13"/>
                <w:b w:val="1"/>
                <w:bCs w:val="1"/>
                <w:color w:val="auto"/>
                <w:w w:val="89"/>
              </w:rPr>
              <w:t>Gross Amount at Which Carried at Close of Period</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0"/>
        </w:trPr>
        <w:tc>
          <w:tcPr>
            <w:tcW w:w="15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2"/>
              </w:rPr>
              <w:t>Cost</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4"/>
              </w:rPr>
              <w:t>Total Cost</w:t>
            </w:r>
          </w:p>
        </w:tc>
      </w:tr>
      <w:tr>
        <w:trPr>
          <w:trHeight w:val="135"/>
        </w:trPr>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Equipment</w:t>
            </w: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Capitalized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Equipment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Net of</w:t>
            </w:r>
          </w:p>
        </w:tc>
      </w:tr>
      <w:tr>
        <w:trPr>
          <w:trHeight w:val="135"/>
        </w:trPr>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and</w:t>
            </w: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and</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Construction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Accumulated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Accumulated</w:t>
            </w:r>
          </w:p>
        </w:tc>
      </w:tr>
      <w:tr>
        <w:trPr>
          <w:trHeight w:val="172"/>
        </w:trPr>
        <w:tc>
          <w:tcPr>
            <w:tcW w:w="1520" w:type="dxa"/>
            <w:vAlign w:val="bottom"/>
          </w:tcPr>
          <w:p>
            <w:pPr>
              <w:ind w:left="20"/>
              <w:spacing w:after="0"/>
              <w:rPr>
                <w:sz w:val="20"/>
                <w:szCs w:val="20"/>
                <w:color w:val="auto"/>
              </w:rPr>
            </w:pPr>
            <w:r>
              <w:rPr>
                <w:rFonts w:ascii="Arial" w:cs="Arial" w:eastAsia="Arial" w:hAnsi="Arial"/>
                <w:sz w:val="13"/>
                <w:szCs w:val="13"/>
                <w:b w:val="1"/>
                <w:bCs w:val="1"/>
                <w:color w:val="auto"/>
                <w:w w:val="91"/>
              </w:rPr>
              <w:t>Shopping Centers/Entities</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Furnishings</w:t>
            </w: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Furnishings</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in Progress</w:t>
            </w:r>
          </w:p>
        </w:tc>
        <w:tc>
          <w:tcPr>
            <w:tcW w:w="84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Depreciation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r>
      <w:tr>
        <w:trPr>
          <w:trHeight w:val="197"/>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Towne Mall</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6,652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31,184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5,105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35,596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42,941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16,888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26,053</w:t>
            </w:r>
          </w:p>
        </w:tc>
      </w:tr>
      <w:tr>
        <w:trPr>
          <w:trHeight w:val="181"/>
        </w:trPr>
        <w:tc>
          <w:tcPr>
            <w:tcW w:w="1520" w:type="dxa"/>
            <w:vAlign w:val="bottom"/>
          </w:tcPr>
          <w:p>
            <w:pPr>
              <w:ind w:left="20"/>
              <w:spacing w:after="0"/>
              <w:rPr>
                <w:sz w:val="20"/>
                <w:szCs w:val="20"/>
                <w:color w:val="auto"/>
              </w:rPr>
            </w:pPr>
            <w:r>
              <w:rPr>
                <w:rFonts w:ascii="Arial" w:cs="Arial" w:eastAsia="Arial" w:hAnsi="Arial"/>
                <w:sz w:val="13"/>
                <w:szCs w:val="13"/>
                <w:color w:val="auto"/>
              </w:rPr>
              <w:t>Tucson La Encantada</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12,800</w:t>
            </w:r>
          </w:p>
        </w:tc>
        <w:tc>
          <w:tcPr>
            <w:tcW w:w="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19,699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58,005</w:t>
            </w:r>
          </w:p>
        </w:tc>
        <w:tc>
          <w:tcPr>
            <w:tcW w:w="8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12,800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75,755</w:t>
            </w: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732</w:t>
            </w: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1,217</w:t>
            </w:r>
          </w:p>
        </w:tc>
        <w:tc>
          <w:tcPr>
            <w:tcW w:w="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90,504</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45,861</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44,643</w:t>
            </w:r>
          </w:p>
        </w:tc>
      </w:tr>
      <w:tr>
        <w:trPr>
          <w:trHeight w:val="197"/>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Valley Mall</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16,045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26,098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13,952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40,188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56,095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12,395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43,700</w:t>
            </w:r>
          </w:p>
        </w:tc>
      </w:tr>
      <w:tr>
        <w:trPr>
          <w:trHeight w:val="181"/>
        </w:trPr>
        <w:tc>
          <w:tcPr>
            <w:tcW w:w="1520" w:type="dxa"/>
            <w:vAlign w:val="bottom"/>
          </w:tcPr>
          <w:p>
            <w:pPr>
              <w:ind w:left="20"/>
              <w:spacing w:after="0"/>
              <w:rPr>
                <w:sz w:val="20"/>
                <w:szCs w:val="20"/>
                <w:color w:val="auto"/>
              </w:rPr>
            </w:pPr>
            <w:r>
              <w:rPr>
                <w:rFonts w:ascii="Arial" w:cs="Arial" w:eastAsia="Arial" w:hAnsi="Arial"/>
                <w:sz w:val="13"/>
                <w:szCs w:val="13"/>
                <w:color w:val="auto"/>
              </w:rPr>
              <w:t>Valley River Center</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24,854</w:t>
            </w:r>
          </w:p>
        </w:tc>
        <w:tc>
          <w:tcPr>
            <w:tcW w:w="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147,715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33,159</w:t>
            </w:r>
          </w:p>
        </w:tc>
        <w:tc>
          <w:tcPr>
            <w:tcW w:w="8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24,854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174,489</w:t>
            </w: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1,739</w:t>
            </w: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4,646</w:t>
            </w:r>
          </w:p>
        </w:tc>
        <w:tc>
          <w:tcPr>
            <w:tcW w:w="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205,728</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66,288</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139,440</w:t>
            </w:r>
          </w:p>
        </w:tc>
      </w:tr>
      <w:tr>
        <w:trPr>
          <w:trHeight w:val="197"/>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Victor Valley, Mall of</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15,700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75,230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54,374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123,291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1,933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145,304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58,624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86,680</w:t>
            </w:r>
          </w:p>
        </w:tc>
      </w:tr>
      <w:tr>
        <w:trPr>
          <w:trHeight w:val="181"/>
        </w:trPr>
        <w:tc>
          <w:tcPr>
            <w:tcW w:w="1520" w:type="dxa"/>
            <w:vAlign w:val="bottom"/>
          </w:tcPr>
          <w:p>
            <w:pPr>
              <w:ind w:left="20"/>
              <w:spacing w:after="0"/>
              <w:rPr>
                <w:sz w:val="20"/>
                <w:szCs w:val="20"/>
                <w:color w:val="auto"/>
              </w:rPr>
            </w:pPr>
            <w:r>
              <w:rPr>
                <w:rFonts w:ascii="Arial" w:cs="Arial" w:eastAsia="Arial" w:hAnsi="Arial"/>
                <w:sz w:val="13"/>
                <w:szCs w:val="13"/>
                <w:color w:val="auto"/>
              </w:rPr>
              <w:t>Vintage Faire Mall</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14,902</w:t>
            </w:r>
          </w:p>
        </w:tc>
        <w:tc>
          <w:tcPr>
            <w:tcW w:w="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60,532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60,162</w:t>
            </w:r>
          </w:p>
        </w:tc>
        <w:tc>
          <w:tcPr>
            <w:tcW w:w="8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17,647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116,161</w:t>
            </w: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1,788</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135,596</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75,818</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59,778</w:t>
            </w:r>
          </w:p>
        </w:tc>
      </w:tr>
      <w:tr>
        <w:trPr>
          <w:trHeight w:val="197"/>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Wilton Mall</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19,743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67,855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27,482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93,935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1,264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115,080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44,946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70,134</w:t>
            </w:r>
          </w:p>
        </w:tc>
      </w:tr>
      <w:tr>
        <w:trPr>
          <w:trHeight w:val="181"/>
        </w:trPr>
        <w:tc>
          <w:tcPr>
            <w:tcW w:w="1520" w:type="dxa"/>
            <w:vAlign w:val="bottom"/>
          </w:tcPr>
          <w:p>
            <w:pPr>
              <w:ind w:left="20"/>
              <w:spacing w:after="0"/>
              <w:rPr>
                <w:sz w:val="20"/>
                <w:szCs w:val="20"/>
                <w:color w:val="auto"/>
              </w:rPr>
            </w:pPr>
            <w:r>
              <w:rPr>
                <w:rFonts w:ascii="Arial" w:cs="Arial" w:eastAsia="Arial" w:hAnsi="Arial"/>
                <w:sz w:val="13"/>
                <w:szCs w:val="13"/>
                <w:color w:val="auto"/>
              </w:rPr>
              <w:t>Other freestanding stores</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5,926</w:t>
            </w:r>
          </w:p>
        </w:tc>
        <w:tc>
          <w:tcPr>
            <w:tcW w:w="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31,785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11,621</w:t>
            </w:r>
          </w:p>
        </w:tc>
        <w:tc>
          <w:tcPr>
            <w:tcW w:w="8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5,927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43,109</w:t>
            </w: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296</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49,332</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20,255</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29,077</w:t>
            </w:r>
          </w:p>
        </w:tc>
      </w:tr>
      <w:tr>
        <w:trPr>
          <w:trHeight w:val="15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Other land and development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0"/>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properties</w:t>
            </w: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33,795</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18,383</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26,057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4,278</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21,843</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52,178</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52,007</w:t>
            </w:r>
          </w:p>
        </w:tc>
      </w:tr>
      <w:tr>
        <w:trPr>
          <w:trHeight w:val="183"/>
        </w:trPr>
        <w:tc>
          <w:tcPr>
            <w:tcW w:w="152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w w:val="90"/>
              </w:rPr>
              <w:t>$ 1,406,580</w:t>
            </w:r>
          </w:p>
        </w:tc>
        <w:tc>
          <w:tcPr>
            <w:tcW w:w="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w w:val="91"/>
              </w:rPr>
              <w:t>$  4,717,020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46,574</w:t>
            </w:r>
          </w:p>
        </w:tc>
        <w:tc>
          <w:tcPr>
            <w:tcW w:w="8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w w:val="97"/>
              </w:rPr>
              <w:t>$   2,822,875</w:t>
            </w:r>
          </w:p>
        </w:tc>
        <w:tc>
          <w:tcPr>
            <w:tcW w:w="8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0"/>
              </w:rPr>
              <w:t>$ 1,520,678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7,115,991</w:t>
            </w:r>
          </w:p>
        </w:tc>
        <w:tc>
          <w:tcPr>
            <w:tcW w:w="8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w w:val="98"/>
              </w:rPr>
              <w:t>$   230,215</w:t>
            </w:r>
          </w:p>
        </w:tc>
        <w:tc>
          <w:tcPr>
            <w:tcW w:w="8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  126,165</w:t>
            </w:r>
          </w:p>
        </w:tc>
        <w:tc>
          <w:tcPr>
            <w:tcW w:w="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w w:val="87"/>
              </w:rPr>
              <w:t>$ 8,993,049</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w w:val="96"/>
              </w:rPr>
              <w:t>$  2,349,536</w:t>
            </w:r>
          </w:p>
        </w:tc>
        <w:tc>
          <w:tcPr>
            <w:tcW w:w="8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w w:val="96"/>
              </w:rPr>
              <w:t>$  6,643,513</w:t>
            </w:r>
          </w:p>
        </w:tc>
      </w:tr>
      <w:tr>
        <w:trPr>
          <w:trHeight w:val="27"/>
        </w:trPr>
        <w:tc>
          <w:tcPr>
            <w:tcW w:w="152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Depreciation of the Company's investment in buildings and improvements reflected in the consolidated statements of operations are calculated over the estimated useful lives of the asset as follows:</w:t>
      </w:r>
    </w:p>
    <w:p>
      <w:pPr>
        <w:spacing w:after="0" w:line="387"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620" w:type="dxa"/>
            <w:vAlign w:val="bottom"/>
          </w:tcPr>
          <w:p>
            <w:pPr>
              <w:spacing w:after="0"/>
              <w:rPr>
                <w:sz w:val="23"/>
                <w:szCs w:val="2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 years</w:t>
            </w:r>
          </w:p>
        </w:tc>
      </w:tr>
      <w:tr>
        <w:trPr>
          <w:trHeight w:val="270"/>
        </w:trPr>
        <w:tc>
          <w:tcPr>
            <w:tcW w:w="6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Tenant improvements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30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70"/>
        </w:trPr>
        <w:tc>
          <w:tcPr>
            <w:tcW w:w="620" w:type="dxa"/>
            <w:vAlign w:val="bottom"/>
          </w:tcPr>
          <w:p>
            <w:pPr>
              <w:spacing w:after="0"/>
              <w:rPr>
                <w:sz w:val="23"/>
                <w:szCs w:val="2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716"/>
        </w:trPr>
        <w:tc>
          <w:tcPr>
            <w:tcW w:w="7280" w:type="dxa"/>
            <w:vAlign w:val="bottom"/>
            <w:gridSpan w:val="6"/>
          </w:tcPr>
          <w:p>
            <w:pPr>
              <w:jc w:val="right"/>
              <w:ind w:right="130"/>
              <w:spacing w:after="0"/>
              <w:rPr>
                <w:sz w:val="20"/>
                <w:szCs w:val="20"/>
                <w:color w:val="auto"/>
              </w:rPr>
            </w:pPr>
            <w:r>
              <w:rPr>
                <w:rFonts w:ascii="Arial" w:cs="Arial" w:eastAsia="Arial" w:hAnsi="Arial"/>
                <w:sz w:val="18"/>
                <w:szCs w:val="18"/>
                <w:color w:val="auto"/>
                <w:w w:val="88"/>
              </w:rPr>
              <w:t>The changes in total real estate assets for the three years ended December 31, 2019 are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02"/>
        </w:trPr>
        <w:tc>
          <w:tcPr>
            <w:tcW w:w="620" w:type="dxa"/>
            <w:vAlign w:val="bottom"/>
          </w:tcPr>
          <w:p>
            <w:pPr>
              <w:spacing w:after="0"/>
              <w:rPr>
                <w:sz w:val="24"/>
                <w:szCs w:val="24"/>
                <w:color w:val="auto"/>
              </w:rPr>
            </w:pPr>
          </w:p>
        </w:tc>
        <w:tc>
          <w:tcPr>
            <w:tcW w:w="47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beginning of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8,878,820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9,127,533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9,209,211</w:t>
            </w:r>
          </w:p>
        </w:tc>
      </w:tr>
      <w:tr>
        <w:trPr>
          <w:trHeight w:val="243"/>
        </w:trPr>
        <w:tc>
          <w:tcPr>
            <w:tcW w:w="62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176,690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246,719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202,280</w:t>
            </w:r>
          </w:p>
        </w:tc>
      </w:tr>
      <w:tr>
        <w:trPr>
          <w:trHeight w:val="27"/>
        </w:trPr>
        <w:tc>
          <w:tcPr>
            <w:tcW w:w="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Dispositions and retirements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(495,432)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(283,958)</w:t>
            </w:r>
          </w:p>
        </w:tc>
      </w:tr>
      <w:tr>
        <w:trPr>
          <w:trHeight w:val="264"/>
        </w:trPr>
        <w:tc>
          <w:tcPr>
            <w:tcW w:w="6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Balances,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8,993,049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8,878,820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9,127,533</w:t>
            </w:r>
          </w:p>
        </w:tc>
      </w:tr>
      <w:tr>
        <w:trPr>
          <w:trHeight w:val="21"/>
        </w:trPr>
        <w:tc>
          <w:tcPr>
            <w:tcW w:w="6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aggregate cost of the property included in the table above for federal income tax purposes was $8,446,407 (unaudited) at December 31, 2019.</w:t>
      </w:r>
    </w:p>
    <w:p>
      <w:pPr>
        <w:spacing w:after="0" w:line="200" w:lineRule="exact"/>
        <w:rPr>
          <w:sz w:val="20"/>
          <w:szCs w:val="20"/>
          <w:color w:val="auto"/>
        </w:rPr>
      </w:pPr>
    </w:p>
    <w:p>
      <w:pPr>
        <w:spacing w:after="0" w:line="3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accumulated depreciation for the three years ended December 31, 2019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beginning of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2,093,044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2,018,303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1,851,901</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287,846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275,236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277,917</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Dispositions and retirements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(111,515)</w:t>
            </w:r>
          </w:p>
        </w:tc>
      </w:tr>
      <w:tr>
        <w:trPr>
          <w:trHeight w:val="264"/>
        </w:trPr>
        <w:tc>
          <w:tcPr>
            <w:tcW w:w="4740" w:type="dxa"/>
            <w:vAlign w:val="bottom"/>
          </w:tcPr>
          <w:p>
            <w:pPr>
              <w:spacing w:after="0"/>
              <w:rPr>
                <w:sz w:val="20"/>
                <w:szCs w:val="20"/>
                <w:color w:val="auto"/>
              </w:rPr>
            </w:pPr>
            <w:r>
              <w:rPr>
                <w:rFonts w:ascii="Arial" w:cs="Arial" w:eastAsia="Arial" w:hAnsi="Arial"/>
                <w:sz w:val="18"/>
                <w:szCs w:val="18"/>
                <w:color w:val="auto"/>
              </w:rPr>
              <w:t>Balances,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2,349,536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2,093,044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2,018,303</w:t>
            </w:r>
          </w:p>
        </w:tc>
      </w:tr>
      <w:tr>
        <w:trPr>
          <w:trHeight w:val="21"/>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106" w:name="page107"/>
    <w:bookmarkEnd w:id="106"/>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p>
      <w:pPr>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294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 w:lineRule="exact"/>
        <w:rPr>
          <w:sz w:val="20"/>
          <w:szCs w:val="20"/>
          <w:color w:val="auto"/>
        </w:rPr>
      </w:pPr>
    </w:p>
    <w:p>
      <w:pPr>
        <w:ind w:left="1420" w:right="180" w:hanging="638"/>
        <w:spacing w:after="0" w:line="224" w:lineRule="auto"/>
        <w:tabs>
          <w:tab w:leader="none" w:pos="1400" w:val="left"/>
        </w:tabs>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22">
        <w:r>
          <w:rPr>
            <w:rFonts w:ascii="Arial" w:cs="Arial" w:eastAsia="Arial" w:hAnsi="Arial"/>
            <w:sz w:val="18"/>
            <w:szCs w:val="18"/>
            <w:u w:val="single" w:color="auto"/>
            <w:color w:val="0000FF"/>
          </w:rPr>
          <w:t>Master Agreement, dated November 14, 2014, by and among Pacific Premier Retail LLC, MACPT LLC, Macerich PPR GP LLC,</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Queens JV LP, Macerich Queens JV LP, Queens JV GP LLC, 1700480 Ontario Inc. and the Company (incorporated by reference as an</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exhibit to the Company’s Current Report on Form 8-K, event date November 14, 2014).</w:t>
        </w:r>
      </w:hyperlink>
    </w:p>
    <w:p>
      <w:pPr>
        <w:spacing w:after="0" w:line="231" w:lineRule="exact"/>
        <w:rPr>
          <w:rFonts w:ascii="Arial" w:cs="Arial" w:eastAsia="Arial" w:hAnsi="Arial"/>
          <w:sz w:val="18"/>
          <w:szCs w:val="18"/>
          <w:u w:val="single" w:color="auto"/>
          <w:color w:val="0000FF"/>
        </w:rPr>
      </w:pPr>
    </w:p>
    <w:p>
      <w:pPr>
        <w:ind w:left="1420" w:right="140" w:hanging="786"/>
        <w:spacing w:after="0" w:line="264" w:lineRule="auto"/>
        <w:tabs>
          <w:tab w:leader="none" w:pos="1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276" w:lineRule="exact"/>
        <w:rPr>
          <w:rFonts w:ascii="Arial" w:cs="Arial" w:eastAsia="Arial" w:hAnsi="Arial"/>
          <w:sz w:val="18"/>
          <w:szCs w:val="18"/>
          <w:u w:val="single" w:color="auto"/>
          <w:color w:val="0000FF"/>
        </w:rPr>
      </w:pPr>
    </w:p>
    <w:p>
      <w:pPr>
        <w:ind w:left="1420" w:right="160" w:hanging="773"/>
        <w:spacing w:after="0" w:line="277" w:lineRule="auto"/>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Articles Supplementary of the Company (incorporated by reference as an exhibit to the Company's Current Report on Form 8-K, event date May 30, 1995) (Filed in paper - hyperlink is not required pursuant to Rule 105 of Regulation S-T).</w:t>
      </w:r>
    </w:p>
    <w:p>
      <w:pPr>
        <w:spacing w:after="0" w:line="236" w:lineRule="exact"/>
        <w:rPr>
          <w:rFonts w:ascii="Arial" w:cs="Arial" w:eastAsia="Arial" w:hAnsi="Arial"/>
          <w:sz w:val="18"/>
          <w:szCs w:val="18"/>
          <w:u w:val="single" w:color="auto"/>
          <w:color w:val="0000FF"/>
        </w:rPr>
      </w:pPr>
    </w:p>
    <w:p>
      <w:pPr>
        <w:ind w:left="660"/>
        <w:spacing w:after="0"/>
        <w:tabs>
          <w:tab w:leader="none" w:pos="1400" w:val="left"/>
        </w:tabs>
        <w:rPr>
          <w:rFonts w:ascii="Arial" w:cs="Arial" w:eastAsia="Arial" w:hAnsi="Arial"/>
          <w:sz w:val="16"/>
          <w:szCs w:val="16"/>
          <w:u w:val="single" w:color="auto"/>
          <w:color w:val="0000FF"/>
        </w:rPr>
      </w:pPr>
      <w:hyperlink r:id="rId123">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r:id="rId123">
        <w:r>
          <w:rPr>
            <w:rFonts w:ascii="Arial" w:cs="Arial" w:eastAsia="Arial" w:hAnsi="Arial"/>
            <w:sz w:val="16"/>
            <w:szCs w:val="16"/>
            <w:u w:val="single" w:color="auto"/>
            <w:color w:val="0000FF"/>
          </w:rPr>
          <w:t>Articles Supplementary of the Company (with respect to the first paragraph) (incorporated by reference as an exhibit to the Company's</w:t>
        </w:r>
      </w:hyperlink>
    </w:p>
    <w:p>
      <w:pPr>
        <w:ind w:left="1420"/>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1998 Form 10-K).</w:t>
        </w:r>
      </w:hyperlink>
    </w:p>
    <w:p>
      <w:pPr>
        <w:spacing w:after="0" w:line="263" w:lineRule="exact"/>
        <w:rPr>
          <w:sz w:val="20"/>
          <w:szCs w:val="20"/>
          <w:color w:val="auto"/>
        </w:rPr>
      </w:pPr>
    </w:p>
    <w:p>
      <w:pPr>
        <w:ind w:left="1420" w:right="220" w:hanging="773"/>
        <w:spacing w:after="0" w:line="235" w:lineRule="auto"/>
        <w:tabs>
          <w:tab w:leader="none" w:pos="1400" w:val="left"/>
        </w:tabs>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3.1.3</w:t>
        </w:r>
      </w:hyperlink>
      <w:r>
        <w:rPr>
          <w:rFonts w:ascii="Arial" w:cs="Arial" w:eastAsia="Arial" w:hAnsi="Arial"/>
          <w:sz w:val="18"/>
          <w:szCs w:val="18"/>
          <w:u w:val="single" w:color="auto"/>
          <w:color w:val="0000FF"/>
        </w:rPr>
        <w:tab/>
      </w:r>
      <w:hyperlink r:id="rId124">
        <w:r>
          <w:rPr>
            <w:rFonts w:ascii="Arial" w:cs="Arial" w:eastAsia="Arial" w:hAnsi="Arial"/>
            <w:sz w:val="18"/>
            <w:szCs w:val="18"/>
            <w:u w:val="single" w:color="auto"/>
            <w:color w:val="0000FF"/>
          </w:rPr>
          <w:t>Articles Supplementary of the Company (Series D Preferred Stock) (incorporated by reference as an exhibit to the Company's Current</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Report on Form 8-K, event date July 26, 2002).</w:t>
        </w:r>
      </w:hyperlink>
    </w:p>
    <w:p>
      <w:pPr>
        <w:spacing w:after="0" w:line="256" w:lineRule="exact"/>
        <w:rPr>
          <w:rFonts w:ascii="Arial" w:cs="Arial" w:eastAsia="Arial" w:hAnsi="Arial"/>
          <w:sz w:val="18"/>
          <w:szCs w:val="18"/>
          <w:u w:val="single" w:color="auto"/>
          <w:color w:val="0000FF"/>
        </w:rPr>
      </w:pPr>
    </w:p>
    <w:p>
      <w:pPr>
        <w:ind w:left="1420" w:right="80" w:hanging="773"/>
        <w:spacing w:after="0" w:line="235" w:lineRule="auto"/>
        <w:tabs>
          <w:tab w:leader="none" w:pos="1400" w:val="left"/>
        </w:tabs>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3.1.4</w:t>
        </w:r>
      </w:hyperlink>
      <w:r>
        <w:rPr>
          <w:rFonts w:ascii="Arial" w:cs="Arial" w:eastAsia="Arial" w:hAnsi="Arial"/>
          <w:sz w:val="18"/>
          <w:szCs w:val="18"/>
          <w:u w:val="single" w:color="auto"/>
          <w:color w:val="0000FF"/>
        </w:rPr>
        <w:tab/>
      </w:r>
      <w:hyperlink r:id="rId125">
        <w:r>
          <w:rPr>
            <w:rFonts w:ascii="Arial" w:cs="Arial" w:eastAsia="Arial" w:hAnsi="Arial"/>
            <w:sz w:val="18"/>
            <w:szCs w:val="18"/>
            <w:u w:val="single" w:color="auto"/>
            <w:color w:val="0000FF"/>
          </w:rPr>
          <w:t>Articles Supplementary of the Company (incorporated by reference as an exhibit to the Company's Registration Statement on Form S-3,</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as amended (No. 333-88718)).</w:t>
        </w:r>
      </w:hyperlink>
    </w:p>
    <w:p>
      <w:pPr>
        <w:spacing w:after="0" w:line="256" w:lineRule="exact"/>
        <w:rPr>
          <w:rFonts w:ascii="Arial" w:cs="Arial" w:eastAsia="Arial" w:hAnsi="Arial"/>
          <w:sz w:val="18"/>
          <w:szCs w:val="18"/>
          <w:u w:val="single" w:color="auto"/>
          <w:color w:val="0000FF"/>
        </w:rPr>
      </w:pPr>
    </w:p>
    <w:p>
      <w:pPr>
        <w:ind w:left="1420" w:right="400" w:hanging="773"/>
        <w:spacing w:after="0" w:line="235" w:lineRule="auto"/>
        <w:tabs>
          <w:tab w:leader="none" w:pos="1400" w:val="left"/>
        </w:tabs>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3.1.5</w:t>
        </w:r>
      </w:hyperlink>
      <w:r>
        <w:rPr>
          <w:rFonts w:ascii="Arial" w:cs="Arial" w:eastAsia="Arial" w:hAnsi="Arial"/>
          <w:sz w:val="18"/>
          <w:szCs w:val="18"/>
          <w:u w:val="single" w:color="auto"/>
          <w:color w:val="0000FF"/>
        </w:rPr>
        <w:tab/>
      </w:r>
      <w:hyperlink r:id="rId126">
        <w:r>
          <w:rPr>
            <w:rFonts w:ascii="Arial" w:cs="Arial" w:eastAsia="Arial" w:hAnsi="Arial"/>
            <w:sz w:val="18"/>
            <w:szCs w:val="18"/>
            <w:u w:val="single" w:color="auto"/>
            <w:color w:val="0000FF"/>
          </w:rPr>
          <w:t>Articles of Amendment of the Company (declassification of Board) (incorporated by reference as an exhibit to the Company's 2008</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Form 10-K).</w:t>
        </w:r>
      </w:hyperlink>
    </w:p>
    <w:p>
      <w:pPr>
        <w:spacing w:after="0" w:line="256" w:lineRule="exact"/>
        <w:rPr>
          <w:rFonts w:ascii="Arial" w:cs="Arial" w:eastAsia="Arial" w:hAnsi="Arial"/>
          <w:sz w:val="18"/>
          <w:szCs w:val="18"/>
          <w:u w:val="single" w:color="auto"/>
          <w:color w:val="0000FF"/>
        </w:rPr>
      </w:pPr>
    </w:p>
    <w:p>
      <w:pPr>
        <w:ind w:left="1420" w:right="160" w:hanging="773"/>
        <w:spacing w:after="0" w:line="235" w:lineRule="auto"/>
        <w:tabs>
          <w:tab w:leader="none" w:pos="1400" w:val="left"/>
        </w:tabs>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3.1.6</w:t>
        </w:r>
      </w:hyperlink>
      <w:r>
        <w:rPr>
          <w:rFonts w:ascii="Arial" w:cs="Arial" w:eastAsia="Arial" w:hAnsi="Arial"/>
          <w:sz w:val="18"/>
          <w:szCs w:val="18"/>
          <w:u w:val="single" w:color="auto"/>
          <w:color w:val="0000FF"/>
        </w:rPr>
        <w:tab/>
      </w:r>
      <w:hyperlink r:id="rId127">
        <w:r>
          <w:rPr>
            <w:rFonts w:ascii="Arial" w:cs="Arial" w:eastAsia="Arial" w:hAnsi="Arial"/>
            <w:sz w:val="18"/>
            <w:szCs w:val="18"/>
            <w:u w:val="single" w:color="auto"/>
            <w:color w:val="0000FF"/>
          </w:rPr>
          <w:t>Articles Supplementary of the Company (incorporated by reference as an exhibit to the Company's Current Report on Form 8-K, event</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date February 5, 2009).</w:t>
        </w:r>
      </w:hyperlink>
    </w:p>
    <w:p>
      <w:pPr>
        <w:spacing w:after="0" w:line="256" w:lineRule="exact"/>
        <w:rPr>
          <w:rFonts w:ascii="Arial" w:cs="Arial" w:eastAsia="Arial" w:hAnsi="Arial"/>
          <w:sz w:val="18"/>
          <w:szCs w:val="18"/>
          <w:u w:val="single" w:color="auto"/>
          <w:color w:val="0000FF"/>
        </w:rPr>
      </w:pPr>
    </w:p>
    <w:p>
      <w:pPr>
        <w:ind w:left="1420" w:right="620" w:hanging="773"/>
        <w:spacing w:after="0" w:line="235" w:lineRule="auto"/>
        <w:tabs>
          <w:tab w:leader="none" w:pos="1400" w:val="left"/>
        </w:tabs>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3.1.7</w:t>
        </w:r>
      </w:hyperlink>
      <w:r>
        <w:rPr>
          <w:rFonts w:ascii="Arial" w:cs="Arial" w:eastAsia="Arial" w:hAnsi="Arial"/>
          <w:sz w:val="18"/>
          <w:szCs w:val="18"/>
          <w:u w:val="single" w:color="auto"/>
          <w:color w:val="0000FF"/>
        </w:rPr>
        <w:tab/>
      </w:r>
      <w:hyperlink r:id="rId128">
        <w:r>
          <w:rPr>
            <w:rFonts w:ascii="Arial" w:cs="Arial" w:eastAsia="Arial" w:hAnsi="Arial"/>
            <w:sz w:val="18"/>
            <w:szCs w:val="18"/>
            <w:u w:val="single" w:color="auto"/>
            <w:color w:val="0000FF"/>
          </w:rPr>
          <w:t>Articles of Amendment of the Company (increased authorized shares) (incorporated by reference as an exhibit to the Company's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Quarterly Report on Form 10-Q for the quarter ended June 30, 2009).</w:t>
        </w:r>
      </w:hyperlink>
    </w:p>
    <w:p>
      <w:pPr>
        <w:spacing w:after="0" w:line="256" w:lineRule="exact"/>
        <w:rPr>
          <w:rFonts w:ascii="Arial" w:cs="Arial" w:eastAsia="Arial" w:hAnsi="Arial"/>
          <w:sz w:val="18"/>
          <w:szCs w:val="18"/>
          <w:u w:val="single" w:color="auto"/>
          <w:color w:val="0000FF"/>
        </w:rPr>
      </w:pPr>
    </w:p>
    <w:p>
      <w:pPr>
        <w:ind w:left="1420" w:right="60" w:hanging="773"/>
        <w:spacing w:after="0" w:line="289" w:lineRule="auto"/>
        <w:tabs>
          <w:tab w:leader="none" w:pos="1400" w:val="left"/>
        </w:tabs>
        <w:rPr>
          <w:rFonts w:ascii="Arial" w:cs="Arial" w:eastAsia="Arial" w:hAnsi="Arial"/>
          <w:sz w:val="16"/>
          <w:szCs w:val="16"/>
          <w:u w:val="single" w:color="auto"/>
          <w:color w:val="0000FF"/>
        </w:rPr>
      </w:pPr>
      <w:hyperlink r:id="rId129">
        <w:r>
          <w:rPr>
            <w:rFonts w:ascii="Arial" w:cs="Arial" w:eastAsia="Arial" w:hAnsi="Arial"/>
            <w:sz w:val="18"/>
            <w:szCs w:val="18"/>
            <w:u w:val="single" w:color="auto"/>
            <w:color w:val="0000FF"/>
          </w:rPr>
          <w:t>3.1.8</w:t>
        </w:r>
      </w:hyperlink>
      <w:r>
        <w:rPr>
          <w:rFonts w:ascii="Arial" w:cs="Arial" w:eastAsia="Arial" w:hAnsi="Arial"/>
          <w:sz w:val="18"/>
          <w:szCs w:val="18"/>
          <w:u w:val="single" w:color="auto"/>
          <w:color w:val="0000FF"/>
        </w:rPr>
        <w:tab/>
      </w:r>
      <w:hyperlink r:id="rId129">
        <w:r>
          <w:rPr>
            <w:rFonts w:ascii="Arial" w:cs="Arial" w:eastAsia="Arial" w:hAnsi="Arial"/>
            <w:sz w:val="16"/>
            <w:szCs w:val="16"/>
            <w:u w:val="single" w:color="auto"/>
            <w:color w:val="0000FF"/>
          </w:rPr>
          <w:t>Articles of Amendment of the Company (to eliminate the supermajority vote requirement to amend the charter and to clarify a reference</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in Article NINTH) (incorporated by reference as an exhibit to the Company’s Current Report on Form 8-K, event date May 30, 2014).</w:t>
        </w:r>
      </w:hyperlink>
    </w:p>
    <w:p>
      <w:pPr>
        <w:spacing w:after="0" w:line="219" w:lineRule="exact"/>
        <w:rPr>
          <w:rFonts w:ascii="Arial" w:cs="Arial" w:eastAsia="Arial" w:hAnsi="Arial"/>
          <w:sz w:val="18"/>
          <w:szCs w:val="18"/>
          <w:u w:val="single" w:color="auto"/>
          <w:color w:val="0000FF"/>
        </w:rPr>
      </w:pPr>
    </w:p>
    <w:p>
      <w:pPr>
        <w:ind w:left="1420" w:hanging="773"/>
        <w:spacing w:after="0" w:line="235" w:lineRule="auto"/>
        <w:tabs>
          <w:tab w:leader="none" w:pos="1400" w:val="left"/>
        </w:tabs>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3.1.9</w:t>
        </w:r>
      </w:hyperlink>
      <w:r>
        <w:rPr>
          <w:rFonts w:ascii="Arial" w:cs="Arial" w:eastAsia="Arial" w:hAnsi="Arial"/>
          <w:sz w:val="18"/>
          <w:szCs w:val="18"/>
          <w:u w:val="single" w:color="auto"/>
          <w:color w:val="0000FF"/>
        </w:rPr>
        <w:tab/>
      </w:r>
      <w:hyperlink r:id="rId130">
        <w:r>
          <w:rPr>
            <w:rFonts w:ascii="Arial" w:cs="Arial" w:eastAsia="Arial" w:hAnsi="Arial"/>
            <w:sz w:val="18"/>
            <w:szCs w:val="18"/>
            <w:u w:val="single" w:color="auto"/>
            <w:color w:val="0000FF"/>
          </w:rPr>
          <w:t>Articles Supplementary (election to be subject to Section 3-803 of the Maryland General Corporation Law) (incorporated by reference as</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an exhibit to the Company's Current Report on Form 8-K, event date March 17, 2015).</w:t>
        </w:r>
      </w:hyperlink>
    </w:p>
    <w:p>
      <w:pPr>
        <w:spacing w:after="0" w:line="256" w:lineRule="exact"/>
        <w:rPr>
          <w:rFonts w:ascii="Arial" w:cs="Arial" w:eastAsia="Arial" w:hAnsi="Arial"/>
          <w:sz w:val="18"/>
          <w:szCs w:val="18"/>
          <w:u w:val="single" w:color="auto"/>
          <w:color w:val="0000FF"/>
        </w:rPr>
      </w:pPr>
    </w:p>
    <w:p>
      <w:pPr>
        <w:ind w:left="1420" w:right="380" w:hanging="863"/>
        <w:spacing w:after="0" w:line="235" w:lineRule="auto"/>
        <w:tabs>
          <w:tab w:leader="none" w:pos="1400" w:val="left"/>
        </w:tabs>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3.1.10</w:t>
        </w:r>
      </w:hyperlink>
      <w:r>
        <w:rPr>
          <w:rFonts w:ascii="Arial" w:cs="Arial" w:eastAsia="Arial" w:hAnsi="Arial"/>
          <w:sz w:val="18"/>
          <w:szCs w:val="18"/>
          <w:u w:val="single" w:color="auto"/>
          <w:color w:val="0000FF"/>
        </w:rPr>
        <w:tab/>
      </w:r>
      <w:hyperlink r:id="rId131">
        <w:r>
          <w:rPr>
            <w:rFonts w:ascii="Arial" w:cs="Arial" w:eastAsia="Arial" w:hAnsi="Arial"/>
            <w:sz w:val="18"/>
            <w:szCs w:val="18"/>
            <w:u w:val="single" w:color="auto"/>
            <w:color w:val="0000FF"/>
          </w:rPr>
          <w:t>Articles Supplementary (designation of Series E Preferred Stock) (incorporated by reference as an exhibit to the Company's Current</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Report on Form 8-K, event date March 18, 2015).</w:t>
        </w:r>
      </w:hyperlink>
    </w:p>
    <w:p>
      <w:pPr>
        <w:spacing w:after="0" w:line="256" w:lineRule="exact"/>
        <w:rPr>
          <w:rFonts w:ascii="Arial" w:cs="Arial" w:eastAsia="Arial" w:hAnsi="Arial"/>
          <w:sz w:val="18"/>
          <w:szCs w:val="18"/>
          <w:u w:val="single" w:color="auto"/>
          <w:color w:val="0000FF"/>
        </w:rPr>
      </w:pPr>
    </w:p>
    <w:p>
      <w:pPr>
        <w:ind w:left="1420" w:right="240" w:hanging="856"/>
        <w:spacing w:after="0" w:line="235" w:lineRule="auto"/>
        <w:tabs>
          <w:tab w:leader="none" w:pos="1400" w:val="left"/>
        </w:tabs>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3.1.11</w:t>
        </w:r>
      </w:hyperlink>
      <w:r>
        <w:rPr>
          <w:rFonts w:ascii="Arial" w:cs="Arial" w:eastAsia="Arial" w:hAnsi="Arial"/>
          <w:sz w:val="18"/>
          <w:szCs w:val="18"/>
          <w:u w:val="single" w:color="auto"/>
          <w:color w:val="0000FF"/>
        </w:rPr>
        <w:tab/>
      </w:r>
      <w:hyperlink r:id="rId132">
        <w:r>
          <w:rPr>
            <w:rFonts w:ascii="Arial" w:cs="Arial" w:eastAsia="Arial" w:hAnsi="Arial"/>
            <w:sz w:val="18"/>
            <w:szCs w:val="18"/>
            <w:u w:val="single" w:color="auto"/>
            <w:color w:val="0000FF"/>
          </w:rPr>
          <w:t>Articles Supplementary (reclassification of Series E Preferred Stock to preferred stock) (incorporated by reference as an exhibit to the</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Company's Current Report on Form 8-K, event date May 7, 2015).</w:t>
        </w:r>
      </w:hyperlink>
    </w:p>
    <w:p>
      <w:pPr>
        <w:spacing w:after="0" w:line="256" w:lineRule="exact"/>
        <w:rPr>
          <w:rFonts w:ascii="Arial" w:cs="Arial" w:eastAsia="Arial" w:hAnsi="Arial"/>
          <w:sz w:val="18"/>
          <w:szCs w:val="18"/>
          <w:u w:val="single" w:color="auto"/>
          <w:color w:val="0000FF"/>
        </w:rPr>
      </w:pPr>
    </w:p>
    <w:p>
      <w:pPr>
        <w:ind w:left="1420" w:right="280" w:hanging="863"/>
        <w:spacing w:after="0" w:line="235" w:lineRule="auto"/>
        <w:tabs>
          <w:tab w:leader="none" w:pos="1400" w:val="left"/>
        </w:tabs>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3.1.12</w:t>
        </w:r>
      </w:hyperlink>
      <w:r>
        <w:rPr>
          <w:rFonts w:ascii="Arial" w:cs="Arial" w:eastAsia="Arial" w:hAnsi="Arial"/>
          <w:sz w:val="18"/>
          <w:szCs w:val="18"/>
          <w:u w:val="single" w:color="auto"/>
          <w:color w:val="0000FF"/>
        </w:rPr>
        <w:tab/>
      </w:r>
      <w:hyperlink r:id="rId133">
        <w:r>
          <w:rPr>
            <w:rFonts w:ascii="Arial" w:cs="Arial" w:eastAsia="Arial" w:hAnsi="Arial"/>
            <w:sz w:val="18"/>
            <w:szCs w:val="18"/>
            <w:u w:val="single" w:color="auto"/>
            <w:color w:val="0000FF"/>
          </w:rPr>
          <w:t>Articles Supplementary (repeal of election to be subject to Section 3-803 of the Maryland General Corporation Law (incorporated by</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reference as an exhibit to the Company's Current Report on Form 8-K, event date May 28, 2015).</w:t>
        </w:r>
      </w:hyperlink>
    </w:p>
    <w:p>
      <w:pPr>
        <w:spacing w:after="0" w:line="256" w:lineRule="exact"/>
        <w:rPr>
          <w:rFonts w:ascii="Arial" w:cs="Arial" w:eastAsia="Arial" w:hAnsi="Arial"/>
          <w:sz w:val="18"/>
          <w:szCs w:val="18"/>
          <w:u w:val="single" w:color="auto"/>
          <w:color w:val="0000FF"/>
        </w:rPr>
      </w:pPr>
    </w:p>
    <w:p>
      <w:pPr>
        <w:ind w:left="1420" w:right="200" w:hanging="863"/>
        <w:spacing w:after="0" w:line="258" w:lineRule="auto"/>
        <w:tabs>
          <w:tab w:leader="none" w:pos="1400" w:val="left"/>
        </w:tabs>
        <w:rPr>
          <w:rFonts w:ascii="Arial" w:cs="Arial" w:eastAsia="Arial" w:hAnsi="Arial"/>
          <w:sz w:val="17"/>
          <w:szCs w:val="17"/>
          <w:u w:val="single" w:color="auto"/>
          <w:color w:val="0000FF"/>
        </w:rPr>
      </w:pPr>
      <w:hyperlink r:id="rId134">
        <w:r>
          <w:rPr>
            <w:rFonts w:ascii="Arial" w:cs="Arial" w:eastAsia="Arial" w:hAnsi="Arial"/>
            <w:sz w:val="18"/>
            <w:szCs w:val="18"/>
            <w:u w:val="single" w:color="auto"/>
            <w:color w:val="0000FF"/>
          </w:rPr>
          <w:t>3.1.13</w:t>
        </w:r>
      </w:hyperlink>
      <w:r>
        <w:rPr>
          <w:rFonts w:ascii="Arial" w:cs="Arial" w:eastAsia="Arial" w:hAnsi="Arial"/>
          <w:sz w:val="18"/>
          <w:szCs w:val="18"/>
          <w:u w:val="single" w:color="auto"/>
          <w:color w:val="0000FF"/>
        </w:rPr>
        <w:tab/>
      </w:r>
      <w:hyperlink r:id="rId134">
        <w:r>
          <w:rPr>
            <w:rFonts w:ascii="Arial" w:cs="Arial" w:eastAsia="Arial" w:hAnsi="Arial"/>
            <w:sz w:val="17"/>
            <w:szCs w:val="17"/>
            <w:u w:val="single" w:color="auto"/>
            <w:color w:val="0000FF"/>
          </w:rPr>
          <w:t>Articles Supplementary (opting out of provisions of Subtitle 8 of Title 3 of the Maryland General Corporate Law (MUTA Provisions))</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(incorporated by reference as an exhibit to the Company’s Current Report on Form 8-K, event date April 24, 2019).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0"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60" w:top="1040" w:right="339" w:bottom="1440" w:gutter="0" w:footer="0" w:header="0"/>
        </w:sectPr>
      </w:pPr>
    </w:p>
    <w:bookmarkStart w:id="107" w:name="page108"/>
    <w:bookmarkEnd w:id="107"/>
    <w:p>
      <w:pPr>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294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 w:lineRule="exact"/>
        <w:rPr>
          <w:sz w:val="20"/>
          <w:szCs w:val="20"/>
          <w:color w:val="auto"/>
        </w:rPr>
      </w:pPr>
    </w:p>
    <w:p>
      <w:pPr>
        <w:ind w:left="1420" w:right="40" w:hanging="663"/>
        <w:spacing w:after="0" w:line="235" w:lineRule="auto"/>
        <w:tabs>
          <w:tab w:leader="none" w:pos="1400" w:val="left"/>
        </w:tabs>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37">
        <w:r>
          <w:rPr>
            <w:rFonts w:ascii="Arial" w:cs="Arial" w:eastAsia="Arial" w:hAnsi="Arial"/>
            <w:sz w:val="18"/>
            <w:szCs w:val="18"/>
            <w:u w:val="single" w:color="auto"/>
            <w:color w:val="0000FF"/>
          </w:rPr>
          <w:t>Amended and Restated Bylaws of the Company (incorporated by reference as an exhibit to the Company's Current Report on Form 8-K,</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event date April 24, 2019).</w:t>
        </w:r>
      </w:hyperlink>
    </w:p>
    <w:p>
      <w:pPr>
        <w:spacing w:after="0" w:line="256" w:lineRule="exact"/>
        <w:rPr>
          <w:rFonts w:ascii="Arial" w:cs="Arial" w:eastAsia="Arial" w:hAnsi="Arial"/>
          <w:sz w:val="18"/>
          <w:szCs w:val="18"/>
          <w:u w:val="single" w:color="auto"/>
          <w:color w:val="0000FF"/>
        </w:rPr>
      </w:pPr>
    </w:p>
    <w:p>
      <w:pPr>
        <w:ind w:left="780"/>
        <w:spacing w:after="0"/>
        <w:tabs>
          <w:tab w:leader="none" w:pos="1400" w:val="left"/>
        </w:tabs>
        <w:rPr>
          <w:rFonts w:ascii="Arial" w:cs="Arial" w:eastAsia="Arial" w:hAnsi="Arial"/>
          <w:sz w:val="16"/>
          <w:szCs w:val="16"/>
          <w:u w:val="single" w:color="auto"/>
          <w:color w:val="0000FF"/>
        </w:rPr>
      </w:pPr>
      <w:hyperlink w:anchor="page116">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w:anchor="page116">
        <w:r>
          <w:rPr>
            <w:rFonts w:ascii="Arial" w:cs="Arial" w:eastAsia="Arial" w:hAnsi="Arial"/>
            <w:sz w:val="16"/>
            <w:szCs w:val="16"/>
            <w:u w:val="single" w:color="auto"/>
            <w:color w:val="0000FF"/>
          </w:rPr>
          <w:t>Description of the Company's Securities</w:t>
        </w:r>
      </w:hyperlink>
    </w:p>
    <w:p>
      <w:pPr>
        <w:spacing w:after="0" w:line="279" w:lineRule="exact"/>
        <w:rPr>
          <w:sz w:val="20"/>
          <w:szCs w:val="20"/>
          <w:color w:val="auto"/>
        </w:rPr>
      </w:pPr>
    </w:p>
    <w:p>
      <w:pPr>
        <w:ind w:left="1420" w:hanging="638"/>
        <w:spacing w:after="0" w:line="235" w:lineRule="auto"/>
        <w:tabs>
          <w:tab w:leader="none" w:pos="1400" w:val="left"/>
        </w:tabs>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4.</w:t>
        </w:r>
      </w:hyperlink>
      <w:r>
        <w:rPr>
          <w:rFonts w:ascii="Arial" w:cs="Arial" w:eastAsia="Arial" w:hAnsi="Arial"/>
          <w:sz w:val="18"/>
          <w:szCs w:val="18"/>
          <w:u w:val="single" w:color="auto"/>
          <w:color w:val="0000FF"/>
        </w:rPr>
        <w:t>2</w:t>
        <w:tab/>
      </w:r>
      <w:hyperlink r:id="rId138">
        <w:r>
          <w:rPr>
            <w:rFonts w:ascii="Arial" w:cs="Arial" w:eastAsia="Arial" w:hAnsi="Arial"/>
            <w:sz w:val="18"/>
            <w:szCs w:val="18"/>
            <w:u w:val="single" w:color="auto"/>
            <w:color w:val="0000FF"/>
          </w:rPr>
          <w:t>Form of Common Stock Certificate (incorporated by reference as an exhibit to the Company's Current Report on Form 8-K, as amended,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event date November 10, 1998).</w:t>
        </w:r>
      </w:hyperlink>
    </w:p>
    <w:p>
      <w:pPr>
        <w:spacing w:after="0" w:line="256" w:lineRule="exact"/>
        <w:rPr>
          <w:rFonts w:ascii="Arial" w:cs="Arial" w:eastAsia="Arial" w:hAnsi="Arial"/>
          <w:sz w:val="18"/>
          <w:szCs w:val="18"/>
          <w:u w:val="single" w:color="auto"/>
          <w:color w:val="0000FF"/>
        </w:rPr>
      </w:pPr>
    </w:p>
    <w:p>
      <w:pPr>
        <w:ind w:left="1420" w:right="220" w:hanging="638"/>
        <w:spacing w:after="0" w:line="235" w:lineRule="auto"/>
        <w:tabs>
          <w:tab w:leader="none" w:pos="1400" w:val="left"/>
        </w:tabs>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4.</w:t>
        </w:r>
      </w:hyperlink>
      <w:r>
        <w:rPr>
          <w:rFonts w:ascii="Arial" w:cs="Arial" w:eastAsia="Arial" w:hAnsi="Arial"/>
          <w:sz w:val="18"/>
          <w:szCs w:val="18"/>
          <w:u w:val="single" w:color="auto"/>
          <w:color w:val="0000FF"/>
        </w:rPr>
        <w:t>3</w:t>
        <w:tab/>
      </w:r>
      <w:hyperlink r:id="rId139">
        <w:r>
          <w:rPr>
            <w:rFonts w:ascii="Arial" w:cs="Arial" w:eastAsia="Arial" w:hAnsi="Arial"/>
            <w:sz w:val="18"/>
            <w:szCs w:val="18"/>
            <w:u w:val="single" w:color="auto"/>
            <w:color w:val="0000FF"/>
          </w:rPr>
          <w:t>Form of Preferred Stock Certificate (Series D Preferred Stock) (incorporated by reference as an exhibit to the Company's Registration</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Statement on Form S-3 (No. 333-107063)).</w:t>
        </w:r>
      </w:hyperlink>
    </w:p>
    <w:p>
      <w:pPr>
        <w:spacing w:after="0" w:line="256" w:lineRule="exact"/>
        <w:rPr>
          <w:rFonts w:ascii="Arial" w:cs="Arial" w:eastAsia="Arial" w:hAnsi="Arial"/>
          <w:sz w:val="18"/>
          <w:szCs w:val="18"/>
          <w:u w:val="single" w:color="auto"/>
          <w:color w:val="0000FF"/>
        </w:rPr>
      </w:pPr>
    </w:p>
    <w:p>
      <w:pPr>
        <w:ind w:left="1420" w:right="460" w:hanging="728"/>
        <w:spacing w:after="0" w:line="235" w:lineRule="auto"/>
        <w:tabs>
          <w:tab w:leader="none" w:pos="1400" w:val="left"/>
        </w:tabs>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40">
        <w:r>
          <w:rPr>
            <w:rFonts w:ascii="Arial" w:cs="Arial" w:eastAsia="Arial" w:hAnsi="Arial"/>
            <w:sz w:val="18"/>
            <w:szCs w:val="18"/>
            <w:u w:val="single" w:color="auto"/>
            <w:color w:val="0000FF"/>
          </w:rPr>
          <w:t>Amended and Restated Limited Partnership Agreement for the Operating Partnership dated as of March 16, 1994 (incorporated by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reference as an exhibit to the Company's 1996 Form 10-K).</w:t>
        </w:r>
      </w:hyperlink>
    </w:p>
    <w:p>
      <w:pPr>
        <w:spacing w:after="0" w:line="256" w:lineRule="exact"/>
        <w:rPr>
          <w:rFonts w:ascii="Arial" w:cs="Arial" w:eastAsia="Arial" w:hAnsi="Arial"/>
          <w:sz w:val="18"/>
          <w:szCs w:val="18"/>
          <w:u w:val="single" w:color="auto"/>
          <w:color w:val="0000FF"/>
        </w:rPr>
      </w:pPr>
    </w:p>
    <w:p>
      <w:pPr>
        <w:ind w:left="1420" w:right="100" w:hanging="863"/>
        <w:spacing w:after="0" w:line="235" w:lineRule="auto"/>
        <w:tabs>
          <w:tab w:leader="none" w:pos="1400" w:val="left"/>
        </w:tabs>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141">
        <w:r>
          <w:rPr>
            <w:rFonts w:ascii="Arial" w:cs="Arial" w:eastAsia="Arial" w:hAnsi="Arial"/>
            <w:sz w:val="18"/>
            <w:szCs w:val="18"/>
            <w:u w:val="single" w:color="auto"/>
            <w:color w:val="0000FF"/>
          </w:rPr>
          <w:t>Amendment to Amended and Restated Limited Partnership Agreement for the Operating Partnership dated June 27, 1997 (incorporated</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by reference as an exhibit to the Company's Current Report on Form 8-K, event date June 20, 1997).</w:t>
        </w:r>
      </w:hyperlink>
    </w:p>
    <w:p>
      <w:pPr>
        <w:spacing w:after="0" w:line="256" w:lineRule="exact"/>
        <w:rPr>
          <w:rFonts w:ascii="Arial" w:cs="Arial" w:eastAsia="Arial" w:hAnsi="Arial"/>
          <w:sz w:val="18"/>
          <w:szCs w:val="18"/>
          <w:u w:val="single" w:color="auto"/>
          <w:color w:val="0000FF"/>
        </w:rPr>
      </w:pPr>
    </w:p>
    <w:p>
      <w:pPr>
        <w:ind w:left="1420" w:right="680" w:hanging="863"/>
        <w:spacing w:after="0" w:line="235" w:lineRule="auto"/>
        <w:tabs>
          <w:tab w:leader="none" w:pos="1400" w:val="left"/>
        </w:tabs>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142">
        <w:r>
          <w:rPr>
            <w:rFonts w:ascii="Arial" w:cs="Arial" w:eastAsia="Arial" w:hAnsi="Arial"/>
            <w:sz w:val="18"/>
            <w:szCs w:val="18"/>
            <w:u w:val="single" w:color="auto"/>
            <w:color w:val="0000FF"/>
          </w:rPr>
          <w:t>Amendment to Amended and Restated Limited Partnership Agreement for the Operating Partnership dated November 16, 1997</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(incorporated by reference as an exhibit to the Company's 1997 Form 10-K).</w:t>
        </w:r>
      </w:hyperlink>
    </w:p>
    <w:p>
      <w:pPr>
        <w:spacing w:after="0" w:line="256" w:lineRule="exact"/>
        <w:rPr>
          <w:rFonts w:ascii="Arial" w:cs="Arial" w:eastAsia="Arial" w:hAnsi="Arial"/>
          <w:sz w:val="18"/>
          <w:szCs w:val="18"/>
          <w:u w:val="single" w:color="auto"/>
          <w:color w:val="0000FF"/>
        </w:rPr>
      </w:pPr>
    </w:p>
    <w:p>
      <w:pPr>
        <w:ind w:left="1420" w:right="260" w:hanging="863"/>
        <w:spacing w:after="0" w:line="235" w:lineRule="auto"/>
        <w:tabs>
          <w:tab w:leader="none" w:pos="1400" w:val="left"/>
        </w:tabs>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142">
        <w:r>
          <w:rPr>
            <w:rFonts w:ascii="Arial" w:cs="Arial" w:eastAsia="Arial" w:hAnsi="Arial"/>
            <w:sz w:val="18"/>
            <w:szCs w:val="18"/>
            <w:u w:val="single" w:color="auto"/>
            <w:color w:val="0000FF"/>
          </w:rPr>
          <w:t>Fourth Amendment to Amended and Restated Limited Partnership Agreement for the Operating Partnership dated February 25, 1998</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(incorporated by reference as an exhibit to the Company's 1997 Form 10-K).</w:t>
        </w:r>
      </w:hyperlink>
    </w:p>
    <w:p>
      <w:pPr>
        <w:spacing w:after="0" w:line="256" w:lineRule="exact"/>
        <w:rPr>
          <w:rFonts w:ascii="Arial" w:cs="Arial" w:eastAsia="Arial" w:hAnsi="Arial"/>
          <w:sz w:val="18"/>
          <w:szCs w:val="18"/>
          <w:u w:val="single" w:color="auto"/>
          <w:color w:val="0000FF"/>
        </w:rPr>
      </w:pPr>
    </w:p>
    <w:p>
      <w:pPr>
        <w:ind w:left="1420" w:right="400" w:hanging="863"/>
        <w:spacing w:after="0" w:line="235" w:lineRule="auto"/>
        <w:tabs>
          <w:tab w:leader="none" w:pos="1400" w:val="left"/>
        </w:tabs>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142">
        <w:r>
          <w:rPr>
            <w:rFonts w:ascii="Arial" w:cs="Arial" w:eastAsia="Arial" w:hAnsi="Arial"/>
            <w:sz w:val="18"/>
            <w:szCs w:val="18"/>
            <w:u w:val="single" w:color="auto"/>
            <w:color w:val="0000FF"/>
          </w:rPr>
          <w:t>Fifth Amendment to Amended and Restated Limited Partnership Agreement for the Operating Partnership dated February 26, 1998</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(incorporated by reference as an exhibit to the Company's 1997 Form 10-K).</w:t>
        </w:r>
      </w:hyperlink>
    </w:p>
    <w:p>
      <w:pPr>
        <w:spacing w:after="0" w:line="256" w:lineRule="exact"/>
        <w:rPr>
          <w:rFonts w:ascii="Arial" w:cs="Arial" w:eastAsia="Arial" w:hAnsi="Arial"/>
          <w:sz w:val="18"/>
          <w:szCs w:val="18"/>
          <w:u w:val="single" w:color="auto"/>
          <w:color w:val="0000FF"/>
        </w:rPr>
      </w:pPr>
    </w:p>
    <w:p>
      <w:pPr>
        <w:ind w:left="1420" w:right="680" w:hanging="863"/>
        <w:spacing w:after="0" w:line="235" w:lineRule="auto"/>
        <w:tabs>
          <w:tab w:leader="none" w:pos="140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Sixth Amendment to Amended and Restated Limited Partnership Agreement for the Operating Partnership dated June 17, 1998</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(incorporated by reference as an exhibit to the Company's 1998 Form 10-K).</w:t>
        </w:r>
      </w:hyperlink>
    </w:p>
    <w:p>
      <w:pPr>
        <w:spacing w:after="0" w:line="256" w:lineRule="exact"/>
        <w:rPr>
          <w:rFonts w:ascii="Arial" w:cs="Arial" w:eastAsia="Arial" w:hAnsi="Arial"/>
          <w:sz w:val="18"/>
          <w:szCs w:val="18"/>
          <w:u w:val="single" w:color="auto"/>
          <w:color w:val="0000FF"/>
        </w:rPr>
      </w:pPr>
    </w:p>
    <w:p>
      <w:pPr>
        <w:ind w:left="1420" w:right="80" w:hanging="863"/>
        <w:spacing w:after="0" w:line="235" w:lineRule="auto"/>
        <w:tabs>
          <w:tab w:leader="none" w:pos="140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Seventh Amendment to Amended and Restated Limited Partnership Agreement for the Operating Partnership dated December 23, 1998</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(incorporated by reference as an exhibit to the Company's 1998 Form 10-K).</w:t>
        </w:r>
      </w:hyperlink>
    </w:p>
    <w:p>
      <w:pPr>
        <w:spacing w:after="0" w:line="256" w:lineRule="exact"/>
        <w:rPr>
          <w:rFonts w:ascii="Arial" w:cs="Arial" w:eastAsia="Arial" w:hAnsi="Arial"/>
          <w:sz w:val="18"/>
          <w:szCs w:val="18"/>
          <w:u w:val="single" w:color="auto"/>
          <w:color w:val="0000FF"/>
        </w:rPr>
      </w:pPr>
    </w:p>
    <w:p>
      <w:pPr>
        <w:ind w:left="1420" w:right="240" w:hanging="863"/>
        <w:spacing w:after="0" w:line="235" w:lineRule="auto"/>
        <w:tabs>
          <w:tab w:leader="none" w:pos="1400" w:val="left"/>
        </w:tabs>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143">
        <w:r>
          <w:rPr>
            <w:rFonts w:ascii="Arial" w:cs="Arial" w:eastAsia="Arial" w:hAnsi="Arial"/>
            <w:sz w:val="18"/>
            <w:szCs w:val="18"/>
            <w:u w:val="single" w:color="auto"/>
            <w:color w:val="0000FF"/>
          </w:rPr>
          <w:t>Eighth Amendment to Amended and Restated Limited Partnership Agreement for the Operating Partnership dated November 9, 2000</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(incorporated by reference as an exhibit to the Company's 2000 Form 10-K).</w:t>
        </w:r>
      </w:hyperlink>
    </w:p>
    <w:p>
      <w:pPr>
        <w:spacing w:after="0" w:line="256" w:lineRule="exact"/>
        <w:rPr>
          <w:rFonts w:ascii="Arial" w:cs="Arial" w:eastAsia="Arial" w:hAnsi="Arial"/>
          <w:sz w:val="18"/>
          <w:szCs w:val="18"/>
          <w:u w:val="single" w:color="auto"/>
          <w:color w:val="0000FF"/>
        </w:rPr>
      </w:pPr>
    </w:p>
    <w:p>
      <w:pPr>
        <w:ind w:left="1420" w:right="680" w:hanging="863"/>
        <w:spacing w:after="0" w:line="258" w:lineRule="auto"/>
        <w:tabs>
          <w:tab w:leader="none" w:pos="1400" w:val="left"/>
        </w:tabs>
        <w:rPr>
          <w:rFonts w:ascii="Arial" w:cs="Arial" w:eastAsia="Arial" w:hAnsi="Arial"/>
          <w:sz w:val="17"/>
          <w:szCs w:val="17"/>
          <w:u w:val="single" w:color="auto"/>
          <w:color w:val="0000FF"/>
        </w:rPr>
      </w:pPr>
      <w:hyperlink r:id="rId144">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44">
        <w:r>
          <w:rPr>
            <w:rFonts w:ascii="Arial" w:cs="Arial" w:eastAsia="Arial" w:hAnsi="Arial"/>
            <w:sz w:val="17"/>
            <w:szCs w:val="17"/>
            <w:u w:val="single" w:color="auto"/>
            <w:color w:val="0000FF"/>
          </w:rPr>
          <w:t>Ninth Amendment to Amended and Restated Limited Partnership Agreement for the Operating Partnership dated July 26, 2002</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(incorporated by reference as an exhibit to the Company's Current Report on Form 8-K event date July 26, 2002).</w:t>
        </w:r>
      </w:hyperlink>
    </w:p>
    <w:p>
      <w:pPr>
        <w:spacing w:after="0" w:line="241" w:lineRule="exact"/>
        <w:rPr>
          <w:rFonts w:ascii="Arial" w:cs="Arial" w:eastAsia="Arial" w:hAnsi="Arial"/>
          <w:sz w:val="18"/>
          <w:szCs w:val="18"/>
          <w:u w:val="single" w:color="auto"/>
          <w:color w:val="0000FF"/>
        </w:rPr>
      </w:pPr>
    </w:p>
    <w:p>
      <w:pPr>
        <w:ind w:left="1420" w:right="400" w:hanging="863"/>
        <w:spacing w:after="0" w:line="235" w:lineRule="auto"/>
        <w:tabs>
          <w:tab w:leader="none" w:pos="1400" w:val="left"/>
        </w:tabs>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145">
        <w:r>
          <w:rPr>
            <w:rFonts w:ascii="Arial" w:cs="Arial" w:eastAsia="Arial" w:hAnsi="Arial"/>
            <w:sz w:val="18"/>
            <w:szCs w:val="18"/>
            <w:u w:val="single" w:color="auto"/>
            <w:color w:val="0000FF"/>
          </w:rPr>
          <w:t>Tenth Amendment to Amended and Restated Limited Partnership Agreement for the Operating Partnership dated October 26, 2006</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(incorporated by reference as an exhibit to the Company's 2006 Form 10-K).</w:t>
        </w:r>
      </w:hyperlink>
    </w:p>
    <w:p>
      <w:pPr>
        <w:spacing w:after="0" w:line="241" w:lineRule="exact"/>
        <w:rPr>
          <w:rFonts w:ascii="Arial" w:cs="Arial" w:eastAsia="Arial" w:hAnsi="Arial"/>
          <w:sz w:val="18"/>
          <w:szCs w:val="18"/>
          <w:u w:val="single" w:color="auto"/>
          <w:color w:val="0000FF"/>
        </w:rPr>
      </w:pPr>
    </w:p>
    <w:p>
      <w:pPr>
        <w:ind w:left="480"/>
        <w:spacing w:after="0"/>
        <w:tabs>
          <w:tab w:leader="none" w:pos="1400" w:val="left"/>
        </w:tabs>
        <w:rPr>
          <w:rFonts w:ascii="Arial" w:cs="Arial" w:eastAsia="Arial" w:hAnsi="Arial"/>
          <w:sz w:val="16"/>
          <w:szCs w:val="16"/>
          <w:u w:val="single" w:color="auto"/>
          <w:color w:val="0000FF"/>
        </w:rPr>
      </w:pPr>
      <w:hyperlink r:id="rId146">
        <w:r>
          <w:rPr>
            <w:rFonts w:ascii="Arial" w:cs="Arial" w:eastAsia="Arial" w:hAnsi="Arial"/>
            <w:sz w:val="18"/>
            <w:szCs w:val="18"/>
            <w:u w:val="single" w:color="auto"/>
            <w:color w:val="0000FF"/>
          </w:rPr>
          <w:t>10.1.10</w:t>
        </w:r>
      </w:hyperlink>
      <w:r>
        <w:rPr>
          <w:rFonts w:ascii="Arial" w:cs="Arial" w:eastAsia="Arial" w:hAnsi="Arial"/>
          <w:sz w:val="18"/>
          <w:szCs w:val="18"/>
          <w:u w:val="single" w:color="auto"/>
          <w:color w:val="0000FF"/>
        </w:rPr>
        <w:tab/>
      </w:r>
      <w:hyperlink r:id="rId146">
        <w:r>
          <w:rPr>
            <w:rFonts w:ascii="Arial" w:cs="Arial" w:eastAsia="Arial" w:hAnsi="Arial"/>
            <w:sz w:val="16"/>
            <w:szCs w:val="16"/>
            <w:u w:val="single" w:color="auto"/>
            <w:color w:val="0000FF"/>
          </w:rPr>
          <w:t>Eleventh Amendment to Amended and Restated Limited Partnership Agreement for the Operating Partnership dated as of March 16,</w:t>
        </w:r>
      </w:hyperlink>
    </w:p>
    <w:p>
      <w:pPr>
        <w:ind w:left="1420"/>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2007 (incorporated by reference as an exhibit to the Company's Current Report on Form 8-K, event date March 16, 2007).</w:t>
        </w:r>
      </w:hyperlink>
    </w:p>
    <w:p>
      <w:pPr>
        <w:spacing w:after="0" w:line="248" w:lineRule="exact"/>
        <w:rPr>
          <w:sz w:val="20"/>
          <w:szCs w:val="20"/>
          <w:color w:val="auto"/>
        </w:rPr>
      </w:pPr>
    </w:p>
    <w:p>
      <w:pPr>
        <w:jc w:val="right"/>
        <w:ind w:right="260"/>
        <w:spacing w:after="0"/>
        <w:tabs>
          <w:tab w:leader="none" w:pos="9840" w:val="left"/>
        </w:tabs>
        <w:rPr>
          <w:rFonts w:ascii="Arial" w:cs="Arial" w:eastAsia="Arial" w:hAnsi="Arial"/>
          <w:sz w:val="16"/>
          <w:szCs w:val="16"/>
          <w:u w:val="single" w:color="auto"/>
          <w:color w:val="0000FF"/>
        </w:rPr>
      </w:pPr>
      <w:hyperlink r:id="rId147">
        <w:r>
          <w:rPr>
            <w:rFonts w:ascii="Arial" w:cs="Arial" w:eastAsia="Arial" w:hAnsi="Arial"/>
            <w:sz w:val="18"/>
            <w:szCs w:val="18"/>
            <w:u w:val="single" w:color="auto"/>
            <w:color w:val="0000FF"/>
          </w:rPr>
          <w:t>10.1.11</w:t>
        </w:r>
      </w:hyperlink>
      <w:r>
        <w:rPr>
          <w:rFonts w:ascii="Arial" w:cs="Arial" w:eastAsia="Arial" w:hAnsi="Arial"/>
          <w:sz w:val="18"/>
          <w:szCs w:val="18"/>
          <w:u w:val="single" w:color="auto"/>
          <w:color w:val="0000FF"/>
        </w:rPr>
        <w:tab/>
      </w:r>
      <w:hyperlink r:id="rId147">
        <w:r>
          <w:rPr>
            <w:rFonts w:ascii="Arial" w:cs="Arial" w:eastAsia="Arial" w:hAnsi="Arial"/>
            <w:sz w:val="16"/>
            <w:szCs w:val="16"/>
            <w:u w:val="single" w:color="auto"/>
            <w:color w:val="0000FF"/>
          </w:rPr>
          <w:t>Twelfth Amendment to the Amended and Restated Limited Partnership Agreement of the Operating Partnership dated as of April 30,</w:t>
        </w:r>
      </w:hyperlink>
    </w:p>
    <w:p>
      <w:pPr>
        <w:jc w:val="right"/>
        <w:ind w:right="240"/>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2009 (incorporated by reference as an exhibit to the Company's Quarterly Report on Form 10-Q for the quarter ended June 30, 2009).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60" w:top="941" w:right="35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604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ind w:left="48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10.1.12</w:t>
        </w:r>
      </w:hyperlink>
    </w:p>
    <w:p>
      <w:pPr>
        <w:spacing w:after="0" w:line="200" w:lineRule="exact"/>
        <w:rPr>
          <w:sz w:val="20"/>
          <w:szCs w:val="20"/>
          <w:color w:val="auto"/>
        </w:rPr>
      </w:pPr>
    </w:p>
    <w:p>
      <w:pPr>
        <w:spacing w:after="0" w:line="255" w:lineRule="exact"/>
        <w:rPr>
          <w:sz w:val="20"/>
          <w:szCs w:val="20"/>
          <w:color w:val="auto"/>
        </w:rPr>
      </w:pPr>
    </w:p>
    <w:p>
      <w:pPr>
        <w:ind w:left="48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10.1.13</w:t>
        </w:r>
      </w:hyperlink>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2">
        <w:r>
          <w:rPr>
            <w:rFonts w:ascii="Arial" w:cs="Arial" w:eastAsia="Arial" w:hAnsi="Arial"/>
            <w:sz w:val="18"/>
            <w:szCs w:val="18"/>
            <w:u w:val="single" w:color="auto"/>
            <w:color w:val="0000FF"/>
          </w:rPr>
          <w:t>10.2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3">
        <w:r>
          <w:rPr>
            <w:rFonts w:ascii="Arial" w:cs="Arial" w:eastAsia="Arial" w:hAnsi="Arial"/>
            <w:sz w:val="18"/>
            <w:szCs w:val="18"/>
            <w:u w:val="single" w:color="auto"/>
            <w:color w:val="0000FF"/>
          </w:rPr>
          <w:t>10.2.1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4">
        <w:r>
          <w:rPr>
            <w:rFonts w:ascii="Arial" w:cs="Arial" w:eastAsia="Arial" w:hAnsi="Arial"/>
            <w:sz w:val="18"/>
            <w:szCs w:val="18"/>
            <w:u w:val="single" w:color="auto"/>
            <w:color w:val="0000FF"/>
          </w:rPr>
          <w:t>10.2.2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5">
        <w:r>
          <w:rPr>
            <w:rFonts w:ascii="Arial" w:cs="Arial" w:eastAsia="Arial" w:hAnsi="Arial"/>
            <w:sz w:val="18"/>
            <w:szCs w:val="18"/>
            <w:u w:val="single" w:color="auto"/>
            <w:color w:val="0000FF"/>
          </w:rPr>
          <w:t>10.2.3</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6">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7">
        <w:r>
          <w:rPr>
            <w:rFonts w:ascii="Arial" w:cs="Arial" w:eastAsia="Arial" w:hAnsi="Arial"/>
            <w:sz w:val="18"/>
            <w:szCs w:val="18"/>
            <w:u w:val="single" w:color="auto"/>
            <w:color w:val="0000FF"/>
          </w:rPr>
          <w:t>10.3.1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8">
        <w:r>
          <w:rPr>
            <w:rFonts w:ascii="Arial" w:cs="Arial" w:eastAsia="Arial" w:hAnsi="Arial"/>
            <w:sz w:val="18"/>
            <w:szCs w:val="18"/>
            <w:u w:val="single" w:color="auto"/>
            <w:color w:val="0000FF"/>
          </w:rPr>
          <w:t>10.3.2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59">
        <w:r>
          <w:rPr>
            <w:rFonts w:ascii="Arial" w:cs="Arial" w:eastAsia="Arial" w:hAnsi="Arial"/>
            <w:sz w:val="18"/>
            <w:szCs w:val="18"/>
            <w:u w:val="single" w:color="auto"/>
            <w:color w:val="0000FF"/>
          </w:rPr>
          <w:t>10.3.3</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60">
        <w:r>
          <w:rPr>
            <w:rFonts w:ascii="Arial" w:cs="Arial" w:eastAsia="Arial" w:hAnsi="Arial"/>
            <w:sz w:val="18"/>
            <w:szCs w:val="18"/>
            <w:u w:val="single" w:color="auto"/>
            <w:color w:val="0000FF"/>
          </w:rPr>
          <w:t>10.4</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61">
        <w:r>
          <w:rPr>
            <w:rFonts w:ascii="Arial" w:cs="Arial" w:eastAsia="Arial" w:hAnsi="Arial"/>
            <w:sz w:val="18"/>
            <w:szCs w:val="18"/>
            <w:u w:val="single" w:color="auto"/>
            <w:color w:val="0000FF"/>
          </w:rPr>
          <w:t>10.5</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3290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0" w:lineRule="exact"/>
        <w:rPr>
          <w:sz w:val="20"/>
          <w:szCs w:val="20"/>
          <w:color w:val="auto"/>
        </w:rPr>
      </w:pPr>
    </w:p>
    <w:p>
      <w:pPr>
        <w:ind w:right="820"/>
        <w:spacing w:after="0" w:line="258" w:lineRule="auto"/>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Thirteenth Amendment to the Amended and Restated Limited Partnership Agreement of the Operating Partnership dated as of</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October 29, 2009 (incorporated by reference as an exhibit to the Company's 2009 Form 10-K).</w:t>
        </w:r>
      </w:hyperlink>
    </w:p>
    <w:p>
      <w:pPr>
        <w:spacing w:after="0" w:line="241"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Form of Fourteenth Amendment to Amended and Restated Limited Partnership Agreement for the Operating Partnership (incorporated</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by reference as an exhibit to the Company's Current Report on Form 8-K, event date April 25, 2005).</w:t>
        </w:r>
      </w:hyperlink>
    </w:p>
    <w:p>
      <w:pPr>
        <w:spacing w:after="0" w:line="256" w:lineRule="exact"/>
        <w:rPr>
          <w:sz w:val="20"/>
          <w:szCs w:val="20"/>
          <w:color w:val="auto"/>
        </w:rPr>
      </w:pPr>
    </w:p>
    <w:p>
      <w:pPr>
        <w:ind w:right="300"/>
        <w:spacing w:after="0" w:line="235" w:lineRule="auto"/>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Amended and Restated Deferred Compensation Plan for Executives (2003) (incorporated by reference as an exhibit to the Company's</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2003 Form 10-K).</w:t>
        </w:r>
      </w:hyperlink>
    </w:p>
    <w:p>
      <w:pPr>
        <w:spacing w:after="0" w:line="256" w:lineRule="exact"/>
        <w:rPr>
          <w:sz w:val="20"/>
          <w:szCs w:val="20"/>
          <w:color w:val="auto"/>
        </w:rPr>
      </w:pPr>
    </w:p>
    <w:p>
      <w:pPr>
        <w:ind w:right="480"/>
        <w:spacing w:after="0" w:line="235" w:lineRule="auto"/>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Amendment Number 1 to Amended and Restated Deferred Compensation Plan for Executives (October 30, 2008) (incorporated by</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reference as an exhibit to the Company's 2008 Form 10-K).</w:t>
        </w:r>
      </w:hyperlink>
    </w:p>
    <w:p>
      <w:pPr>
        <w:spacing w:after="0" w:line="256"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Amendment Number 2 to Amended and Restated Deferred Compensation Plan for Executives (May 1, 2011) (incorporated by reference</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as an exhibit to the Company's Quarterly Report on Form 10-Q for the quarter ended June 30, 2011).</w:t>
        </w:r>
      </w:hyperlink>
    </w:p>
    <w:p>
      <w:pPr>
        <w:spacing w:after="0" w:line="256" w:lineRule="exact"/>
        <w:rPr>
          <w:sz w:val="20"/>
          <w:szCs w:val="20"/>
          <w:color w:val="auto"/>
        </w:rPr>
      </w:pPr>
    </w:p>
    <w:p>
      <w:pPr>
        <w:ind w:right="280"/>
        <w:spacing w:after="0" w:line="289" w:lineRule="auto"/>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Amendment Number 3 to Amended and Restated Deferred Compensation Plan for Executives (September 27, 2012) (incorporated by</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reference as an exhibit to the Company's Quarterly Report on Form 10-Q for the quarter ended September 30, 2012).</w:t>
        </w:r>
      </w:hyperlink>
    </w:p>
    <w:p>
      <w:pPr>
        <w:spacing w:after="0" w:line="219" w:lineRule="exact"/>
        <w:rPr>
          <w:sz w:val="20"/>
          <w:szCs w:val="20"/>
          <w:color w:val="auto"/>
        </w:rPr>
      </w:pPr>
    </w:p>
    <w:p>
      <w:pPr>
        <w:ind w:right="620"/>
        <w:spacing w:after="0" w:line="235" w:lineRule="auto"/>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Amended and Restated Deferred Compensation Plan for Senior Executives (2003) (incorporated by reference as an exhibit to the</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Company's 2003 Form 10-K).</w:t>
        </w:r>
      </w:hyperlink>
    </w:p>
    <w:p>
      <w:pPr>
        <w:spacing w:after="0" w:line="256"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Amendment Number 1 to Amended and Restated Deferred Compensation Plan for Senior Executives (October 30, 2008) (incorporated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by reference as an exhibit to the Company's 2008 Form 10-K).</w:t>
        </w:r>
      </w:hyperlink>
    </w:p>
    <w:p>
      <w:pPr>
        <w:spacing w:after="0" w:line="256" w:lineRule="exact"/>
        <w:rPr>
          <w:sz w:val="20"/>
          <w:szCs w:val="20"/>
          <w:color w:val="auto"/>
        </w:rPr>
      </w:pPr>
    </w:p>
    <w:p>
      <w:pPr>
        <w:ind w:right="300"/>
        <w:spacing w:after="0" w:line="289"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Amendment Number 2 to Amended and Restated Deferred Compensation Plan for Senior Executives (May 1, 2011) (incorporated by</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reference as an exhibit to the Company's Quarterly Report on Form 10-Q for the quarter ended June 30, 2011).</w:t>
        </w:r>
      </w:hyperlink>
    </w:p>
    <w:p>
      <w:pPr>
        <w:spacing w:after="0" w:line="219" w:lineRule="exact"/>
        <w:rPr>
          <w:sz w:val="20"/>
          <w:szCs w:val="20"/>
          <w:color w:val="auto"/>
        </w:rPr>
      </w:pPr>
    </w:p>
    <w:p>
      <w:pPr>
        <w:spacing w:after="0" w:line="289" w:lineRule="auto"/>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Amendment Number 3 to Amended and Restated Deferred Compensation Plan for Senior Executives (September 27, 2012) (incorporated</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by reference as an exhibit to the Company's Quarterly Report on Form 10-Q for the quarter ended September 30, 2012).</w:t>
        </w:r>
      </w:hyperlink>
    </w:p>
    <w:p>
      <w:pPr>
        <w:spacing w:after="0" w:line="219" w:lineRule="exact"/>
        <w:rPr>
          <w:sz w:val="20"/>
          <w:szCs w:val="20"/>
          <w:color w:val="auto"/>
        </w:rPr>
      </w:pPr>
    </w:p>
    <w:p>
      <w:pPr>
        <w:ind w:right="580"/>
        <w:spacing w:after="0" w:line="289" w:lineRule="auto"/>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Eligible Directors' Deferred Compensation/Phantom Stock Plan (as amended and restated as of January 1, 2013) (incorporated by</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reference as an exhibit to the Company's Quarterly Report on Form 10-Q for the quarter ended June 30, 2013).</w:t>
        </w:r>
      </w:hyperlink>
    </w:p>
    <w:p>
      <w:pPr>
        <w:spacing w:after="0" w:line="219"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Amended and Restated 2013 Deferred Compensation Plan for Executives effective (January 1, 2016) (incorporated by reference as an</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exhibit to the Company's 2015 Form 10-K).</w:t>
        </w:r>
      </w:hyperlink>
    </w:p>
    <w:p>
      <w:pPr>
        <w:spacing w:after="0" w:line="200" w:lineRule="exact"/>
        <w:rPr>
          <w:sz w:val="20"/>
          <w:szCs w:val="20"/>
          <w:color w:val="auto"/>
        </w:rPr>
      </w:pPr>
    </w:p>
    <w:p>
      <w:pPr>
        <w:sectPr>
          <w:pgSz w:w="11900" w:h="16838" w:orient="portrait"/>
          <w:cols w:equalWidth="0" w:num="2">
            <w:col w:w="1140" w:space="280"/>
            <w:col w:w="9920"/>
          </w:cols>
          <w:pgMar w:left="260" w:top="941" w:right="299" w:bottom="1440" w:gutter="0" w:footer="0" w:header="0"/>
        </w:sectPr>
      </w:pPr>
    </w:p>
    <w:p>
      <w:pPr>
        <w:spacing w:after="0" w:line="56" w:lineRule="exact"/>
        <w:rPr>
          <w:sz w:val="20"/>
          <w:szCs w:val="20"/>
          <w:color w:val="auto"/>
        </w:rPr>
      </w:pPr>
    </w:p>
    <w:p>
      <w:pPr>
        <w:ind w:left="1420" w:right="80" w:hanging="728"/>
        <w:spacing w:after="0" w:line="224" w:lineRule="auto"/>
        <w:tabs>
          <w:tab w:leader="none" w:pos="1400" w:val="left"/>
        </w:tabs>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163">
        <w:r>
          <w:rPr>
            <w:rFonts w:ascii="Arial" w:cs="Arial" w:eastAsia="Arial" w:hAnsi="Arial"/>
            <w:sz w:val="18"/>
            <w:szCs w:val="18"/>
            <w:u w:val="single" w:color="auto"/>
            <w:color w:val="0000FF"/>
          </w:rPr>
          <w:t>Deferred Compensation Plan Amended and Restated Trust Agreement between the Company and Wells Fargo Bank, National</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Association, effective as of June 17, 2019 (incorporated by reference as an exhibit to the Company’s Quarterly Report on Form 10-Q for</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the quarter ended June 30, 2019).</w:t>
        </w:r>
      </w:hyperlink>
    </w:p>
    <w:p>
      <w:pPr>
        <w:spacing w:after="0" w:line="271" w:lineRule="exact"/>
        <w:rPr>
          <w:rFonts w:ascii="Arial" w:cs="Arial" w:eastAsia="Arial" w:hAnsi="Arial"/>
          <w:sz w:val="18"/>
          <w:szCs w:val="18"/>
          <w:u w:val="single" w:color="auto"/>
          <w:color w:val="0000FF"/>
        </w:rPr>
      </w:pPr>
    </w:p>
    <w:p>
      <w:pPr>
        <w:ind w:left="1420" w:right="60" w:hanging="728"/>
        <w:spacing w:after="0" w:line="264" w:lineRule="auto"/>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Registration Rights Agreement, dated as of March 16, 1994, among the Company and Mace Siegel, Dana K. Anderson, Arthur M. Coppola and Edward C. Coppola (incorporated by reference as an exhibit to the Company's 1994 Form 10-K) (Filed in paper - hyperlink is not required pursuant to Rule 105 of Regulation S-T).</w:t>
      </w:r>
    </w:p>
    <w:p>
      <w:pPr>
        <w:spacing w:after="0" w:line="276" w:lineRule="exact"/>
        <w:rPr>
          <w:rFonts w:ascii="Arial" w:cs="Arial" w:eastAsia="Arial" w:hAnsi="Arial"/>
          <w:sz w:val="18"/>
          <w:szCs w:val="18"/>
          <w:u w:val="single" w:color="auto"/>
          <w:color w:val="0000FF"/>
        </w:rPr>
      </w:pPr>
    </w:p>
    <w:p>
      <w:pPr>
        <w:jc w:val="both"/>
        <w:ind w:left="1420" w:right="600" w:hanging="728"/>
        <w:spacing w:after="0" w:line="264" w:lineRule="auto"/>
        <w:tabs>
          <w:tab w:leader="none" w:pos="1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Registration Rights Agreement, dated as of March 16, 1994, between the Company and The Northwestern Mutual Life Insurance Company (incorporated by reference as an exhibit to the Company’s 1994 Form 10-K) (Filed in paper - hyperlink is not required pursuant to Rule 105 of Regulation S-T).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60" w:top="941" w:right="299" w:bottom="1440" w:gutter="0" w:footer="0" w:header="0"/>
          <w:type w:val="continuous"/>
        </w:sectPr>
      </w:pPr>
    </w:p>
    <w:bookmarkStart w:id="109" w:name="page110"/>
    <w:bookmarkEnd w:id="109"/>
    <w:p>
      <w:pPr>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294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 w:lineRule="exact"/>
        <w:rPr>
          <w:sz w:val="20"/>
          <w:szCs w:val="20"/>
          <w:color w:val="auto"/>
        </w:rPr>
      </w:pPr>
    </w:p>
    <w:p>
      <w:pPr>
        <w:ind w:left="1420" w:right="180" w:hanging="728"/>
        <w:spacing w:after="0" w:line="224" w:lineRule="auto"/>
        <w:tabs>
          <w:tab w:leader="none" w:pos="1400" w:val="left"/>
        </w:tabs>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166">
        <w:r>
          <w:rPr>
            <w:rFonts w:ascii="Arial" w:cs="Arial" w:eastAsia="Arial" w:hAnsi="Arial"/>
            <w:sz w:val="18"/>
            <w:szCs w:val="18"/>
            <w:u w:val="single" w:color="auto"/>
            <w:color w:val="0000FF"/>
          </w:rPr>
          <w:t>Registration Rights Agreement dated as of December 18, 2003 by the Operating Partnership, the Company and Taubman Realty Group</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Limited Partnership (Registration rights assigned by Taubman to three assignees) (incorporated by reference as an exhibit to the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Company's 2003 Form 10-K).</w:t>
        </w:r>
      </w:hyperlink>
    </w:p>
    <w:p>
      <w:pPr>
        <w:spacing w:after="0" w:line="271" w:lineRule="exact"/>
        <w:rPr>
          <w:rFonts w:ascii="Arial" w:cs="Arial" w:eastAsia="Arial" w:hAnsi="Arial"/>
          <w:sz w:val="18"/>
          <w:szCs w:val="18"/>
          <w:u w:val="single" w:color="auto"/>
          <w:color w:val="0000FF"/>
        </w:rPr>
      </w:pPr>
    </w:p>
    <w:p>
      <w:pPr>
        <w:ind w:left="1420" w:right="680" w:hanging="818"/>
        <w:spacing w:after="0" w:line="277" w:lineRule="auto"/>
        <w:tabs>
          <w:tab w:leader="none" w:pos="14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Incidental Registration Rights Agreement dated March 16, 1994 (incorporated by reference as an exhibit to the Company's 1994 Form 10-K) (Filed in paper - hyperlink is not required pursuant to Rule 105 of Regulation S-T).</w:t>
      </w:r>
    </w:p>
    <w:p>
      <w:pPr>
        <w:spacing w:after="0" w:line="251" w:lineRule="exact"/>
        <w:rPr>
          <w:rFonts w:ascii="Arial" w:cs="Arial" w:eastAsia="Arial" w:hAnsi="Arial"/>
          <w:sz w:val="18"/>
          <w:szCs w:val="18"/>
          <w:u w:val="single" w:color="auto"/>
          <w:color w:val="0000FF"/>
        </w:rPr>
      </w:pPr>
    </w:p>
    <w:p>
      <w:pPr>
        <w:ind w:left="1420" w:right="460" w:hanging="811"/>
        <w:spacing w:after="0" w:line="235" w:lineRule="auto"/>
        <w:tabs>
          <w:tab w:leader="none" w:pos="1400" w:val="left"/>
        </w:tabs>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142">
        <w:r>
          <w:rPr>
            <w:rFonts w:ascii="Arial" w:cs="Arial" w:eastAsia="Arial" w:hAnsi="Arial"/>
            <w:sz w:val="18"/>
            <w:szCs w:val="18"/>
            <w:u w:val="single" w:color="auto"/>
            <w:color w:val="0000FF"/>
          </w:rPr>
          <w:t>Incidental Registration Rights Agreement dated as of July 21, 1994 (incorporated by reference as an exhibit to the Company's 1997</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Form 10-K).</w:t>
        </w:r>
      </w:hyperlink>
    </w:p>
    <w:p>
      <w:pPr>
        <w:spacing w:after="0" w:line="256" w:lineRule="exact"/>
        <w:rPr>
          <w:rFonts w:ascii="Arial" w:cs="Arial" w:eastAsia="Arial" w:hAnsi="Arial"/>
          <w:sz w:val="18"/>
          <w:szCs w:val="18"/>
          <w:u w:val="single" w:color="auto"/>
          <w:color w:val="0000FF"/>
        </w:rPr>
      </w:pPr>
    </w:p>
    <w:p>
      <w:pPr>
        <w:ind w:left="1420" w:right="240" w:hanging="818"/>
        <w:spacing w:after="0" w:line="235" w:lineRule="auto"/>
        <w:tabs>
          <w:tab w:leader="none" w:pos="1400" w:val="left"/>
        </w:tabs>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142">
        <w:r>
          <w:rPr>
            <w:rFonts w:ascii="Arial" w:cs="Arial" w:eastAsia="Arial" w:hAnsi="Arial"/>
            <w:sz w:val="18"/>
            <w:szCs w:val="18"/>
            <w:u w:val="single" w:color="auto"/>
            <w:color w:val="0000FF"/>
          </w:rPr>
          <w:t>Incidental Registration Rights Agreement dated as of August 15, 1995 (incorporated by reference as an exhibit to the Company's 1997</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Form 10-K).</w:t>
        </w:r>
      </w:hyperlink>
    </w:p>
    <w:p>
      <w:pPr>
        <w:spacing w:after="0" w:line="256" w:lineRule="exact"/>
        <w:rPr>
          <w:rFonts w:ascii="Arial" w:cs="Arial" w:eastAsia="Arial" w:hAnsi="Arial"/>
          <w:sz w:val="18"/>
          <w:szCs w:val="18"/>
          <w:u w:val="single" w:color="auto"/>
          <w:color w:val="0000FF"/>
        </w:rPr>
      </w:pPr>
    </w:p>
    <w:p>
      <w:pPr>
        <w:ind w:left="1420" w:right="20" w:hanging="818"/>
        <w:spacing w:after="0" w:line="235" w:lineRule="auto"/>
        <w:tabs>
          <w:tab w:leader="none" w:pos="1400" w:val="left"/>
        </w:tabs>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142">
        <w:r>
          <w:rPr>
            <w:rFonts w:ascii="Arial" w:cs="Arial" w:eastAsia="Arial" w:hAnsi="Arial"/>
            <w:sz w:val="18"/>
            <w:szCs w:val="18"/>
            <w:u w:val="single" w:color="auto"/>
            <w:color w:val="0000FF"/>
          </w:rPr>
          <w:t>Incidental Registration Rights Agreement dated as of December 21, 1995 (incorporated by reference as an exhibit to the Company's 1997</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Form 10-K).</w:t>
        </w:r>
      </w:hyperlink>
    </w:p>
    <w:p>
      <w:pPr>
        <w:spacing w:after="0" w:line="256" w:lineRule="exact"/>
        <w:rPr>
          <w:rFonts w:ascii="Arial" w:cs="Arial" w:eastAsia="Arial" w:hAnsi="Arial"/>
          <w:sz w:val="18"/>
          <w:szCs w:val="18"/>
          <w:u w:val="single" w:color="auto"/>
          <w:color w:val="0000FF"/>
        </w:rPr>
      </w:pPr>
    </w:p>
    <w:p>
      <w:pPr>
        <w:ind w:left="1420" w:right="420" w:hanging="818"/>
        <w:spacing w:after="0" w:line="235" w:lineRule="auto"/>
        <w:tabs>
          <w:tab w:leader="none" w:pos="1400" w:val="left"/>
        </w:tabs>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142">
        <w:r>
          <w:rPr>
            <w:rFonts w:ascii="Arial" w:cs="Arial" w:eastAsia="Arial" w:hAnsi="Arial"/>
            <w:sz w:val="18"/>
            <w:szCs w:val="18"/>
            <w:u w:val="single" w:color="auto"/>
            <w:color w:val="0000FF"/>
          </w:rPr>
          <w:t>List of Omitted Incidental/Demand Registration Rights Agreements (incorporated by reference as an exhibit to the Company's 1997</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Form 10-K).</w:t>
        </w:r>
      </w:hyperlink>
    </w:p>
    <w:p>
      <w:pPr>
        <w:spacing w:after="0" w:line="256" w:lineRule="exact"/>
        <w:rPr>
          <w:rFonts w:ascii="Arial" w:cs="Arial" w:eastAsia="Arial" w:hAnsi="Arial"/>
          <w:sz w:val="18"/>
          <w:szCs w:val="18"/>
          <w:u w:val="single" w:color="auto"/>
          <w:color w:val="0000FF"/>
        </w:rPr>
      </w:pPr>
    </w:p>
    <w:p>
      <w:pPr>
        <w:ind w:left="1420" w:hanging="818"/>
        <w:spacing w:after="0" w:line="235" w:lineRule="auto"/>
        <w:tabs>
          <w:tab w:leader="none" w:pos="140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Redemption, Registration Rights and Lock-Up Agreement dated as of July 24, 1998 between the Company and Harry S. Newman, Jr. and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LeRoy H. Brettin (incorporated by reference as an exhibit to the Company's 1998 Form 10-K).</w:t>
        </w:r>
      </w:hyperlink>
    </w:p>
    <w:p>
      <w:pPr>
        <w:spacing w:after="0" w:line="256" w:lineRule="exact"/>
        <w:rPr>
          <w:rFonts w:ascii="Arial" w:cs="Arial" w:eastAsia="Arial" w:hAnsi="Arial"/>
          <w:sz w:val="18"/>
          <w:szCs w:val="18"/>
          <w:u w:val="single" w:color="auto"/>
          <w:color w:val="0000FF"/>
        </w:rPr>
      </w:pPr>
    </w:p>
    <w:p>
      <w:pPr>
        <w:ind w:left="1420" w:right="440" w:hanging="818"/>
        <w:spacing w:after="0" w:line="235" w:lineRule="auto"/>
        <w:tabs>
          <w:tab w:leader="none" w:pos="1400" w:val="left"/>
        </w:tabs>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167">
        <w:r>
          <w:rPr>
            <w:rFonts w:ascii="Arial" w:cs="Arial" w:eastAsia="Arial" w:hAnsi="Arial"/>
            <w:sz w:val="18"/>
            <w:szCs w:val="18"/>
            <w:u w:val="single" w:color="auto"/>
            <w:color w:val="0000FF"/>
          </w:rPr>
          <w:t>Form of Indemnification Agreement between the Company and its executive officers and directors (incorporated by reference as an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exhibit to the Company's 2008 Form 10-K).</w:t>
        </w:r>
      </w:hyperlink>
    </w:p>
    <w:p>
      <w:pPr>
        <w:spacing w:after="0" w:line="256" w:lineRule="exact"/>
        <w:rPr>
          <w:rFonts w:ascii="Arial" w:cs="Arial" w:eastAsia="Arial" w:hAnsi="Arial"/>
          <w:sz w:val="18"/>
          <w:szCs w:val="18"/>
          <w:u w:val="single" w:color="auto"/>
          <w:color w:val="0000FF"/>
        </w:rPr>
      </w:pPr>
    </w:p>
    <w:p>
      <w:pPr>
        <w:ind w:left="1420" w:right="120" w:hanging="818"/>
        <w:spacing w:after="0" w:line="235" w:lineRule="auto"/>
        <w:tabs>
          <w:tab w:leader="none" w:pos="1400" w:val="left"/>
        </w:tabs>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168">
        <w:r>
          <w:rPr>
            <w:rFonts w:ascii="Arial" w:cs="Arial" w:eastAsia="Arial" w:hAnsi="Arial"/>
            <w:sz w:val="18"/>
            <w:szCs w:val="18"/>
            <w:u w:val="single" w:color="auto"/>
            <w:color w:val="0000FF"/>
          </w:rPr>
          <w:t>Form of Registration Rights Agreement with Series D Preferred Unit Holders (incorporated by reference as an exhibit to the Company's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Current Report on Form 8-K, event date July 26, 2002).</w:t>
        </w:r>
      </w:hyperlink>
    </w:p>
    <w:p>
      <w:pPr>
        <w:spacing w:after="0" w:line="256" w:lineRule="exact"/>
        <w:rPr>
          <w:rFonts w:ascii="Arial" w:cs="Arial" w:eastAsia="Arial" w:hAnsi="Arial"/>
          <w:sz w:val="18"/>
          <w:szCs w:val="18"/>
          <w:u w:val="single" w:color="auto"/>
          <w:color w:val="0000FF"/>
        </w:rPr>
      </w:pPr>
    </w:p>
    <w:p>
      <w:pPr>
        <w:ind w:left="1420" w:right="80" w:hanging="953"/>
        <w:spacing w:after="0" w:line="235" w:lineRule="auto"/>
        <w:tabs>
          <w:tab w:leader="none" w:pos="1400" w:val="left"/>
        </w:tabs>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10.17.1</w:t>
        </w:r>
      </w:hyperlink>
      <w:r>
        <w:rPr>
          <w:rFonts w:ascii="Arial" w:cs="Arial" w:eastAsia="Arial" w:hAnsi="Arial"/>
          <w:sz w:val="18"/>
          <w:szCs w:val="18"/>
          <w:u w:val="single" w:color="auto"/>
          <w:color w:val="0000FF"/>
        </w:rPr>
        <w:tab/>
      </w:r>
      <w:hyperlink r:id="rId169">
        <w:r>
          <w:rPr>
            <w:rFonts w:ascii="Arial" w:cs="Arial" w:eastAsia="Arial" w:hAnsi="Arial"/>
            <w:sz w:val="18"/>
            <w:szCs w:val="18"/>
            <w:u w:val="single" w:color="auto"/>
            <w:color w:val="0000FF"/>
          </w:rPr>
          <w:t>List of Omitted Registration Rights Agreements (incorporated by reference as an exhibit to the Company's Current Report on Form 8-K,</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event date July 26, 2002).</w:t>
        </w:r>
      </w:hyperlink>
    </w:p>
    <w:p>
      <w:pPr>
        <w:spacing w:after="0" w:line="256" w:lineRule="exact"/>
        <w:rPr>
          <w:rFonts w:ascii="Arial" w:cs="Arial" w:eastAsia="Arial" w:hAnsi="Arial"/>
          <w:sz w:val="18"/>
          <w:szCs w:val="18"/>
          <w:u w:val="single" w:color="auto"/>
          <w:color w:val="0000FF"/>
        </w:rPr>
      </w:pPr>
    </w:p>
    <w:p>
      <w:pPr>
        <w:ind w:left="1420" w:right="580" w:hanging="818"/>
        <w:spacing w:after="0" w:line="258" w:lineRule="auto"/>
        <w:tabs>
          <w:tab w:leader="none" w:pos="1400" w:val="left"/>
        </w:tabs>
        <w:rPr>
          <w:rFonts w:ascii="Arial" w:cs="Arial" w:eastAsia="Arial" w:hAnsi="Arial"/>
          <w:sz w:val="17"/>
          <w:szCs w:val="17"/>
          <w:u w:val="single" w:color="auto"/>
          <w:color w:val="0000FF"/>
        </w:rPr>
      </w:pPr>
      <w:hyperlink r:id="rId170">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70">
        <w:r>
          <w:rPr>
            <w:rFonts w:ascii="Arial" w:cs="Arial" w:eastAsia="Arial" w:hAnsi="Arial"/>
            <w:sz w:val="17"/>
            <w:szCs w:val="17"/>
            <w:u w:val="single" w:color="auto"/>
            <w:color w:val="0000FF"/>
          </w:rPr>
          <w:t>Registration Rights Agreement between the Company and 1700480 Ontario Inc. dated as of November 14, 2014 (incorporated by</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reference as an exhibit to the Company’s Current Report on Form 8-K, event date November 14, 2014).</w:t>
        </w:r>
      </w:hyperlink>
    </w:p>
    <w:p>
      <w:pPr>
        <w:spacing w:after="0" w:line="241" w:lineRule="exact"/>
        <w:rPr>
          <w:rFonts w:ascii="Arial" w:cs="Arial" w:eastAsia="Arial" w:hAnsi="Arial"/>
          <w:sz w:val="18"/>
          <w:szCs w:val="18"/>
          <w:u w:val="single" w:color="auto"/>
          <w:color w:val="0000FF"/>
        </w:rPr>
      </w:pPr>
    </w:p>
    <w:p>
      <w:pPr>
        <w:ind w:left="1420" w:hanging="818"/>
        <w:spacing w:after="0" w:line="241" w:lineRule="auto"/>
        <w:tabs>
          <w:tab w:leader="none" w:pos="1400" w:val="left"/>
        </w:tabs>
        <w:rPr>
          <w:rFonts w:ascii="Arial" w:cs="Arial" w:eastAsia="Arial" w:hAnsi="Arial"/>
          <w:sz w:val="16"/>
          <w:szCs w:val="16"/>
          <w:u w:val="single" w:color="auto"/>
          <w:color w:val="0000FF"/>
        </w:rPr>
      </w:pPr>
      <w:hyperlink r:id="rId171">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171">
        <w:r>
          <w:rPr>
            <w:rFonts w:ascii="Arial" w:cs="Arial" w:eastAsia="Arial" w:hAnsi="Arial"/>
            <w:sz w:val="16"/>
            <w:szCs w:val="16"/>
            <w:u w:val="single" w:color="auto"/>
            <w:color w:val="0000FF"/>
          </w:rPr>
          <w:t>Second Amended and Restated Credit Agreement, dated as of July 6, 2016, by and among the Company, The Macerich Partnership, L.P.,</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Deutsche Bank AG New York Branch, as administrative agent; Deutsche Bank Securities Inc., JPMorgan Chase Bank, N.A., Wells Fargo</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Securities, LLC, Goldman Sachs Bank USA and U.S.Bank National Association, as joint lead arrangers and joint bookrunning managers;</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JPMorgan Chase Bank, N.A., Wells Fargo Bank, National Association, Goldman Sachs Bank USA and U.S.Bank National Association,</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N.A. as co-syndication agents, PNC Bank, National Association, as documentation agent, and various lenders party thereto (incorporated</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by reference as an exhibit to the Company's Current Report on Form 8-K, event date July 6, 2016).</w:t>
        </w:r>
      </w:hyperlink>
    </w:p>
    <w:p>
      <w:pPr>
        <w:spacing w:after="0" w:line="256" w:lineRule="exact"/>
        <w:rPr>
          <w:rFonts w:ascii="Arial" w:cs="Arial" w:eastAsia="Arial" w:hAnsi="Arial"/>
          <w:sz w:val="16"/>
          <w:szCs w:val="16"/>
          <w:u w:val="single" w:color="auto"/>
          <w:color w:val="0000FF"/>
        </w:rPr>
      </w:pPr>
    </w:p>
    <w:p>
      <w:pPr>
        <w:ind w:left="1420" w:right="840" w:hanging="818"/>
        <w:spacing w:after="0" w:line="258" w:lineRule="auto"/>
        <w:tabs>
          <w:tab w:leader="none" w:pos="1400" w:val="left"/>
        </w:tabs>
        <w:rPr>
          <w:rFonts w:ascii="Arial" w:cs="Arial" w:eastAsia="Arial" w:hAnsi="Arial"/>
          <w:sz w:val="17"/>
          <w:szCs w:val="17"/>
          <w:u w:val="single" w:color="auto"/>
          <w:color w:val="0000FF"/>
        </w:rPr>
      </w:pPr>
      <w:hyperlink r:id="rId172">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172">
        <w:r>
          <w:rPr>
            <w:rFonts w:ascii="Arial" w:cs="Arial" w:eastAsia="Arial" w:hAnsi="Arial"/>
            <w:sz w:val="17"/>
            <w:szCs w:val="17"/>
            <w:u w:val="single" w:color="auto"/>
            <w:color w:val="0000FF"/>
          </w:rPr>
          <w:t>Guaranty, dated as of July 6, 2016, by the Company in favor of Deutsche Bank AG New York Branch, as administrative agent</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(incorporated by reference as an exhibit to the Company's Current Report on Form 8-K, event date July 6, 2016).</w:t>
        </w:r>
      </w:hyperlink>
    </w:p>
    <w:p>
      <w:pPr>
        <w:spacing w:after="0" w:line="241" w:lineRule="exact"/>
        <w:rPr>
          <w:rFonts w:ascii="Arial" w:cs="Arial" w:eastAsia="Arial" w:hAnsi="Arial"/>
          <w:sz w:val="18"/>
          <w:szCs w:val="18"/>
          <w:u w:val="single" w:color="auto"/>
          <w:color w:val="0000FF"/>
        </w:rPr>
      </w:pPr>
    </w:p>
    <w:p>
      <w:pPr>
        <w:ind w:left="1420" w:right="160" w:hanging="818"/>
        <w:spacing w:after="0" w:line="235" w:lineRule="auto"/>
        <w:tabs>
          <w:tab w:leader="none" w:pos="1400" w:val="left"/>
        </w:tabs>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173">
        <w:r>
          <w:rPr>
            <w:rFonts w:ascii="Arial" w:cs="Arial" w:eastAsia="Arial" w:hAnsi="Arial"/>
            <w:sz w:val="18"/>
            <w:szCs w:val="18"/>
            <w:u w:val="single" w:color="auto"/>
            <w:color w:val="0000FF"/>
          </w:rPr>
          <w:t>Tax Matters Agreement (Wilmorite) (incorporated by reference as an exhibit to the Company's Current Report on Form 8-K, event date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April 25, 2005).</w:t>
        </w:r>
      </w:hyperlink>
    </w:p>
    <w:p>
      <w:pPr>
        <w:spacing w:after="0" w:line="256" w:lineRule="exact"/>
        <w:rPr>
          <w:rFonts w:ascii="Arial" w:cs="Arial" w:eastAsia="Arial" w:hAnsi="Arial"/>
          <w:sz w:val="18"/>
          <w:szCs w:val="18"/>
          <w:u w:val="single" w:color="auto"/>
          <w:color w:val="0000FF"/>
        </w:rPr>
      </w:pPr>
    </w:p>
    <w:p>
      <w:pPr>
        <w:ind w:left="1420" w:right="460" w:hanging="818"/>
        <w:spacing w:after="0" w:line="235" w:lineRule="auto"/>
        <w:tabs>
          <w:tab w:leader="none" w:pos="1400" w:val="left"/>
        </w:tabs>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10.22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hyperlink r:id="rId174">
        <w:r>
          <w:rPr>
            <w:rFonts w:ascii="Arial" w:cs="Arial" w:eastAsia="Arial" w:hAnsi="Arial"/>
            <w:sz w:val="18"/>
            <w:szCs w:val="18"/>
            <w:u w:val="single" w:color="auto"/>
            <w:color w:val="0000FF"/>
          </w:rPr>
          <w:t>2003 Equity Incentive Plan, as amended and restated as of May 26, 2016 (incorporated by reference as an exhibit to the Company's</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Current Report on Form 8-K, event date May 26, 2016).</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48" w:lineRule="exact"/>
        <w:rPr>
          <w:rFonts w:ascii="Arial" w:cs="Arial" w:eastAsia="Arial" w:hAnsi="Arial"/>
          <w:sz w:val="18"/>
          <w:szCs w:val="18"/>
          <w:color w:val="0000FF"/>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60" w:top="941" w:right="29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604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jc w:val="right"/>
        <w:spacing w:after="0"/>
        <w:rPr>
          <w:rFonts w:ascii="Arial" w:cs="Arial" w:eastAsia="Arial" w:hAnsi="Arial"/>
          <w:sz w:val="18"/>
          <w:szCs w:val="18"/>
          <w:color w:val="0000FF"/>
        </w:rPr>
      </w:pPr>
      <w:hyperlink r:id="rId177">
        <w:r>
          <w:rPr>
            <w:rFonts w:ascii="Arial" w:cs="Arial" w:eastAsia="Arial" w:hAnsi="Arial"/>
            <w:sz w:val="18"/>
            <w:szCs w:val="18"/>
            <w:u w:val="single" w:color="auto"/>
            <w:color w:val="0000FF"/>
          </w:rPr>
          <w:t>10.22.1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78">
        <w:r>
          <w:rPr>
            <w:rFonts w:ascii="Arial" w:cs="Arial" w:eastAsia="Arial" w:hAnsi="Arial"/>
            <w:sz w:val="18"/>
            <w:szCs w:val="18"/>
            <w:u w:val="single" w:color="auto"/>
            <w:color w:val="0000FF"/>
          </w:rPr>
          <w:t>10.22.2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79">
        <w:r>
          <w:rPr>
            <w:rFonts w:ascii="Arial" w:cs="Arial" w:eastAsia="Arial" w:hAnsi="Arial"/>
            <w:sz w:val="18"/>
            <w:szCs w:val="18"/>
            <w:u w:val="single" w:color="auto"/>
            <w:color w:val="0000FF"/>
          </w:rPr>
          <w:t>10.22.3</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0">
        <w:r>
          <w:rPr>
            <w:rFonts w:ascii="Arial" w:cs="Arial" w:eastAsia="Arial" w:hAnsi="Arial"/>
            <w:sz w:val="18"/>
            <w:szCs w:val="18"/>
            <w:u w:val="single" w:color="auto"/>
            <w:color w:val="0000FF"/>
          </w:rPr>
          <w:t>10.22.4</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1">
        <w:r>
          <w:rPr>
            <w:rFonts w:ascii="Arial" w:cs="Arial" w:eastAsia="Arial" w:hAnsi="Arial"/>
            <w:sz w:val="18"/>
            <w:szCs w:val="18"/>
            <w:u w:val="single" w:color="auto"/>
            <w:color w:val="0000FF"/>
          </w:rPr>
          <w:t>10.22.5</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2">
        <w:r>
          <w:rPr>
            <w:rFonts w:ascii="Arial" w:cs="Arial" w:eastAsia="Arial" w:hAnsi="Arial"/>
            <w:sz w:val="18"/>
            <w:szCs w:val="18"/>
            <w:u w:val="single" w:color="auto"/>
            <w:color w:val="0000FF"/>
          </w:rPr>
          <w:t>10.22.6</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3">
        <w:r>
          <w:rPr>
            <w:rFonts w:ascii="Arial" w:cs="Arial" w:eastAsia="Arial" w:hAnsi="Arial"/>
            <w:sz w:val="18"/>
            <w:szCs w:val="18"/>
            <w:u w:val="single" w:color="auto"/>
            <w:color w:val="0000FF"/>
          </w:rPr>
          <w:t>10.22.7</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4">
        <w:r>
          <w:rPr>
            <w:rFonts w:ascii="Arial" w:cs="Arial" w:eastAsia="Arial" w:hAnsi="Arial"/>
            <w:sz w:val="18"/>
            <w:szCs w:val="18"/>
            <w:u w:val="single" w:color="auto"/>
            <w:color w:val="0000FF"/>
          </w:rPr>
          <w:t>10.22.8</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68" w:lineRule="exact"/>
        <w:rPr>
          <w:sz w:val="20"/>
          <w:szCs w:val="20"/>
          <w:color w:val="auto"/>
        </w:rPr>
      </w:pPr>
    </w:p>
    <w:p>
      <w:pPr>
        <w:jc w:val="right"/>
        <w:spacing w:after="0"/>
        <w:rPr>
          <w:rFonts w:ascii="Arial" w:cs="Arial" w:eastAsia="Arial" w:hAnsi="Arial"/>
          <w:sz w:val="18"/>
          <w:szCs w:val="18"/>
          <w:color w:val="0000FF"/>
        </w:rPr>
      </w:pPr>
      <w:hyperlink r:id="rId185">
        <w:r>
          <w:rPr>
            <w:rFonts w:ascii="Arial" w:cs="Arial" w:eastAsia="Arial" w:hAnsi="Arial"/>
            <w:sz w:val="18"/>
            <w:szCs w:val="18"/>
            <w:u w:val="single" w:color="auto"/>
            <w:color w:val="0000FF"/>
          </w:rPr>
          <w:t>10.22.9</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41" w:lineRule="exact"/>
        <w:rPr>
          <w:sz w:val="20"/>
          <w:szCs w:val="20"/>
          <w:color w:val="auto"/>
        </w:rPr>
      </w:pPr>
    </w:p>
    <w:p>
      <w:pPr>
        <w:jc w:val="right"/>
        <w:spacing w:after="0"/>
        <w:rPr>
          <w:rFonts w:ascii="Arial" w:cs="Arial" w:eastAsia="Arial" w:hAnsi="Arial"/>
          <w:sz w:val="18"/>
          <w:szCs w:val="18"/>
          <w:color w:val="0000FF"/>
        </w:rPr>
      </w:pPr>
      <w:hyperlink r:id="rId186">
        <w:r>
          <w:rPr>
            <w:rFonts w:ascii="Arial" w:cs="Arial" w:eastAsia="Arial" w:hAnsi="Arial"/>
            <w:sz w:val="18"/>
            <w:szCs w:val="18"/>
            <w:u w:val="single" w:color="auto"/>
            <w:color w:val="0000FF"/>
          </w:rPr>
          <w:t>10.22.10</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7">
        <w:r>
          <w:rPr>
            <w:rFonts w:ascii="Arial" w:cs="Arial" w:eastAsia="Arial" w:hAnsi="Arial"/>
            <w:sz w:val="18"/>
            <w:szCs w:val="18"/>
            <w:u w:val="single" w:color="auto"/>
            <w:color w:val="0000FF"/>
          </w:rPr>
          <w:t>10.22.11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8">
        <w:r>
          <w:rPr>
            <w:rFonts w:ascii="Arial" w:cs="Arial" w:eastAsia="Arial" w:hAnsi="Arial"/>
            <w:sz w:val="18"/>
            <w:szCs w:val="18"/>
            <w:u w:val="single" w:color="auto"/>
            <w:color w:val="0000FF"/>
          </w:rPr>
          <w:t>10.23</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jc w:val="right"/>
        <w:spacing w:after="0"/>
        <w:rPr>
          <w:rFonts w:ascii="Arial" w:cs="Arial" w:eastAsia="Arial" w:hAnsi="Arial"/>
          <w:sz w:val="18"/>
          <w:szCs w:val="18"/>
          <w:color w:val="0000FF"/>
        </w:rPr>
      </w:pPr>
      <w:hyperlink r:id="rId189">
        <w:r>
          <w:rPr>
            <w:rFonts w:ascii="Arial" w:cs="Arial" w:eastAsia="Arial" w:hAnsi="Arial"/>
            <w:sz w:val="18"/>
            <w:szCs w:val="18"/>
            <w:u w:val="single" w:color="auto"/>
            <w:color w:val="0000FF"/>
          </w:rPr>
          <w:t>10.23.1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68" w:lineRule="exact"/>
        <w:rPr>
          <w:sz w:val="20"/>
          <w:szCs w:val="20"/>
          <w:color w:val="auto"/>
        </w:rPr>
      </w:pPr>
    </w:p>
    <w:p>
      <w:pPr>
        <w:jc w:val="right"/>
        <w:spacing w:after="0"/>
        <w:rPr>
          <w:rFonts w:ascii="Arial" w:cs="Arial" w:eastAsia="Arial" w:hAnsi="Arial"/>
          <w:sz w:val="18"/>
          <w:szCs w:val="18"/>
          <w:color w:val="0000FF"/>
        </w:rPr>
      </w:pPr>
      <w:hyperlink r:id="rId190">
        <w:r>
          <w:rPr>
            <w:rFonts w:ascii="Arial" w:cs="Arial" w:eastAsia="Arial" w:hAnsi="Arial"/>
            <w:sz w:val="18"/>
            <w:szCs w:val="18"/>
            <w:u w:val="single" w:color="auto"/>
            <w:color w:val="0000FF"/>
          </w:rPr>
          <w:t>10.23.2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41" w:lineRule="exact"/>
        <w:rPr>
          <w:sz w:val="20"/>
          <w:szCs w:val="20"/>
          <w:color w:val="auto"/>
        </w:rPr>
      </w:pPr>
    </w:p>
    <w:p>
      <w:pPr>
        <w:jc w:val="right"/>
        <w:spacing w:after="0"/>
        <w:rPr>
          <w:rFonts w:ascii="Arial" w:cs="Arial" w:eastAsia="Arial" w:hAnsi="Arial"/>
          <w:sz w:val="18"/>
          <w:szCs w:val="18"/>
          <w:color w:val="0000FF"/>
        </w:rPr>
      </w:pPr>
      <w:hyperlink r:id="rId191">
        <w:r>
          <w:rPr>
            <w:rFonts w:ascii="Arial" w:cs="Arial" w:eastAsia="Arial" w:hAnsi="Arial"/>
            <w:sz w:val="18"/>
            <w:szCs w:val="18"/>
            <w:u w:val="single" w:color="auto"/>
            <w:color w:val="0000FF"/>
          </w:rPr>
          <w:t>10.24</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3290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0" w:lineRule="exact"/>
        <w:rPr>
          <w:sz w:val="20"/>
          <w:szCs w:val="20"/>
          <w:color w:val="auto"/>
        </w:rPr>
      </w:pPr>
    </w:p>
    <w:p>
      <w:pPr>
        <w:ind w:right="300"/>
        <w:spacing w:after="0" w:line="235"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Amended and Restated Cash Bonus/Restricted Stock/Stock Unit and LTIP Unit Award Program under the 2003 Equity Incentive Plan</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(incorporated by reference as an exhibit to the Company's 2010 Form 10-K).</w:t>
        </w:r>
      </w:hyperlink>
    </w:p>
    <w:p>
      <w:pPr>
        <w:spacing w:after="0" w:line="256"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Form of Restricted Stock Award Agreement under 2003 Equity Incentive Plan (incorporated by reference as an exhibit to the Company's</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2008 Form 10-K).</w:t>
        </w:r>
      </w:hyperlink>
    </w:p>
    <w:p>
      <w:pPr>
        <w:spacing w:after="0" w:line="256"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Form of Stock Unit Award Agreement under 2003 Equity Incentive Plan (incorporated by reference as an exhibit to the Company's 2014</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Form 10-K).</w:t>
        </w:r>
      </w:hyperlink>
    </w:p>
    <w:p>
      <w:pPr>
        <w:spacing w:after="0" w:line="256" w:lineRule="exact"/>
        <w:rPr>
          <w:sz w:val="20"/>
          <w:szCs w:val="20"/>
          <w:color w:val="auto"/>
        </w:rPr>
      </w:pPr>
    </w:p>
    <w:p>
      <w:pPr>
        <w:ind w:right="60"/>
        <w:spacing w:after="0" w:line="235"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Form of Employee Stock Option Agreement under 2003 Equity Incentive Plan (incorporated by reference as an exhibit to the Company's</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2008 Form 10-K).</w:t>
        </w:r>
      </w:hyperlink>
    </w:p>
    <w:p>
      <w:pPr>
        <w:spacing w:after="0" w:line="256"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Form of Non-Qualified Stock Option Grant under 2003 Equity Incentive Plan (incorporated by reference as an exhibit to the Company's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2008 Form 10-K).</w:t>
        </w:r>
      </w:hyperlink>
    </w:p>
    <w:p>
      <w:pPr>
        <w:spacing w:after="0" w:line="256"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Form of Restricted Stock Award Agreement for Non-Management Directors (incorporated by reference as an exhibit to the Company's</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2008 Form 10-K).</w:t>
        </w:r>
      </w:hyperlink>
    </w:p>
    <w:p>
      <w:pPr>
        <w:spacing w:after="0" w:line="256"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Form of Stock Unit Award Agreement under 2003 Equity Incentive Plan for Non-Employee Directors (incorporated by reference as an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exhibit to the Company's 2015 Form 10-K).</w:t>
        </w:r>
      </w:hyperlink>
    </w:p>
    <w:p>
      <w:pPr>
        <w:spacing w:after="0" w:line="256" w:lineRule="exact"/>
        <w:rPr>
          <w:sz w:val="20"/>
          <w:szCs w:val="20"/>
          <w:color w:val="auto"/>
        </w:rPr>
      </w:pPr>
    </w:p>
    <w:p>
      <w:pPr>
        <w:ind w:right="400"/>
        <w:spacing w:after="0" w:line="235" w:lineRule="auto"/>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Form of Stock Appreciation Right under 2003 Equity Incentive Plan (incorporated by reference as an exhibit to the Company's 2008</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Form 10-K).</w:t>
        </w:r>
      </w:hyperlink>
    </w:p>
    <w:p>
      <w:pPr>
        <w:spacing w:after="0" w:line="270" w:lineRule="exact"/>
        <w:rPr>
          <w:sz w:val="20"/>
          <w:szCs w:val="20"/>
          <w:color w:val="auto"/>
        </w:rPr>
      </w:pPr>
    </w:p>
    <w:p>
      <w:pPr>
        <w:ind w:right="400"/>
        <w:spacing w:after="0" w:line="227"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Form of LTIP Unit Award Agreement under 2003 Equity Incentive Plan (service-based) (incorporated by reference as an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exhibit to the Company's Quarterly Report on Form 10-Q for the quarter ended March 31, 2019).</w:t>
        </w:r>
      </w:hyperlink>
    </w:p>
    <w:p>
      <w:pPr>
        <w:spacing w:after="0" w:line="270" w:lineRule="exact"/>
        <w:rPr>
          <w:sz w:val="20"/>
          <w:szCs w:val="20"/>
          <w:color w:val="auto"/>
        </w:rPr>
      </w:pPr>
    </w:p>
    <w:p>
      <w:pPr>
        <w:ind w:right="220"/>
        <w:spacing w:after="0" w:line="227"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Form of LTIP Unit Award Agreement under 2003 Equity Incentive Plan (performance-based) (incorporated by reference as</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an exhibit to the Company's Quarterly Report on Form 10-Q for the quarter ended March 31, 2019).</w:t>
        </w:r>
      </w:hyperlink>
    </w:p>
    <w:p>
      <w:pPr>
        <w:spacing w:after="0" w:line="257" w:lineRule="exact"/>
        <w:rPr>
          <w:sz w:val="20"/>
          <w:szCs w:val="20"/>
          <w:color w:val="auto"/>
        </w:rPr>
      </w:pPr>
    </w:p>
    <w:p>
      <w:pPr>
        <w:ind w:right="360"/>
        <w:spacing w:after="0" w:line="235"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Form of LTIP Unit Award Agreement under 2003 Equity Incentive Plan (fully-vested) (incorporated by reference as an exhibit to the</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Company’s Quarterly Report on Form 10-Q for the quarter ended March 31, 2014).</w:t>
        </w:r>
      </w:hyperlink>
    </w:p>
    <w:p>
      <w:pPr>
        <w:spacing w:after="0" w:line="256" w:lineRule="exact"/>
        <w:rPr>
          <w:sz w:val="20"/>
          <w:szCs w:val="20"/>
          <w:color w:val="auto"/>
        </w:rPr>
      </w:pPr>
    </w:p>
    <w:p>
      <w:pPr>
        <w:ind w:right="540"/>
        <w:spacing w:after="0" w:line="289" w:lineRule="auto"/>
        <w:rPr>
          <w:rFonts w:ascii="Arial" w:cs="Arial" w:eastAsia="Arial" w:hAnsi="Arial"/>
          <w:sz w:val="16"/>
          <w:szCs w:val="16"/>
          <w:u w:val="single" w:color="auto"/>
          <w:color w:val="0000FF"/>
        </w:rPr>
      </w:pPr>
      <w:hyperlink r:id="rId188">
        <w:r>
          <w:rPr>
            <w:rFonts w:ascii="Arial" w:cs="Arial" w:eastAsia="Arial" w:hAnsi="Arial"/>
            <w:sz w:val="16"/>
            <w:szCs w:val="16"/>
            <w:u w:val="single" w:color="auto"/>
            <w:color w:val="0000FF"/>
          </w:rPr>
          <w:t>Amendment and Restatement of the Employee Stock Purchase Plan (as amended and restated as of June 1, 2013) (incorporated by</w:t>
        </w:r>
      </w:hyperlink>
      <w:r>
        <w:rPr>
          <w:rFonts w:ascii="Arial" w:cs="Arial" w:eastAsia="Arial" w:hAnsi="Arial"/>
          <w:sz w:val="16"/>
          <w:szCs w:val="16"/>
          <w:u w:val="single" w:color="auto"/>
          <w:color w:val="0000FF"/>
        </w:rPr>
        <w:t xml:space="preserve"> </w:t>
      </w:r>
      <w:hyperlink r:id="rId188">
        <w:r>
          <w:rPr>
            <w:rFonts w:ascii="Arial" w:cs="Arial" w:eastAsia="Arial" w:hAnsi="Arial"/>
            <w:sz w:val="16"/>
            <w:szCs w:val="16"/>
            <w:u w:val="single" w:color="auto"/>
            <w:color w:val="0000FF"/>
          </w:rPr>
          <w:t>reference as an exhibit to the Company's Quarterly Report on Form 10-Q for the quarter ended June 30, 2013).</w:t>
        </w:r>
      </w:hyperlink>
    </w:p>
    <w:p>
      <w:pPr>
        <w:spacing w:after="0" w:line="219"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First Amendment to Amended and Restated Employee Stock Purchase Plan (October 23, 2014) (incorporated by reference as an exhibit</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to the Company’s Quarterly Report on Form 10-Q for the quarter ended September 30, 2014).</w:t>
        </w:r>
      </w:hyperlink>
    </w:p>
    <w:p>
      <w:pPr>
        <w:spacing w:after="0" w:line="256"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Second Amendment to Amended and Restated Employee Stock Purchase Plan (July 25, 2019) (incorporated by reference as an exhibit to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the Company’s Quarterly Report on Form 10-Q for the quarter ended June 30, 2019).</w:t>
        </w:r>
      </w:hyperlink>
    </w:p>
    <w:p>
      <w:pPr>
        <w:spacing w:after="0" w:line="256" w:lineRule="exact"/>
        <w:rPr>
          <w:sz w:val="20"/>
          <w:szCs w:val="20"/>
          <w:color w:val="auto"/>
        </w:rPr>
      </w:pPr>
    </w:p>
    <w:p>
      <w:pPr>
        <w:spacing w:after="0" w:line="238" w:lineRule="auto"/>
        <w:rPr>
          <w:rFonts w:ascii="Arial" w:cs="Arial" w:eastAsia="Arial" w:hAnsi="Arial"/>
          <w:sz w:val="17"/>
          <w:szCs w:val="17"/>
          <w:u w:val="single" w:color="auto"/>
          <w:color w:val="0000FF"/>
        </w:rPr>
      </w:pPr>
      <w:hyperlink r:id="rId191">
        <w:r>
          <w:rPr>
            <w:rFonts w:ascii="Arial" w:cs="Arial" w:eastAsia="Arial" w:hAnsi="Arial"/>
            <w:sz w:val="17"/>
            <w:szCs w:val="17"/>
            <w:u w:val="single" w:color="auto"/>
            <w:color w:val="0000FF"/>
          </w:rPr>
          <w:t>Change in Control Severance Pay Plan for Executive Vice Presidents (incorporated by reference as an exhibit to the Company’s Quarterly</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Report on Form 10-Q foChange in Control Severance Pay Plan for Executive Vice Presidents (incorporated by reference as an exhibit to</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the Company’s Quarterly Report on Form 10-Q for the quarter ended March 31, 2019).</w:t>
        </w:r>
      </w:hyperlink>
    </w:p>
    <w:p>
      <w:pPr>
        <w:spacing w:after="0" w:line="200" w:lineRule="exact"/>
        <w:rPr>
          <w:rFonts w:ascii="Arial" w:cs="Arial" w:eastAsia="Arial" w:hAnsi="Arial"/>
          <w:sz w:val="17"/>
          <w:szCs w:val="17"/>
          <w:u w:val="single" w:color="auto"/>
          <w:color w:val="0000FF"/>
        </w:rPr>
      </w:pPr>
    </w:p>
    <w:p>
      <w:pPr>
        <w:sectPr>
          <w:pgSz w:w="11900" w:h="16838" w:orient="portrait"/>
          <w:cols w:equalWidth="0" w:num="2">
            <w:col w:w="1140" w:space="280"/>
            <w:col w:w="9940"/>
          </w:cols>
          <w:pgMar w:left="260" w:top="940" w:right="279" w:bottom="1440" w:gutter="0" w:footer="0" w:header="0"/>
        </w:sectPr>
      </w:pPr>
    </w:p>
    <w:p>
      <w:pPr>
        <w:spacing w:after="0" w:line="56" w:lineRule="exact"/>
        <w:rPr>
          <w:rFonts w:ascii="Arial" w:cs="Arial" w:eastAsia="Arial" w:hAnsi="Arial"/>
          <w:sz w:val="17"/>
          <w:szCs w:val="17"/>
          <w:u w:val="single" w:color="auto"/>
          <w:color w:val="0000FF"/>
        </w:rPr>
      </w:pPr>
    </w:p>
    <w:p>
      <w:pPr>
        <w:ind w:left="1420" w:right="60" w:hanging="818"/>
        <w:spacing w:after="0" w:line="235" w:lineRule="auto"/>
        <w:tabs>
          <w:tab w:leader="none" w:pos="1400" w:val="left"/>
        </w:tabs>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10.</w:t>
        </w:r>
      </w:hyperlink>
      <w:r>
        <w:rPr>
          <w:rFonts w:ascii="Arial" w:cs="Arial" w:eastAsia="Arial" w:hAnsi="Arial"/>
          <w:sz w:val="18"/>
          <w:szCs w:val="18"/>
          <w:color w:val="0000FF"/>
        </w:rPr>
        <w:t xml:space="preserve">25 </w:t>
      </w:r>
      <w:r>
        <w:rPr>
          <w:rFonts w:ascii="Arial" w:cs="Arial" w:eastAsia="Arial" w:hAnsi="Arial"/>
          <w:sz w:val="18"/>
          <w:szCs w:val="18"/>
          <w:color w:val="000000"/>
        </w:rPr>
        <w:t>*</w:t>
      </w:r>
      <w:r>
        <w:rPr>
          <w:rFonts w:ascii="Arial" w:cs="Arial" w:eastAsia="Arial" w:hAnsi="Arial"/>
          <w:sz w:val="18"/>
          <w:szCs w:val="18"/>
          <w:color w:val="0000FF"/>
        </w:rPr>
        <w:tab/>
      </w:r>
      <w:hyperlink r:id="rId193">
        <w:r>
          <w:rPr>
            <w:rFonts w:ascii="Arial" w:cs="Arial" w:eastAsia="Arial" w:hAnsi="Arial"/>
            <w:sz w:val="18"/>
            <w:szCs w:val="18"/>
            <w:u w:val="single" w:color="auto"/>
            <w:color w:val="0000FF"/>
          </w:rPr>
          <w:t>Change in Control Severance Pay Plan for Senior Executives (incorporated by reference as an exhibit to the Company's Quarterly Report</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on Form 10-Q for the quarter ended September 30, 2017).</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48"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60" w:top="940" w:right="279" w:bottom="1440" w:gutter="0" w:footer="0" w:header="0"/>
          <w:type w:val="continuous"/>
        </w:sectPr>
      </w:pPr>
    </w:p>
    <w:bookmarkStart w:id="111" w:name="page112"/>
    <w:bookmarkEnd w:id="111"/>
    <w:p>
      <w:pPr>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294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 w:lineRule="exact"/>
        <w:rPr>
          <w:sz w:val="20"/>
          <w:szCs w:val="20"/>
          <w:color w:val="auto"/>
        </w:rPr>
      </w:pPr>
    </w:p>
    <w:p>
      <w:pPr>
        <w:ind w:left="1420" w:right="80" w:hanging="818"/>
        <w:spacing w:after="0" w:line="224" w:lineRule="auto"/>
        <w:tabs>
          <w:tab w:leader="none" w:pos="1400" w:val="left"/>
        </w:tabs>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10.26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hyperlink r:id="rId196">
        <w:r>
          <w:rPr>
            <w:rFonts w:ascii="Arial" w:cs="Arial" w:eastAsia="Arial" w:hAnsi="Arial"/>
            <w:sz w:val="18"/>
            <w:szCs w:val="18"/>
            <w:u w:val="single" w:color="auto"/>
            <w:color w:val="0000FF"/>
          </w:rPr>
          <w:t>Separation Agreement and Release of Claims between the Company and Thomas J. Leanse dated February 22, 2018 (includes form of</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Consulting Agreement between the Company and Mr. Leanse) (incorporated by reference as an exhibit to the Company's 2017 Form 10-</w:t>
        </w:r>
      </w:hyperlink>
      <w:hyperlink r:id="rId196">
        <w:r>
          <w:rPr>
            <w:rFonts w:ascii="Arial" w:cs="Arial" w:eastAsia="Arial" w:hAnsi="Arial"/>
            <w:sz w:val="18"/>
            <w:szCs w:val="18"/>
            <w:u w:val="single" w:color="auto"/>
            <w:color w:val="0000FF"/>
          </w:rPr>
          <w:t>K).</w:t>
        </w:r>
      </w:hyperlink>
    </w:p>
    <w:p>
      <w:pPr>
        <w:sectPr>
          <w:pgSz w:w="11900" w:h="16838" w:orient="portrait"/>
          <w:cols w:equalWidth="0" w:num="1">
            <w:col w:w="11340"/>
          </w:cols>
          <w:pgMar w:left="260" w:top="941" w:right="299" w:bottom="1440" w:gutter="0" w:footer="0" w:header="0"/>
        </w:sectPr>
      </w:pPr>
    </w:p>
    <w:p>
      <w:pPr>
        <w:spacing w:after="0" w:line="258"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r:id="rId197">
        <w:r>
          <w:rPr>
            <w:rFonts w:ascii="Arial" w:cs="Arial" w:eastAsia="Arial" w:hAnsi="Arial"/>
            <w:sz w:val="18"/>
            <w:szCs w:val="18"/>
            <w:u w:val="single" w:color="auto"/>
            <w:color w:val="0000FF"/>
          </w:rPr>
          <w:t>10.</w:t>
        </w:r>
      </w:hyperlink>
      <w:r>
        <w:rPr>
          <w:rFonts w:ascii="Arial" w:cs="Arial" w:eastAsia="Arial" w:hAnsi="Arial"/>
          <w:sz w:val="18"/>
          <w:szCs w:val="18"/>
          <w:color w:val="0000FF"/>
        </w:rPr>
        <w:t xml:space="preserve">27 </w:t>
      </w:r>
      <w:r>
        <w:rPr>
          <w:rFonts w:ascii="Arial" w:cs="Arial" w:eastAsia="Arial" w:hAnsi="Arial"/>
          <w:sz w:val="18"/>
          <w:szCs w:val="18"/>
          <w:color w:val="000000"/>
        </w:rPr>
        <w:t>*</w:t>
      </w: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r:id="rId198">
        <w:r>
          <w:rPr>
            <w:rFonts w:ascii="Arial" w:cs="Arial" w:eastAsia="Arial" w:hAnsi="Arial"/>
            <w:sz w:val="18"/>
            <w:szCs w:val="18"/>
            <w:u w:val="single" w:color="auto"/>
            <w:color w:val="0000FF"/>
          </w:rPr>
          <w:t>10.</w:t>
        </w:r>
      </w:hyperlink>
      <w:r>
        <w:rPr>
          <w:rFonts w:ascii="Arial" w:cs="Arial" w:eastAsia="Arial" w:hAnsi="Arial"/>
          <w:sz w:val="18"/>
          <w:szCs w:val="18"/>
          <w:color w:val="0000FF"/>
        </w:rPr>
        <w:t xml:space="preserve">28 </w:t>
      </w:r>
      <w:r>
        <w:rPr>
          <w:rFonts w:ascii="Arial" w:cs="Arial" w:eastAsia="Arial" w:hAnsi="Arial"/>
          <w:sz w:val="18"/>
          <w:szCs w:val="18"/>
          <w:color w:val="000000"/>
        </w:rPr>
        <w: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ind w:left="480"/>
        <w:spacing w:after="0"/>
        <w:rPr>
          <w:rFonts w:ascii="Arial" w:cs="Arial" w:eastAsia="Arial" w:hAnsi="Arial"/>
          <w:sz w:val="16"/>
          <w:szCs w:val="16"/>
          <w:color w:val="0000FF"/>
        </w:rPr>
      </w:pPr>
      <w:hyperlink r:id="rId199">
        <w:r>
          <w:rPr>
            <w:rFonts w:ascii="Arial" w:cs="Arial" w:eastAsia="Arial" w:hAnsi="Arial"/>
            <w:sz w:val="16"/>
            <w:szCs w:val="16"/>
            <w:u w:val="single" w:color="auto"/>
            <w:color w:val="0000FF"/>
          </w:rPr>
          <w:t>10.28.1</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38" w:lineRule="exact"/>
        <w:rPr>
          <w:rFonts w:ascii="Arial" w:cs="Arial" w:eastAsia="Arial" w:hAnsi="Arial"/>
          <w:sz w:val="18"/>
          <w:szCs w:val="18"/>
          <w:u w:val="single" w:color="auto"/>
          <w:color w:val="0000FF"/>
        </w:rPr>
      </w:pPr>
    </w:p>
    <w:p>
      <w:pPr>
        <w:ind w:right="160"/>
        <w:spacing w:after="0" w:line="235"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Change in Control Agreement between the Company and Ann C. Menard, effective February 24, 2018 (incorporated by reference as an</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exhibit to the Company’s Quarterly Report on Form 10-Q for the quarter ended March 31, 2018).</w:t>
        </w:r>
      </w:hyperlink>
    </w:p>
    <w:p>
      <w:pPr>
        <w:spacing w:after="0" w:line="256" w:lineRule="exact"/>
        <w:rPr>
          <w:sz w:val="20"/>
          <w:szCs w:val="20"/>
          <w:color w:val="auto"/>
        </w:rPr>
      </w:pPr>
    </w:p>
    <w:p>
      <w:pPr>
        <w:ind w:right="460"/>
        <w:spacing w:after="0" w:line="289" w:lineRule="auto"/>
        <w:rPr>
          <w:rFonts w:ascii="Arial" w:cs="Arial" w:eastAsia="Arial" w:hAnsi="Arial"/>
          <w:sz w:val="16"/>
          <w:szCs w:val="16"/>
          <w:u w:val="single" w:color="auto"/>
          <w:color w:val="0000FF"/>
        </w:rPr>
      </w:pPr>
      <w:hyperlink r:id="rId198">
        <w:r>
          <w:rPr>
            <w:rFonts w:ascii="Arial" w:cs="Arial" w:eastAsia="Arial" w:hAnsi="Arial"/>
            <w:sz w:val="16"/>
            <w:szCs w:val="16"/>
            <w:u w:val="single" w:color="auto"/>
            <w:color w:val="0000FF"/>
          </w:rPr>
          <w:t>Amended and Restated Offer of Employment between the Company and Ann C. Menard, effective April 30, 2018 (incorporated by</w:t>
        </w:r>
      </w:hyperlink>
      <w:r>
        <w:rPr>
          <w:rFonts w:ascii="Arial" w:cs="Arial" w:eastAsia="Arial" w:hAnsi="Arial"/>
          <w:sz w:val="16"/>
          <w:szCs w:val="16"/>
          <w:u w:val="single" w:color="auto"/>
          <w:color w:val="0000FF"/>
        </w:rPr>
        <w:t xml:space="preserve"> </w:t>
      </w:r>
      <w:hyperlink r:id="rId198">
        <w:r>
          <w:rPr>
            <w:rFonts w:ascii="Arial" w:cs="Arial" w:eastAsia="Arial" w:hAnsi="Arial"/>
            <w:sz w:val="16"/>
            <w:szCs w:val="16"/>
            <w:u w:val="single" w:color="auto"/>
            <w:color w:val="0000FF"/>
          </w:rPr>
          <w:t>reference as an exhibit to the Company’s Quarterly Report on Form 10-Q for the quarter ended March 31, 2018).</w:t>
        </w:r>
      </w:hyperlink>
    </w:p>
    <w:p>
      <w:pPr>
        <w:spacing w:after="0" w:line="200" w:lineRule="exact"/>
        <w:rPr>
          <w:sz w:val="20"/>
          <w:szCs w:val="20"/>
          <w:color w:val="auto"/>
        </w:rPr>
      </w:pPr>
    </w:p>
    <w:p>
      <w:pPr>
        <w:spacing w:after="0" w:line="275" w:lineRule="exact"/>
        <w:rPr>
          <w:sz w:val="20"/>
          <w:szCs w:val="20"/>
          <w:color w:val="auto"/>
        </w:rPr>
      </w:pPr>
    </w:p>
    <w:p>
      <w:pPr>
        <w:ind w:right="60"/>
        <w:spacing w:after="0" w:line="249" w:lineRule="auto"/>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First Amendment to Amended and Restated Offer of Employment between the Company and Ann C. Menard, effective January 1, 2020)</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(incorporated by reference as an exhibit to the Company’s Quarterly Report on Form 10-Q for the quarter ended SeFirst Amendment to</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Amended and Restated Offer of Employment between the Company and Ann C. Menard, effective January 1, 2020) (incorporated by</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reference as an exhibit to the Company’s Quarterly Report on Form 10-Q for the quarter ended September 30, 2019).</w:t>
        </w:r>
      </w:hyperlink>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1140" w:space="280"/>
            <w:col w:w="9920"/>
          </w:cols>
          <w:pgMar w:left="260" w:top="941" w:right="299" w:bottom="1440" w:gutter="0" w:footer="0" w:header="0"/>
          <w:type w:val="continuous"/>
        </w:sectPr>
      </w:pPr>
    </w:p>
    <w:p>
      <w:pPr>
        <w:spacing w:after="0" w:line="63" w:lineRule="exact"/>
        <w:rPr>
          <w:rFonts w:ascii="Arial" w:cs="Arial" w:eastAsia="Arial" w:hAnsi="Arial"/>
          <w:sz w:val="16"/>
          <w:szCs w:val="16"/>
          <w:u w:val="single" w:color="auto"/>
          <w:color w:val="0000FF"/>
        </w:rPr>
      </w:pPr>
    </w:p>
    <w:p>
      <w:pPr>
        <w:jc w:val="right"/>
        <w:spacing w:after="0"/>
        <w:rPr>
          <w:rFonts w:ascii="Arial" w:cs="Arial" w:eastAsia="Arial" w:hAnsi="Arial"/>
          <w:sz w:val="18"/>
          <w:szCs w:val="18"/>
          <w:color w:val="0000FF"/>
        </w:rPr>
      </w:pPr>
      <w:hyperlink r:id="rId200">
        <w:r>
          <w:rPr>
            <w:rFonts w:ascii="Arial" w:cs="Arial" w:eastAsia="Arial" w:hAnsi="Arial"/>
            <w:sz w:val="18"/>
            <w:szCs w:val="18"/>
            <w:u w:val="single" w:color="auto"/>
            <w:color w:val="0000FF"/>
          </w:rPr>
          <w:t>10.29</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1" w:lineRule="exact"/>
        <w:rPr>
          <w:rFonts w:ascii="Arial" w:cs="Arial" w:eastAsia="Arial" w:hAnsi="Arial"/>
          <w:sz w:val="16"/>
          <w:szCs w:val="16"/>
          <w:u w:val="single" w:color="auto"/>
          <w:color w:val="0000FF"/>
        </w:rPr>
      </w:pPr>
    </w:p>
    <w:p>
      <w:pPr>
        <w:ind w:left="480"/>
        <w:spacing w:after="0"/>
        <w:rPr>
          <w:rFonts w:ascii="Arial" w:cs="Arial" w:eastAsia="Arial" w:hAnsi="Arial"/>
          <w:sz w:val="16"/>
          <w:szCs w:val="16"/>
          <w:color w:val="0000FF"/>
        </w:rPr>
      </w:pPr>
      <w:hyperlink r:id="rId201">
        <w:r>
          <w:rPr>
            <w:rFonts w:ascii="Arial" w:cs="Arial" w:eastAsia="Arial" w:hAnsi="Arial"/>
            <w:sz w:val="16"/>
            <w:szCs w:val="16"/>
            <w:u w:val="single" w:color="auto"/>
            <w:color w:val="0000FF"/>
          </w:rPr>
          <w:t>10.29.1</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7" w:lineRule="exact"/>
        <w:rPr>
          <w:rFonts w:ascii="Arial" w:cs="Arial" w:eastAsia="Arial" w:hAnsi="Arial"/>
          <w:sz w:val="16"/>
          <w:szCs w:val="16"/>
          <w:u w:val="single" w:color="auto"/>
          <w:color w:val="0000FF"/>
        </w:rPr>
      </w:pPr>
    </w:p>
    <w:p>
      <w:pPr>
        <w:jc w:val="right"/>
        <w:spacing w:after="0"/>
        <w:rPr>
          <w:rFonts w:ascii="Arial" w:cs="Arial" w:eastAsia="Arial" w:hAnsi="Arial"/>
          <w:sz w:val="18"/>
          <w:szCs w:val="18"/>
          <w:color w:val="0000FF"/>
        </w:rPr>
      </w:pPr>
      <w:hyperlink r:id="rId202">
        <w:r>
          <w:rPr>
            <w:rFonts w:ascii="Arial" w:cs="Arial" w:eastAsia="Arial" w:hAnsi="Arial"/>
            <w:sz w:val="18"/>
            <w:szCs w:val="18"/>
            <w:u w:val="single" w:color="auto"/>
            <w:color w:val="0000FF"/>
          </w:rPr>
          <w:t>10.30</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rFonts w:ascii="Arial" w:cs="Arial" w:eastAsia="Arial" w:hAnsi="Arial"/>
          <w:sz w:val="16"/>
          <w:szCs w:val="16"/>
          <w:u w:val="single" w:color="auto"/>
          <w:color w:val="0000FF"/>
        </w:rPr>
      </w:pPr>
    </w:p>
    <w:p>
      <w:pPr>
        <w:spacing w:after="0" w:line="268" w:lineRule="exact"/>
        <w:rPr>
          <w:rFonts w:ascii="Arial" w:cs="Arial" w:eastAsia="Arial" w:hAnsi="Arial"/>
          <w:sz w:val="16"/>
          <w:szCs w:val="16"/>
          <w:u w:val="single" w:color="auto"/>
          <w:color w:val="0000FF"/>
        </w:rPr>
      </w:pPr>
    </w:p>
    <w:p>
      <w:pPr>
        <w:jc w:val="right"/>
        <w:spacing w:after="0"/>
        <w:rPr>
          <w:rFonts w:ascii="Arial" w:cs="Arial" w:eastAsia="Arial" w:hAnsi="Arial"/>
          <w:sz w:val="18"/>
          <w:szCs w:val="18"/>
          <w:color w:val="0000FF"/>
        </w:rPr>
      </w:pPr>
      <w:hyperlink r:id="rId203">
        <w:r>
          <w:rPr>
            <w:rFonts w:ascii="Arial" w:cs="Arial" w:eastAsia="Arial" w:hAnsi="Arial"/>
            <w:sz w:val="18"/>
            <w:szCs w:val="18"/>
            <w:u w:val="single" w:color="auto"/>
            <w:color w:val="0000FF"/>
          </w:rPr>
          <w:t>10.31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43" w:lineRule="exact"/>
        <w:rPr>
          <w:rFonts w:ascii="Arial" w:cs="Arial" w:eastAsia="Arial" w:hAnsi="Arial"/>
          <w:sz w:val="16"/>
          <w:szCs w:val="16"/>
          <w:u w:val="single" w:color="auto"/>
          <w:color w:val="0000FF"/>
        </w:rPr>
      </w:pPr>
    </w:p>
    <w:p>
      <w:pPr>
        <w:ind w:right="40"/>
        <w:spacing w:after="0" w:line="235"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Employment Agreement between the Company and Thomas E. O’Hern, effective April 26, 2018 (incorporated by reference as an exhibit</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to the Company’s Quarterly Report on Form 10-Q for the quarter ended March 31, 2018).</w:t>
        </w:r>
      </w:hyperlink>
    </w:p>
    <w:p>
      <w:pPr>
        <w:spacing w:after="0" w:line="200" w:lineRule="exact"/>
        <w:rPr>
          <w:sz w:val="20"/>
          <w:szCs w:val="20"/>
          <w:color w:val="auto"/>
        </w:rPr>
      </w:pPr>
    </w:p>
    <w:p>
      <w:pPr>
        <w:spacing w:after="0" w:line="313" w:lineRule="exact"/>
        <w:rPr>
          <w:sz w:val="20"/>
          <w:szCs w:val="20"/>
          <w:color w:val="auto"/>
        </w:rPr>
      </w:pPr>
    </w:p>
    <w:p>
      <w:pPr>
        <w:spacing w:after="0" w:line="238" w:lineRule="auto"/>
        <w:rPr>
          <w:rFonts w:ascii="Arial" w:cs="Arial" w:eastAsia="Arial" w:hAnsi="Arial"/>
          <w:sz w:val="17"/>
          <w:szCs w:val="17"/>
          <w:u w:val="single" w:color="auto"/>
          <w:color w:val="0000FF"/>
        </w:rPr>
      </w:pPr>
      <w:hyperlink r:id="rId201">
        <w:r>
          <w:rPr>
            <w:rFonts w:ascii="Arial" w:cs="Arial" w:eastAsia="Arial" w:hAnsi="Arial"/>
            <w:sz w:val="17"/>
            <w:szCs w:val="17"/>
            <w:u w:val="single" w:color="auto"/>
            <w:color w:val="0000FF"/>
          </w:rPr>
          <w:t>First Amendment to Employment Agreement between the Company and Thomas E. O’Hern, effective January 1, 2020 (First Amendment</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to Employment Agreement between the Company and Thomas E. O’Hern, effective January 1, 2020 (incorporated by reference as an</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exhibit to the Company’s Quarterly Report on Form 10-Q for the quarter ended September 30, 2019).</w:t>
        </w:r>
      </w:hyperlink>
    </w:p>
    <w:p>
      <w:pPr>
        <w:spacing w:after="0" w:line="269" w:lineRule="exact"/>
        <w:rPr>
          <w:rFonts w:ascii="Arial" w:cs="Arial" w:eastAsia="Arial" w:hAnsi="Arial"/>
          <w:sz w:val="17"/>
          <w:szCs w:val="17"/>
          <w:u w:val="single" w:color="auto"/>
          <w:color w:val="0000FF"/>
        </w:rPr>
      </w:pPr>
    </w:p>
    <w:p>
      <w:pPr>
        <w:ind w:right="260"/>
        <w:spacing w:after="0" w:line="235" w:lineRule="auto"/>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Letter regarding Consulting Agreement between the Company and Arthur M. Coppola, effective December 31, 2018 (incorporated by</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reference as an exhibit to the Company’s Current Report on Form 8-K, event date December 31, 2018).</w:t>
        </w:r>
      </w:hyperlink>
    </w:p>
    <w:p>
      <w:pPr>
        <w:spacing w:after="0" w:line="283" w:lineRule="exact"/>
        <w:rPr>
          <w:sz w:val="20"/>
          <w:szCs w:val="20"/>
          <w:color w:val="auto"/>
        </w:rPr>
      </w:pPr>
    </w:p>
    <w:p>
      <w:pPr>
        <w:jc w:val="both"/>
        <w:ind w:right="560"/>
        <w:spacing w:after="0" w:line="241" w:lineRule="auto"/>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Employment Agreement between the Company and William P. Voegele, effective September 1, 2019 (incorporated by</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reference as an exhibit to the Company’s Quarterly Report on Form 10-Q for the quarter ended September 30, 2019).</w:t>
        </w:r>
      </w:hyperlink>
    </w:p>
    <w:p>
      <w:pPr>
        <w:spacing w:after="0" w:line="200" w:lineRule="exact"/>
        <w:rPr>
          <w:sz w:val="20"/>
          <w:szCs w:val="20"/>
          <w:color w:val="auto"/>
        </w:rPr>
      </w:pPr>
    </w:p>
    <w:p>
      <w:pPr>
        <w:sectPr>
          <w:pgSz w:w="11900" w:h="16838" w:orient="portrait"/>
          <w:cols w:equalWidth="0" w:num="2">
            <w:col w:w="1140" w:space="280"/>
            <w:col w:w="9920"/>
          </w:cols>
          <w:pgMar w:left="260" w:top="941" w:right="299" w:bottom="1440" w:gutter="0" w:footer="0" w:header="0"/>
          <w:type w:val="continuous"/>
        </w:sectPr>
      </w:pPr>
    </w:p>
    <w:p>
      <w:pPr>
        <w:spacing w:after="0" w:line="69" w:lineRule="exact"/>
        <w:rPr>
          <w:sz w:val="20"/>
          <w:szCs w:val="20"/>
          <w:color w:val="auto"/>
        </w:rPr>
      </w:pPr>
    </w:p>
    <w:p>
      <w:pPr>
        <w:ind w:left="1420" w:hanging="818"/>
        <w:spacing w:after="0" w:line="235" w:lineRule="auto"/>
        <w:tabs>
          <w:tab w:leader="none" w:pos="1400" w:val="left"/>
        </w:tabs>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204">
        <w:r>
          <w:rPr>
            <w:rFonts w:ascii="Arial" w:cs="Arial" w:eastAsia="Arial" w:hAnsi="Arial"/>
            <w:sz w:val="18"/>
            <w:szCs w:val="18"/>
            <w:u w:val="single" w:color="auto"/>
            <w:color w:val="0000FF"/>
          </w:rPr>
          <w:t>2005 Amended and Restated Agreement of Limited Partnership of MACWH, LP dated as of April 25, 2005 (incorporated by reference as</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an exhibit to the Company's Current Report on Form 8-K, event date April 25, 2005).</w:t>
        </w:r>
      </w:hyperlink>
    </w:p>
    <w:p>
      <w:pPr>
        <w:spacing w:after="0" w:line="256" w:lineRule="exact"/>
        <w:rPr>
          <w:rFonts w:ascii="Arial" w:cs="Arial" w:eastAsia="Arial" w:hAnsi="Arial"/>
          <w:sz w:val="18"/>
          <w:szCs w:val="18"/>
          <w:u w:val="single" w:color="auto"/>
          <w:color w:val="0000FF"/>
        </w:rPr>
      </w:pPr>
    </w:p>
    <w:p>
      <w:pPr>
        <w:ind w:left="1420" w:right="20" w:hanging="818"/>
        <w:spacing w:after="0" w:line="235" w:lineRule="auto"/>
        <w:tabs>
          <w:tab w:leader="none" w:pos="1400" w:val="left"/>
        </w:tabs>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205">
        <w:r>
          <w:rPr>
            <w:rFonts w:ascii="Arial" w:cs="Arial" w:eastAsia="Arial" w:hAnsi="Arial"/>
            <w:sz w:val="18"/>
            <w:szCs w:val="18"/>
            <w:u w:val="single" w:color="auto"/>
            <w:color w:val="0000FF"/>
          </w:rPr>
          <w:t>Registration Rights Agreement dated as of April 25, 2005 among the Company and the persons names on Exhibit A thereto (incorporated</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by reference as an exhibit to the Company's Current Report on Form 8-K, event date April 25, 2005).</w:t>
        </w:r>
      </w:hyperlink>
    </w:p>
    <w:p>
      <w:pPr>
        <w:spacing w:after="0" w:line="270" w:lineRule="exact"/>
        <w:rPr>
          <w:rFonts w:ascii="Arial" w:cs="Arial" w:eastAsia="Arial" w:hAnsi="Arial"/>
          <w:sz w:val="18"/>
          <w:szCs w:val="18"/>
          <w:u w:val="single" w:color="auto"/>
          <w:color w:val="0000FF"/>
        </w:rPr>
      </w:pPr>
    </w:p>
    <w:p>
      <w:pPr>
        <w:ind w:left="70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u w:val="single" w:color="auto"/>
          <w:color w:val="0000FF"/>
        </w:rPr>
        <w:t>21.1</w:t>
      </w:r>
      <w:r>
        <w:rPr>
          <w:sz w:val="20"/>
          <w:szCs w:val="20"/>
          <w:color w:val="auto"/>
        </w:rPr>
        <w:tab/>
      </w:r>
      <w:hyperlink w:anchor="page123">
        <w:r>
          <w:rPr>
            <w:rFonts w:ascii="Arial" w:cs="Arial" w:eastAsia="Arial" w:hAnsi="Arial"/>
            <w:sz w:val="16"/>
            <w:szCs w:val="16"/>
            <w:u w:val="single" w:color="auto"/>
            <w:color w:val="0000FF"/>
          </w:rPr>
          <w:t>List of Subsidiaries</w:t>
        </w:r>
      </w:hyperlink>
    </w:p>
    <w:p>
      <w:pPr>
        <w:spacing w:after="0" w:line="333" w:lineRule="exact"/>
        <w:rPr>
          <w:rFonts w:ascii="Arial" w:cs="Arial" w:eastAsia="Arial" w:hAnsi="Arial"/>
          <w:sz w:val="18"/>
          <w:szCs w:val="18"/>
          <w:u w:val="single" w:color="auto"/>
          <w:color w:val="0000FF"/>
        </w:rPr>
      </w:pPr>
    </w:p>
    <w:p>
      <w:pPr>
        <w:ind w:left="70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u w:val="single" w:color="auto"/>
          <w:color w:val="0000FF"/>
        </w:rPr>
        <w:t>23.1</w:t>
      </w:r>
      <w:r>
        <w:rPr>
          <w:sz w:val="20"/>
          <w:szCs w:val="20"/>
          <w:color w:val="auto"/>
        </w:rPr>
        <w:tab/>
      </w:r>
      <w:hyperlink w:anchor="page127">
        <w:r>
          <w:rPr>
            <w:rFonts w:ascii="Arial" w:cs="Arial" w:eastAsia="Arial" w:hAnsi="Arial"/>
            <w:sz w:val="16"/>
            <w:szCs w:val="16"/>
            <w:u w:val="single" w:color="auto"/>
            <w:color w:val="0000FF"/>
          </w:rPr>
          <w:t>Consent of Independent Registered Public Accounting Firm (KPMG LLP)</w:t>
        </w:r>
      </w:hyperlink>
    </w:p>
    <w:p>
      <w:pPr>
        <w:spacing w:after="0" w:line="320" w:lineRule="exact"/>
        <w:rPr>
          <w:rFonts w:ascii="Arial" w:cs="Arial" w:eastAsia="Arial" w:hAnsi="Arial"/>
          <w:sz w:val="18"/>
          <w:szCs w:val="18"/>
          <w:u w:val="single" w:color="auto"/>
          <w:color w:val="0000FF"/>
        </w:rPr>
      </w:pPr>
    </w:p>
    <w:p>
      <w:pPr>
        <w:ind w:left="70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u w:val="single" w:color="auto"/>
          <w:color w:val="0000FF"/>
        </w:rPr>
        <w:t>31.1</w:t>
      </w:r>
      <w:r>
        <w:rPr>
          <w:sz w:val="20"/>
          <w:szCs w:val="20"/>
          <w:color w:val="auto"/>
        </w:rPr>
        <w:tab/>
      </w:r>
      <w:hyperlink w:anchor="page128">
        <w:r>
          <w:rPr>
            <w:rFonts w:ascii="Arial" w:cs="Arial" w:eastAsia="Arial" w:hAnsi="Arial"/>
            <w:sz w:val="16"/>
            <w:szCs w:val="16"/>
            <w:u w:val="single" w:color="auto"/>
            <w:color w:val="0000FF"/>
          </w:rPr>
          <w:t>Section 302 Certification of Thomas E. O'Hern, Chief Executive Officer and Director</w:t>
        </w:r>
      </w:hyperlink>
    </w:p>
    <w:p>
      <w:pPr>
        <w:spacing w:after="0" w:line="320" w:lineRule="exact"/>
        <w:rPr>
          <w:rFonts w:ascii="Arial" w:cs="Arial" w:eastAsia="Arial" w:hAnsi="Arial"/>
          <w:sz w:val="18"/>
          <w:szCs w:val="18"/>
          <w:u w:val="single" w:color="auto"/>
          <w:color w:val="0000FF"/>
        </w:rPr>
      </w:pPr>
    </w:p>
    <w:p>
      <w:pPr>
        <w:ind w:left="70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u w:val="single" w:color="auto"/>
          <w:color w:val="0000FF"/>
        </w:rPr>
        <w:t>31.2</w:t>
      </w:r>
      <w:r>
        <w:rPr>
          <w:sz w:val="20"/>
          <w:szCs w:val="20"/>
          <w:color w:val="auto"/>
        </w:rPr>
        <w:tab/>
      </w:r>
      <w:hyperlink w:anchor="page129">
        <w:r>
          <w:rPr>
            <w:rFonts w:ascii="Arial" w:cs="Arial" w:eastAsia="Arial" w:hAnsi="Arial"/>
            <w:sz w:val="16"/>
            <w:szCs w:val="16"/>
            <w:u w:val="single" w:color="auto"/>
            <w:color w:val="0000FF"/>
          </w:rPr>
          <w:t>Section 302 Certification of Scott W. Kingsmore, Chief Financial Officer</w:t>
        </w:r>
      </w:hyperlink>
    </w:p>
    <w:p>
      <w:pPr>
        <w:spacing w:after="0" w:line="320" w:lineRule="exact"/>
        <w:rPr>
          <w:rFonts w:ascii="Arial" w:cs="Arial" w:eastAsia="Arial" w:hAnsi="Arial"/>
          <w:sz w:val="18"/>
          <w:szCs w:val="18"/>
          <w:u w:val="single" w:color="auto"/>
          <w:color w:val="0000FF"/>
        </w:rPr>
      </w:pPr>
    </w:p>
    <w:p>
      <w:pPr>
        <w:ind w:left="70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u w:val="single" w:color="auto"/>
          <w:color w:val="0000FF"/>
        </w:rPr>
        <w:t>32.1</w:t>
      </w:r>
      <w:r>
        <w:rPr>
          <w:rFonts w:ascii="Arial" w:cs="Arial" w:eastAsia="Arial" w:hAnsi="Arial"/>
          <w:sz w:val="18"/>
          <w:szCs w:val="18"/>
          <w:color w:val="0000FF"/>
        </w:rPr>
        <w:t xml:space="preserve"> </w:t>
      </w:r>
      <w:r>
        <w:rPr>
          <w:rFonts w:ascii="Arial" w:cs="Arial" w:eastAsia="Arial" w:hAnsi="Arial"/>
          <w:sz w:val="18"/>
          <w:szCs w:val="18"/>
          <w:color w:val="000000"/>
        </w:rPr>
        <w:t>**</w:t>
      </w:r>
      <w:r>
        <w:rPr>
          <w:sz w:val="20"/>
          <w:szCs w:val="20"/>
          <w:color w:val="auto"/>
        </w:rPr>
        <w:tab/>
      </w:r>
      <w:hyperlink w:anchor="page130">
        <w:r>
          <w:rPr>
            <w:rFonts w:ascii="Arial" w:cs="Arial" w:eastAsia="Arial" w:hAnsi="Arial"/>
            <w:sz w:val="16"/>
            <w:szCs w:val="16"/>
            <w:u w:val="single" w:color="auto"/>
            <w:color w:val="0000FF"/>
          </w:rPr>
          <w:t>Section 906 Certifications of Thomas E. O'Hern and Scott W. Kingsmore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60" w:top="941" w:right="29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92"/>
        </w:trPr>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Exhibit Number</w:t>
            </w:r>
          </w:p>
        </w:tc>
        <w:tc>
          <w:tcPr>
            <w:tcW w:w="10160" w:type="dxa"/>
            <w:vAlign w:val="bottom"/>
            <w:tcBorders>
              <w:bottom w:val="single" w:sz="8" w:color="auto"/>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240" w:type="dxa"/>
            <w:vAlign w:val="bottom"/>
          </w:tcPr>
          <w:p>
            <w:pPr>
              <w:jc w:val="right"/>
              <w:ind w:right="113"/>
              <w:spacing w:after="0"/>
              <w:rPr>
                <w:sz w:val="20"/>
                <w:szCs w:val="20"/>
                <w:color w:val="auto"/>
              </w:rPr>
            </w:pPr>
            <w:r>
              <w:rPr>
                <w:rFonts w:ascii="Arial" w:cs="Arial" w:eastAsia="Arial" w:hAnsi="Arial"/>
                <w:sz w:val="18"/>
                <w:szCs w:val="18"/>
                <w:color w:val="auto"/>
              </w:rPr>
              <w:t>101.SCH</w:t>
            </w:r>
          </w:p>
        </w:tc>
        <w:tc>
          <w:tcPr>
            <w:tcW w:w="1016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527"/>
        </w:trPr>
        <w:tc>
          <w:tcPr>
            <w:tcW w:w="1240" w:type="dxa"/>
            <w:vAlign w:val="bottom"/>
          </w:tcPr>
          <w:p>
            <w:pPr>
              <w:jc w:val="right"/>
              <w:ind w:right="113"/>
              <w:spacing w:after="0"/>
              <w:rPr>
                <w:sz w:val="20"/>
                <w:szCs w:val="20"/>
                <w:color w:val="auto"/>
              </w:rPr>
            </w:pPr>
            <w:r>
              <w:rPr>
                <w:rFonts w:ascii="Arial" w:cs="Arial" w:eastAsia="Arial" w:hAnsi="Arial"/>
                <w:sz w:val="18"/>
                <w:szCs w:val="18"/>
                <w:color w:val="auto"/>
              </w:rPr>
              <w:t>101.CAL</w:t>
            </w:r>
          </w:p>
        </w:tc>
        <w:tc>
          <w:tcPr>
            <w:tcW w:w="1016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27"/>
        </w:trPr>
        <w:tc>
          <w:tcPr>
            <w:tcW w:w="1240" w:type="dxa"/>
            <w:vAlign w:val="bottom"/>
          </w:tcPr>
          <w:p>
            <w:pPr>
              <w:jc w:val="right"/>
              <w:ind w:right="113"/>
              <w:spacing w:after="0"/>
              <w:rPr>
                <w:sz w:val="20"/>
                <w:szCs w:val="20"/>
                <w:color w:val="auto"/>
              </w:rPr>
            </w:pPr>
            <w:r>
              <w:rPr>
                <w:rFonts w:ascii="Arial" w:cs="Arial" w:eastAsia="Arial" w:hAnsi="Arial"/>
                <w:sz w:val="18"/>
                <w:szCs w:val="18"/>
                <w:color w:val="auto"/>
              </w:rPr>
              <w:t>101.LAB</w:t>
            </w:r>
          </w:p>
        </w:tc>
        <w:tc>
          <w:tcPr>
            <w:tcW w:w="101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27"/>
        </w:trPr>
        <w:tc>
          <w:tcPr>
            <w:tcW w:w="1240" w:type="dxa"/>
            <w:vAlign w:val="bottom"/>
          </w:tcPr>
          <w:p>
            <w:pPr>
              <w:jc w:val="right"/>
              <w:ind w:right="113"/>
              <w:spacing w:after="0"/>
              <w:rPr>
                <w:sz w:val="20"/>
                <w:szCs w:val="20"/>
                <w:color w:val="auto"/>
              </w:rPr>
            </w:pPr>
            <w:r>
              <w:rPr>
                <w:rFonts w:ascii="Arial" w:cs="Arial" w:eastAsia="Arial" w:hAnsi="Arial"/>
                <w:sz w:val="18"/>
                <w:szCs w:val="18"/>
                <w:color w:val="auto"/>
              </w:rPr>
              <w:t>101.PRE</w:t>
            </w:r>
          </w:p>
        </w:tc>
        <w:tc>
          <w:tcPr>
            <w:tcW w:w="1016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527"/>
        </w:trPr>
        <w:tc>
          <w:tcPr>
            <w:tcW w:w="1240" w:type="dxa"/>
            <w:vAlign w:val="bottom"/>
          </w:tcPr>
          <w:p>
            <w:pPr>
              <w:jc w:val="right"/>
              <w:ind w:right="113"/>
              <w:spacing w:after="0"/>
              <w:rPr>
                <w:sz w:val="20"/>
                <w:szCs w:val="20"/>
                <w:color w:val="auto"/>
              </w:rPr>
            </w:pPr>
            <w:r>
              <w:rPr>
                <w:rFonts w:ascii="Arial" w:cs="Arial" w:eastAsia="Arial" w:hAnsi="Arial"/>
                <w:sz w:val="18"/>
                <w:szCs w:val="18"/>
                <w:color w:val="auto"/>
              </w:rPr>
              <w:t>101.DEF</w:t>
            </w:r>
          </w:p>
        </w:tc>
        <w:tc>
          <w:tcPr>
            <w:tcW w:w="1016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96" w:lineRule="exact"/>
        <w:rPr>
          <w:sz w:val="20"/>
          <w:szCs w:val="20"/>
          <w:color w:val="auto"/>
        </w:rPr>
      </w:pPr>
    </w:p>
    <w:p>
      <w:pPr>
        <w:ind w:left="1440" w:right="480" w:hanging="680"/>
        <w:spacing w:after="0" w:line="277" w:lineRule="auto"/>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Represents a management contract, or compensatory plan, contract or arrangement required to be filed pursuant to Regulation S-K.</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2020.</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MACERICH COMPANY</w:t>
      </w:r>
    </w:p>
    <w:p>
      <w:pPr>
        <w:spacing w:after="0" w:line="283" w:lineRule="exact"/>
        <w:rPr>
          <w:sz w:val="20"/>
          <w:szCs w:val="20"/>
          <w:color w:val="auto"/>
        </w:rPr>
      </w:pPr>
    </w:p>
    <w:p>
      <w:pPr>
        <w:ind w:left="526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Thomas E. O'Hern</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39" w:right="279" w:bottom="1440" w:gutter="0" w:footer="0" w:header="0"/>
        </w:sectPr>
      </w:pPr>
    </w:p>
    <w:bookmarkStart w:id="114" w:name="page115"/>
    <w:bookmarkEnd w:id="114"/>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900"/>
          </w:cols>
          <w:pgMar w:left="240" w:top="1044" w:right="759" w:bottom="1440" w:gutter="0" w:footer="0" w:header="0"/>
        </w:sectPr>
      </w:pPr>
    </w:p>
    <w:p>
      <w:pPr>
        <w:spacing w:after="0" w:line="378" w:lineRule="exact"/>
        <w:rPr>
          <w:sz w:val="20"/>
          <w:szCs w:val="20"/>
          <w:color w:val="auto"/>
        </w:rPr>
      </w:pPr>
    </w:p>
    <w:p>
      <w:pPr>
        <w:ind w:left="1780"/>
        <w:spacing w:after="0"/>
        <w:tabs>
          <w:tab w:leader="none" w:pos="63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Capacity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Date</w:t>
      </w:r>
    </w:p>
    <w:p>
      <w:pPr>
        <w:spacing w:after="0" w:line="61" w:lineRule="exact"/>
        <w:rPr>
          <w:sz w:val="20"/>
          <w:szCs w:val="20"/>
          <w:color w:val="auto"/>
        </w:rPr>
      </w:pPr>
    </w:p>
    <w:p>
      <w:pPr>
        <w:sectPr>
          <w:pgSz w:w="11900" w:h="16838" w:orient="portrait"/>
          <w:cols w:equalWidth="0" w:num="2">
            <w:col w:w="9360" w:space="720"/>
            <w:col w:w="820"/>
          </w:cols>
          <w:pgMar w:left="240" w:top="1044" w:right="759" w:bottom="1440" w:gutter="0" w:footer="0" w:header="0"/>
          <w:type w:val="continuous"/>
        </w:sectPr>
      </w:pPr>
    </w:p>
    <w:p>
      <w:pPr>
        <w:jc w:val="center"/>
        <w:ind w:left="6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Thomas E. O'Hern</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EDWARD C.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Edward C. Coppola</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PEGGY ALFORD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Peggy Alford</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JOHN H. ALSCHULER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H. Alschuler</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ERIC K. BRANDT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Eric K. Brandt</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STEVEN R. 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Steven R. Hash</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DANIEL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Daniel J. Hirsch</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DIANA M. LAING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Diana M. Laing</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STEVEN L. SOBOROFF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Steven L. Soboroff</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ANDREA M.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Andrea M. Stephen</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44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Scott W. Kingsmore</w:t>
      </w:r>
    </w:p>
    <w:p>
      <w:pPr>
        <w:spacing w:after="0" w:line="6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CHRISTOPHER J. ZECCHINI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244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8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Christopher J. Zecchini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Chairman of Board of Directors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Vice President, Treasurer and Chief Financial Officer (Principal Financial Officer)</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Senior Vice President and Chief Accounting Officer (Principal Accounting Officer)</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426" w:lineRule="exact"/>
        <w:rPr>
          <w:sz w:val="20"/>
          <w:szCs w:val="20"/>
          <w:color w:val="auto"/>
        </w:rPr>
      </w:pPr>
    </w:p>
    <w:p>
      <w:pPr>
        <w:sectPr>
          <w:pgSz w:w="11900" w:h="16838" w:orient="portrait"/>
          <w:cols w:equalWidth="0" w:num="3">
            <w:col w:w="3540" w:space="720"/>
            <w:col w:w="4620" w:space="680"/>
            <w:col w:w="1340"/>
          </w:cols>
          <w:pgMar w:left="240" w:top="1044"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900"/>
          </w:cols>
          <w:pgMar w:left="240" w:top="1044" w:right="75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the Registrant’s Securities Registered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12 of the Securities Exchange Act of 1934, as amended</w:t>
      </w: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common stock, par value $0.01 per share (“Common Stock”), of The Macerich Company (“Macerich,” “we,” or “our”) is registered under Section 12 of the Securities Exchange Act of 1934, as amended (the “Exchange Act”). The following description sets forth certain general terms and provisions of our Common Stock. These descriptions are in all respects subject to and qualified in their entirety by, and should be read in conjunction with, the applicable provisions of our Articles of Amendment and Restatement, as further amended and supplemented (our “Articles”), and our Amended and Restated Bylaws (our “Bylaws”), each of which is incorporated herein by reference and copies of which are incorporated by reference as exhibits to our most recent Annual Report on Form 10-K filed with the Securities and Exchange Commission, and the applicable provisions of the Maryland General Corporation Law (the “MGCL”).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Our Articles authorize us to issue up to 325,000,000 shares of capital stock, consisting of 250,000,000 shares of Common Stock, 15,000,000 shares of preferred stock, par value $0.01 per share (“Preferred Stock”), and 60,000,000 shares of excess stock, par value $0.01 per share (“Excess Stock”).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Subject to the provisions of our Articles regarding Excess Stock, the holders of our Common Stock have full voting rights, one vote for each share held of record.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Subject to the provisions of our Articles regarding Excess Stock and the rights of any holders of Preferred Stock, holders of our Common Stock are entitled to receive the dividends authorized by our board of directors and declared by us out of funds legally available for this purpose.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Liquidation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Holders of our Common Stock have no preemptive or other subscription or conversion rights. Our Common Stock is not subject to assessment or any sinking fund.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Exchange Listing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are listed on the New York Stock Exchange under the symbol “MAC”.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color w:val="auto"/>
        </w:rPr>
        <w:t>Relationship to Preferred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our Articles,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shares of our Common Stock might receive a premium for their shares over the then prevailing market price of those shares or which such holders might believe to be otherwise in their best interests.</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currently have 1,961,345 shares of Series D Cumulative Convertible Preferred Stock (the “Series D Preferred Stock”) authorized under our Articles, none of which are outstanding. If issued, shares of the Series D Preferred Stock could be converted into shares of our Common Stock based on a formula set forth in the applicable Articles Supplementary. Rights of holders of the Series D Preferred Stock include dividend and liquidation preferences over the holders of shares of our Common Stock and, in some circumstances, voting rights preferences over the holders of shares of our Common Stock.</w:t>
      </w:r>
    </w:p>
    <w:p>
      <w:pPr>
        <w:spacing w:after="0" w:line="127" w:lineRule="exact"/>
        <w:rPr>
          <w:sz w:val="20"/>
          <w:szCs w:val="20"/>
          <w:color w:val="auto"/>
        </w:rPr>
      </w:pPr>
    </w:p>
    <w:p>
      <w:pPr>
        <w:ind w:right="1160"/>
        <w:spacing w:after="0" w:line="454" w:lineRule="auto"/>
        <w:rPr>
          <w:sz w:val="20"/>
          <w:szCs w:val="20"/>
          <w:color w:val="auto"/>
        </w:rPr>
      </w:pPr>
      <w:r>
        <w:rPr>
          <w:rFonts w:ascii="Arial" w:cs="Arial" w:eastAsia="Arial" w:hAnsi="Arial"/>
          <w:sz w:val="18"/>
          <w:szCs w:val="18"/>
          <w:color w:val="auto"/>
        </w:rPr>
        <w:t xml:space="preserve">See “Selected Provisions of Maryland Law and of Our Articles and Bylaws—Power to Reclassify Shares of Our Stock” for more information. </w:t>
      </w:r>
      <w:r>
        <w:rPr>
          <w:rFonts w:ascii="Arial" w:cs="Arial" w:eastAsia="Arial" w:hAnsi="Arial"/>
          <w:sz w:val="18"/>
          <w:szCs w:val="18"/>
          <w:b w:val="1"/>
          <w:bCs w:val="1"/>
          <w:color w:val="auto"/>
        </w:rPr>
        <w:t>Restrictions on Transfer and Ownership</w:t>
      </w:r>
    </w:p>
    <w:p>
      <w:pPr>
        <w:jc w:val="both"/>
        <w:ind w:right="20"/>
        <w:spacing w:after="0" w:line="277" w:lineRule="auto"/>
        <w:rPr>
          <w:sz w:val="20"/>
          <w:szCs w:val="20"/>
          <w:color w:val="auto"/>
        </w:rPr>
      </w:pPr>
      <w:r>
        <w:rPr>
          <w:rFonts w:ascii="Arial" w:cs="Arial" w:eastAsia="Arial" w:hAnsi="Arial"/>
          <w:sz w:val="18"/>
          <w:szCs w:val="18"/>
          <w:color w:val="auto"/>
        </w:rPr>
        <w:t>For us to qualify as a real estate investment trust (“REIT”) under the Internal Revenue Code of 1986, as amended (the “Code”), both of the following conditions relating to ownership of shares must be satisfied:</w:t>
      </w:r>
    </w:p>
    <w:p>
      <w:pPr>
        <w:spacing w:after="0" w:line="157" w:lineRule="exact"/>
        <w:rPr>
          <w:sz w:val="20"/>
          <w:szCs w:val="20"/>
          <w:color w:val="auto"/>
        </w:rPr>
      </w:pPr>
    </w:p>
    <w:p>
      <w:pPr>
        <w:jc w:val="both"/>
        <w:ind w:left="660" w:hanging="328"/>
        <w:spacing w:after="0" w:line="27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w:t>
      </w:r>
    </w:p>
    <w:p>
      <w:pPr>
        <w:spacing w:after="0" w:line="210"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of our capital stock must be beneficially owned by 100 or more persons during at least 335 days of a taxable year of 12 months or during a proportionate part of a shorter taxable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Articles Restrict the Ownership and Transfer of Shares of Our Capital Stock</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Subject to exceptions specified in our Articles,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Articles exclude from the ownership limit some persons and their respective families and affiliates, but provides that no excluded participant may own (directly or indirectly) more than the excluded participant’s percentage limitation, as described below under “—Issuance of Excess Stock.”</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Articles provide that any purported transfer or issuance of shares, or other event, will be null and void if it results in a “prohibited event.” The intended transferee or purported owner in a transaction that results in 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422" w:right="239" w:bottom="1440" w:gutter="0" w:footer="0" w:header="0"/>
        </w:sectPr>
      </w:pPr>
    </w:p>
    <w:bookmarkStart w:id="117" w:name="page118"/>
    <w:bookmarkEnd w:id="117"/>
    <w:p>
      <w:pPr>
        <w:jc w:val="both"/>
        <w:spacing w:after="0" w:line="277" w:lineRule="auto"/>
        <w:rPr>
          <w:sz w:val="20"/>
          <w:szCs w:val="20"/>
          <w:color w:val="auto"/>
        </w:rPr>
      </w:pPr>
      <w:r>
        <w:rPr>
          <w:rFonts w:ascii="Arial" w:cs="Arial" w:eastAsia="Arial" w:hAnsi="Arial"/>
          <w:sz w:val="18"/>
          <w:szCs w:val="18"/>
          <w:color w:val="auto"/>
        </w:rPr>
        <w:t>prohibited event will not acquire, and will retain no rights to, or economic interest in, those shares of stock. For more information, see the section entitled “— Issuance of Excess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Excess Stock</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Articles provide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w:t>
      </w:r>
    </w:p>
    <w:p>
      <w:pPr>
        <w:spacing w:after="0" w:line="154" w:lineRule="exact"/>
        <w:rPr>
          <w:sz w:val="20"/>
          <w:szCs w:val="20"/>
          <w:color w:val="auto"/>
        </w:rPr>
      </w:pPr>
    </w:p>
    <w:p>
      <w:pPr>
        <w:jc w:val="both"/>
        <w:ind w:left="660" w:hanging="328"/>
        <w:spacing w:after="0" w:line="26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person owning (directly or indirectly) shares of our stock in excess of the ownership limit as determined in accordance with our Articles or owning (directly or indirectly) more than a specified percentage of our Common Stock as determined in accordance with our Articles (that person’s “percentage limitation”);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shares of our Common Stock and Preferred Stock being owned by fewer than 100 persons (determined without reference to any rules of attribution);</w:t>
      </w:r>
    </w:p>
    <w:p>
      <w:pPr>
        <w:spacing w:after="0" w:line="287" w:lineRule="exact"/>
        <w:rPr>
          <w:rFonts w:ascii="Arial" w:cs="Arial" w:eastAsia="Arial" w:hAnsi="Arial"/>
          <w:sz w:val="16"/>
          <w:szCs w:val="16"/>
          <w:color w:val="auto"/>
        </w:rPr>
      </w:pPr>
    </w:p>
    <w:p>
      <w:pPr>
        <w:ind w:left="660" w:hanging="328"/>
        <w:spacing w:after="0" w:line="29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becoming “closely held” under Section 856(h) of the Code (determined without regard to Code Section 856(h)(2) and by deleting the words “the last half of” in the first sentence of Code Section 542(a)(2) in applying Code Section 856(h)); or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disqualification as a REIT.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Articles further provide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Articles.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Articles contain provisions that prohibit the purported transferee of shares of Excess Stock from receiving in return for the transfer an amount that reflects any appreciation in the original shares during the period that the shares of Excess Stock were outstanding. Our Articles require any amount received by a purported transferee, in excess of the amount permitted to be received, to be paid to the beneficiary.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Articles further provide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22" w:right="239" w:bottom="1440" w:gutter="0" w:footer="0" w:header="0"/>
        </w:sectPr>
      </w:pPr>
    </w:p>
    <w:bookmarkStart w:id="118" w:name="page119"/>
    <w:bookmarkEnd w:id="118"/>
    <w:p>
      <w:pPr>
        <w:jc w:val="both"/>
        <w:spacing w:after="0" w:line="264" w:lineRule="auto"/>
        <w:rPr>
          <w:sz w:val="20"/>
          <w:szCs w:val="20"/>
          <w:color w:val="auto"/>
        </w:rPr>
      </w:pPr>
      <w:r>
        <w:rPr>
          <w:rFonts w:ascii="Arial" w:cs="Arial" w:eastAsia="Arial" w:hAnsi="Arial"/>
          <w:sz w:val="18"/>
          <w:szCs w:val="18"/>
          <w:color w:val="auto"/>
        </w:rPr>
        <w:t>price of the relevant shares on the date we, or our designee, accept the offer to purchase the shares of Excess Stock. The 90-day period begins on the date of the prohibited transfer if the purported transferee gives notice to us of the transfer or, if no notice is given, the date our board of directors determines in good faith that a prohibited transfer has occurred.</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contained in our Articles will not be automatically removed even if the REIT provisions of the Code are changed so as to no longer contain any ownership concentration limitation or if the ownership concentration limitation is increased. Amendments to our Articles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Any certificates representing shares of our Common Stock and our Preferred Stock bear, or will bear, a legend referring to the restrictions described above.</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persons who own, directly or by virtue of the attribution provisions of the Code, more than 5% of our outstanding stock must file an affidavit with us containing the information specified in our Articles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Provisions of Maryland Law and of Our Articles and Bylaws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ownership limit, certain provisions of our Articles, Bylaws and the MGCL may delay, defer or prevent a change of control or other transaction in which holders of some, or a majority, of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to Reclassify Shares of Our Stock</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Articles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Articles will be set forth in articles supplementary filed with the State Department of Assessments and Taxation of Maryland prior to the issuance of any classified or reclassified stock.</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Articles also authorize our board of directors to issue one or more classes or series of Common Stock or Preferred Stock and authorize the creation and issuance of rights entitling holders thereof to purchase from us shares of stock or other securities or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of Director Nominations and New Business; Procedures for Special Meetings Requested by Stockholders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Articles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w:t>
      </w:r>
    </w:p>
    <w:p>
      <w:pPr>
        <w:spacing w:after="0" w:line="173"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our notice of the meeting;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422" w:right="239" w:bottom="1440" w:gutter="0" w:footer="0" w:header="0"/>
        </w:sectPr>
      </w:pPr>
    </w:p>
    <w:bookmarkStart w:id="119" w:name="page120"/>
    <w:bookmarkEnd w:id="119"/>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or at the direction of our board of directors;</w:t>
      </w:r>
    </w:p>
    <w:p>
      <w:pPr>
        <w:spacing w:after="0" w:line="26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any stockholder who is a stockholder of record both at the time such stockholder gives the notice required by our Bylaws and at the time of the annual meeting, who is entitled to vote at the meeting in the election of each individual so nominated or on the proposal of other business, as the case may be, and who has complied with the advance notice procedures, including minimum and maximum time periods, set forth in our Articles and Bylaws; or</w:t>
      </w:r>
    </w:p>
    <w:p>
      <w:pPr>
        <w:spacing w:after="0" w:line="212"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w:t>
      </w:r>
    </w:p>
    <w:p>
      <w:pPr>
        <w:spacing w:after="0" w:line="13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w:t>
      </w:r>
    </w:p>
    <w:p>
      <w:pPr>
        <w:spacing w:after="0" w:line="13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or at the direction of our board of directors;</w:t>
      </w:r>
    </w:p>
    <w:p>
      <w:pPr>
        <w:spacing w:after="0" w:line="265"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w:t>
      </w:r>
    </w:p>
    <w:p>
      <w:pPr>
        <w:spacing w:after="0" w:line="150"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provided that the special meeting has been called in accordance with our Bylaws for the purpose of electing directors, by any stockholder who is a stockholder of record both at the time such stockholder gives the notice required by our Bylaws and at the time of the special meeting, who is entitled to vote at the meeting in the election of each individual so nominated and who has complied with the advance notice procedures, including minimum and maximum time periods, set forth in our Bylaws.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for Our Original Founders from the Maryland Business Combination Act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16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voting stock; or</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immediately prior to the date in question, was the beneficial</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 directly or indirectly, of 10% or more of the voting power of the then outstanding stock of the corporation.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435" w:right="239" w:bottom="1440" w:gutter="0" w:footer="0" w:header="0"/>
        </w:sectPr>
      </w:pPr>
    </w:p>
    <w:bookmarkStart w:id="120" w:name="page121"/>
    <w:bookmarkEnd w:id="120"/>
    <w:p>
      <w:pPr>
        <w:jc w:val="both"/>
        <w:spacing w:after="0" w:line="264" w:lineRule="auto"/>
        <w:rPr>
          <w:sz w:val="20"/>
          <w:szCs w:val="20"/>
          <w:color w:val="auto"/>
        </w:rPr>
      </w:pPr>
      <w:r>
        <w:rPr>
          <w:rFonts w:ascii="Arial" w:cs="Arial" w:eastAsia="Arial" w:hAnsi="Arial"/>
          <w:sz w:val="18"/>
          <w:szCs w:val="18"/>
          <w:color w:val="auto"/>
        </w:rPr>
        <w:t>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permitted by the MGCL, our Articles exempt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Non-Stockholder Constituencies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Articles,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Share Acquisitions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Articles exempt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Unsolicited Takeovers Act</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board of directors has approved a resolution prohibiting us from unilaterally electing to be subject to Sections 3-803, 3-804 and 3-805 of Subtitle 8 of Title 3 of the MGCL (“MUTA”). MUTA permits a Maryland corporation with a class of equity securities registered under the Exchange Act and at least three independent directors to elect, notwithstanding any contrary provision in its charter or bylaws, to be subject to any or all of the following five provisions:</w:t>
      </w:r>
    </w:p>
    <w:p>
      <w:pPr>
        <w:spacing w:after="0" w:line="12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3-803 – requiring classification of the board of directors into three classes;</w:t>
      </w:r>
    </w:p>
    <w:p>
      <w:pPr>
        <w:spacing w:after="0" w:line="265" w:lineRule="exact"/>
        <w:rPr>
          <w:rFonts w:ascii="Arial" w:cs="Arial" w:eastAsia="Arial" w:hAnsi="Arial"/>
          <w:sz w:val="18"/>
          <w:szCs w:val="18"/>
          <w:color w:val="auto"/>
        </w:rPr>
      </w:pPr>
    </w:p>
    <w:p>
      <w:pPr>
        <w:ind w:left="660" w:right="20" w:hanging="328"/>
        <w:spacing w:after="0" w:line="29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3-804(a) – requiring that stockholders may remove any director by the affirmative vote of at least two-thirds of all the votes entitled to be cast by the stockholders generally in the election of directors;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3-804(b) – requiring that the number of directors be fixed only by vote of the board of directors;</w:t>
      </w:r>
    </w:p>
    <w:p>
      <w:pPr>
        <w:spacing w:after="0" w:line="265" w:lineRule="exact"/>
        <w:rPr>
          <w:rFonts w:ascii="Arial" w:cs="Arial" w:eastAsia="Arial" w:hAnsi="Arial"/>
          <w:sz w:val="18"/>
          <w:szCs w:val="18"/>
          <w:color w:val="auto"/>
        </w:rPr>
      </w:pPr>
    </w:p>
    <w:p>
      <w:pPr>
        <w:ind w:left="660" w:right="20" w:hanging="328"/>
        <w:spacing w:after="0" w:line="360"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Section 3-804(c) – requiring that any vacancy on the board of directors be filled only by the affirmative vote of a majority of the remaining directors for the remainder of the full term of the class of directors in which the vacancy occurred and until a successor is elected and qualifies; and</w:t>
      </w:r>
    </w:p>
    <w:p>
      <w:pPr>
        <w:spacing w:after="0" w:line="150" w:lineRule="exact"/>
        <w:rPr>
          <w:rFonts w:ascii="Arial" w:cs="Arial" w:eastAsia="Arial" w:hAnsi="Arial"/>
          <w:sz w:val="16"/>
          <w:szCs w:val="16"/>
          <w:color w:val="auto"/>
        </w:rPr>
      </w:pPr>
    </w:p>
    <w:p>
      <w:pPr>
        <w:ind w:left="660" w:hanging="328"/>
        <w:spacing w:after="0" w:line="29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3-805 – requiring that a special meeting of stockholders may be called only upon the written request of stockholders entitled to cast at least a majority of all the votes entitled to be cast at the meeting.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422" w:right="239" w:bottom="1440" w:gutter="0" w:footer="0" w:header="0"/>
        </w:sectPr>
      </w:pPr>
    </w:p>
    <w:bookmarkStart w:id="121" w:name="page122"/>
    <w:bookmarkEnd w:id="121"/>
    <w:p>
      <w:pPr>
        <w:jc w:val="both"/>
        <w:spacing w:after="0" w:line="264" w:lineRule="auto"/>
        <w:rPr>
          <w:sz w:val="20"/>
          <w:szCs w:val="20"/>
          <w:color w:val="auto"/>
        </w:rPr>
      </w:pPr>
      <w:r>
        <w:rPr>
          <w:rFonts w:ascii="Arial" w:cs="Arial" w:eastAsia="Arial" w:hAnsi="Arial"/>
          <w:sz w:val="18"/>
          <w:szCs w:val="18"/>
          <w:color w:val="auto"/>
        </w:rPr>
        <w:t>Following our board of director’s resolution, we amended our Articles to provide that we are prohibited from electing to be subject to any of the foregoing provisions, and such prohibition may not be repealed unless a proposal to repeal such prohibition with respect to any such section is approved by the affirmative vote of a majority of all the votes entitled to be cast on the matter.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Our Articles and Bylaws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Except for those amendments permitted to be made without stockholder approval under the MGCL or by specific provision in our Articles, amendments to our Articles must be declared advisable by our board of directors and approved by the affirmative vote of stockholders entitled to cast a majority of all the votes entitled to be cast on the matter. Any amendment to our Articles related to the vote required to (i) remove a director, (ii) approve any extraordinary transaction </w:t>
      </w:r>
      <w:r>
        <w:rPr>
          <w:rFonts w:ascii="Arial" w:cs="Arial" w:eastAsia="Arial" w:hAnsi="Arial"/>
          <w:sz w:val="16"/>
          <w:szCs w:val="16"/>
          <w:i w:val="1"/>
          <w:iCs w:val="1"/>
          <w:color w:val="auto"/>
        </w:rPr>
        <w:t>(i.e.</w:t>
      </w:r>
      <w:r>
        <w:rPr>
          <w:rFonts w:ascii="Arial" w:cs="Arial" w:eastAsia="Arial" w:hAnsi="Arial"/>
          <w:sz w:val="16"/>
          <w:szCs w:val="16"/>
          <w:color w:val="auto"/>
        </w:rPr>
        <w:t>, merger, share exchange, consolidation, conversion and sale of all or substantially all of our assets) or (iii) amend the provisions in our Articles relating to these matters requires the affirmative vote of stockholders entitled to cast two-thirds of all the votes entitled to be cast on the matter.</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Articles,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Removal</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Subject to the rights of holders of any series of Preferred Stock, our Articles provide that a director may be removed only for cause and only by the affirmative vote of the holders of shares entitled to cast at least two-thirds of the votes entitled to be cast generally in the election of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Dissolution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dissolution must be approved by our board of directors and by the affirmative vote of not less than a majority of all of the votes entitled to be cast on the matter.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Supermajority Vote for Extraordinary Corporate Actions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MGCL, a Maryland corporation generally cannot dissolve, amend its charter, merge, convert into another entity, sell all or substantially all of its assets, or engage in a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Articles, which provide that amendments to the Articles (except for certain instances) and dissolution must be approved by the vote of holders of a majority of our outstanding shares of Common Stock entitled to vote on the matter, our Articles do not provide for a lesser percentage in these situations.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Bylaws provide that, unless our board of directors agrees otherwise, (i) any derivative action or proceeding, (ii) any action asserting a claim of breach of any duty owed by any of our directors, officers or other employees to us or our stockholders, (iii) any action asserting a claim against us or any of our directors, officers or other employees pursuant to the MGCL, or our Articles or Bylaws and (iv) claims governed by the internal affairs doctrine must be brought in the Circuit Court for Baltimore City, Maryland (or if that court does not have jurisdiction, the United States District Court for the District of Maryland, Baltimore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422"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21.1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 OF SUBSIDIARIES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443 WABASH MA OWNER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801-GALLERY ASSOCIATES, L.P., a Pennsylvania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801-GALLERY C-3 ASSOCIATES,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801-GALLERY GP, LLC, a Pennsylvania limited liability company</w:t>
      </w:r>
    </w:p>
    <w:p>
      <w:pPr>
        <w:spacing w:after="0" w:line="108" w:lineRule="exact"/>
        <w:rPr>
          <w:sz w:val="20"/>
          <w:szCs w:val="20"/>
          <w:color w:val="auto"/>
        </w:rPr>
      </w:pPr>
    </w:p>
    <w:p>
      <w:pPr>
        <w:ind w:right="5480"/>
        <w:spacing w:after="0" w:line="352" w:lineRule="auto"/>
        <w:rPr>
          <w:sz w:val="20"/>
          <w:szCs w:val="20"/>
          <w:color w:val="auto"/>
        </w:rPr>
      </w:pPr>
      <w:r>
        <w:rPr>
          <w:rFonts w:ascii="Arial" w:cs="Arial" w:eastAsia="Arial" w:hAnsi="Arial"/>
          <w:sz w:val="20"/>
          <w:szCs w:val="20"/>
          <w:color w:val="auto"/>
        </w:rPr>
        <w:t>801 MARKET VENTURE GP LLC, a Delaware limited liability company AM TYSONS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BILTMORE SHOPPING CENTER PARTNERS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BROOKLYN KINGS PLAZA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CAM-CARSON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COOLIDGE HOLDING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CORTE MADERA VILLAGE,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COUNTRY CLUB PLAZA KC PARTNERS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DANBURY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DESERT SKY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EAST MESA ADJACENT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EAST MESA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FASHION OUTLETS II LLC, a Delaware limited liability company</w:t>
      </w:r>
    </w:p>
    <w:p>
      <w:pPr>
        <w:spacing w:after="0" w:line="108" w:lineRule="exact"/>
        <w:rPr>
          <w:sz w:val="20"/>
          <w:szCs w:val="20"/>
          <w:color w:val="auto"/>
        </w:rPr>
      </w:pPr>
    </w:p>
    <w:p>
      <w:pPr>
        <w:ind w:right="3760"/>
        <w:spacing w:after="0" w:line="363" w:lineRule="auto"/>
        <w:rPr>
          <w:sz w:val="20"/>
          <w:szCs w:val="20"/>
          <w:color w:val="auto"/>
        </w:rPr>
      </w:pPr>
      <w:r>
        <w:rPr>
          <w:rFonts w:ascii="Arial" w:cs="Arial" w:eastAsia="Arial" w:hAnsi="Arial"/>
          <w:sz w:val="19"/>
          <w:szCs w:val="19"/>
          <w:color w:val="auto"/>
        </w:rPr>
        <w:t>FASHION OUTLETS OF CHICAGO EXPANSION LLC, a Delaware limited liability company FASHION OUTLETS OF CHICAGO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FIFTH WALL VENTURES, L.P., a Delaware limited partnership</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FIFTH WALL VENTURES II, L.P., a Cayman Islands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FIFTH WALL VENTURES RETAIL FUND,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FOC ADJACENT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 RACE MALL REST., L.P., a New Jersey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FREEHOLD CHANDLER HOLDINGS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GOODYEAR PERIPHERAL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GREEN ACRES ADJACENT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HPP-MAC WSP, LLC, a Delaware limited liability company</w:t>
      </w:r>
    </w:p>
    <w:p>
      <w:pPr>
        <w:spacing w:after="0" w:line="108" w:lineRule="exact"/>
        <w:rPr>
          <w:sz w:val="20"/>
          <w:szCs w:val="20"/>
          <w:color w:val="auto"/>
        </w:rPr>
      </w:pPr>
    </w:p>
    <w:p>
      <w:pPr>
        <w:ind w:right="4540"/>
        <w:spacing w:after="0" w:line="331" w:lineRule="auto"/>
        <w:rPr>
          <w:sz w:val="20"/>
          <w:szCs w:val="20"/>
          <w:color w:val="auto"/>
        </w:rPr>
      </w:pPr>
      <w:r>
        <w:rPr>
          <w:rFonts w:ascii="Arial" w:cs="Arial" w:eastAsia="Arial" w:hAnsi="Arial"/>
          <w:sz w:val="20"/>
          <w:szCs w:val="20"/>
          <w:color w:val="auto"/>
        </w:rPr>
        <w:t>KIERLAND COMMONS INVESTMENT LLC, a Delaware limited liability company KINGS PLAZA ENERGY LLC, a Delaware limited liability company</w:t>
      </w:r>
    </w:p>
    <w:p>
      <w:pPr>
        <w:ind w:right="4480"/>
        <w:spacing w:after="0" w:line="391" w:lineRule="auto"/>
        <w:rPr>
          <w:sz w:val="20"/>
          <w:szCs w:val="20"/>
          <w:color w:val="auto"/>
        </w:rPr>
      </w:pPr>
      <w:r>
        <w:rPr>
          <w:rFonts w:ascii="Arial" w:cs="Arial" w:eastAsia="Arial" w:hAnsi="Arial"/>
          <w:sz w:val="19"/>
          <w:szCs w:val="19"/>
          <w:color w:val="auto"/>
        </w:rPr>
        <w:t>KINGS PLAZA GROUND LEASE LLC, a Delaware limited liability company MACERICH ARIZONA MANAGEMENT LLC, a Delaware limited liability company</w:t>
      </w:r>
    </w:p>
    <w:p>
      <w:pPr>
        <w:sectPr>
          <w:pgSz w:w="11900" w:h="16838" w:orient="portrait"/>
          <w:cols w:equalWidth="0" w:num="1">
            <w:col w:w="11420"/>
          </w:cols>
          <w:pgMar w:left="240" w:top="14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413" w:right="239" w:bottom="1440" w:gutter="0" w:footer="0" w:header="0"/>
          <w:type w:val="continuous"/>
        </w:sectPr>
      </w:pPr>
    </w:p>
    <w:bookmarkStart w:id="123" w:name="page124"/>
    <w:bookmarkEnd w:id="123"/>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MACERICH ARIZONA PARTNERS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BUENAVENTURA LIMITED PARTNERSHIP, a California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FARGO ASSOCIATES, a California general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FRESNO ADJACENT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FRESNO LIMITED PARTNERSHIP, a California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HHF BROADWAY PLAZA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HHF CENTERS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INLAND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INVESTMENTS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MACERICH JANSS MARKETPLACE HOLDINGS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MACERICH LA CUMBRE 9.45 AC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LA CUMBRE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LA CUMBRE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MANAGEMENT COMPANY, a California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NIAGARA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NORTH PARK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OAKS LP, a Delaware limited partnership</w:t>
      </w:r>
    </w:p>
    <w:p>
      <w:pPr>
        <w:spacing w:after="0" w:line="108" w:lineRule="exact"/>
        <w:rPr>
          <w:sz w:val="20"/>
          <w:szCs w:val="20"/>
          <w:color w:val="auto"/>
        </w:rPr>
      </w:pPr>
    </w:p>
    <w:p>
      <w:pPr>
        <w:ind w:right="3239"/>
        <w:spacing w:after="0" w:line="352" w:lineRule="auto"/>
        <w:rPr>
          <w:sz w:val="20"/>
          <w:szCs w:val="20"/>
          <w:color w:val="auto"/>
        </w:rPr>
      </w:pPr>
      <w:r>
        <w:rPr>
          <w:rFonts w:ascii="Arial" w:cs="Arial" w:eastAsia="Arial" w:hAnsi="Arial"/>
          <w:sz w:val="20"/>
          <w:szCs w:val="20"/>
          <w:color w:val="auto"/>
        </w:rPr>
        <w:t>MACERICH PARTNERS OF COLORADO LLC, a Colorado limited liability company MACERICH PPR CORP., a Maryland corporation</w:t>
      </w:r>
    </w:p>
    <w:p>
      <w:pPr>
        <w:spacing w:after="0" w:line="1" w:lineRule="exact"/>
        <w:rPr>
          <w:sz w:val="20"/>
          <w:szCs w:val="20"/>
          <w:color w:val="auto"/>
        </w:rPr>
      </w:pPr>
    </w:p>
    <w:p>
      <w:pPr>
        <w:ind w:right="2119"/>
        <w:spacing w:after="0" w:line="352" w:lineRule="auto"/>
        <w:rPr>
          <w:sz w:val="20"/>
          <w:szCs w:val="20"/>
          <w:color w:val="auto"/>
        </w:rPr>
      </w:pPr>
      <w:r>
        <w:rPr>
          <w:rFonts w:ascii="Arial" w:cs="Arial" w:eastAsia="Arial" w:hAnsi="Arial"/>
          <w:sz w:val="20"/>
          <w:szCs w:val="20"/>
          <w:color w:val="auto"/>
        </w:rPr>
        <w:t>MACERICH PROPERTY MANAGEMENT COMPANY, LLC, a Delaware limited liability company MACERICH SMP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MACERICH SOUTH PARK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SOUTHRIDGE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STONEWOOD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TYSONS LLC, a Delaware limited liability company</w:t>
      </w:r>
    </w:p>
    <w:p>
      <w:pPr>
        <w:spacing w:after="0" w:line="108" w:lineRule="exact"/>
        <w:rPr>
          <w:sz w:val="20"/>
          <w:szCs w:val="20"/>
          <w:color w:val="auto"/>
        </w:rPr>
      </w:pPr>
    </w:p>
    <w:p>
      <w:pPr>
        <w:ind w:right="3419"/>
        <w:spacing w:after="0" w:line="352" w:lineRule="auto"/>
        <w:rPr>
          <w:sz w:val="20"/>
          <w:szCs w:val="20"/>
          <w:color w:val="auto"/>
        </w:rPr>
      </w:pPr>
      <w:r>
        <w:rPr>
          <w:rFonts w:ascii="Arial" w:cs="Arial" w:eastAsia="Arial" w:hAnsi="Arial"/>
          <w:sz w:val="20"/>
          <w:szCs w:val="20"/>
          <w:color w:val="auto"/>
        </w:rPr>
        <w:t>MACERICH VALLEY RIVER CENTER LLC, a Delaware limited liability company MACERICH VICTOR VALLEY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MACERICH VINTAGE FAIRE LIMITED PARTNERSHIP,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MACJ,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MACPT LLC, a Delaware limited liability company</w:t>
      </w:r>
    </w:p>
    <w:p>
      <w:pPr>
        <w:spacing w:after="0" w:line="108" w:lineRule="exact"/>
        <w:rPr>
          <w:sz w:val="20"/>
          <w:szCs w:val="20"/>
          <w:color w:val="auto"/>
        </w:rPr>
      </w:pPr>
    </w:p>
    <w:p>
      <w:pPr>
        <w:ind w:right="4979"/>
        <w:spacing w:after="0" w:line="352" w:lineRule="auto"/>
        <w:rPr>
          <w:sz w:val="20"/>
          <w:szCs w:val="20"/>
          <w:color w:val="auto"/>
        </w:rPr>
      </w:pPr>
      <w:r>
        <w:rPr>
          <w:rFonts w:ascii="Arial" w:cs="Arial" w:eastAsia="Arial" w:hAnsi="Arial"/>
          <w:sz w:val="20"/>
          <w:szCs w:val="20"/>
          <w:color w:val="auto"/>
        </w:rPr>
        <w:t>MACW FREEHOLD, LLC, a Delaware limited liability company MACWH,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MACW MALL MANAGEMENT, INC., a New York corporation</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440" w:right="1440" w:bottom="1440" w:gutter="0" w:footer="0" w:header="0"/>
          <w:type w:val="continuous"/>
        </w:sectPr>
      </w:pPr>
    </w:p>
    <w:bookmarkStart w:id="124" w:name="page125"/>
    <w:bookmarkEnd w:id="124"/>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MACW PROPERTY MANAGEMENT, LLC, a New York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MACW TYSONS,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MS PORTFOLIO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MVRC HOLDING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MW INVESTMENT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NEW RIVER ASSOCIATES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NORTH BRIDGE CHICAGO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ONE SCOTTSDALE INVESTORS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PACIFIC PREMIER RETAIL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PARADISE VALLEY MALL SPE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PM GALLERY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PROPCOR II ASSOCIATES,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QUEENS CENTER REIT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QUEENS CENTER SPE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RAILHEAD ASSOCIATES,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SCOTTSDALE FASHION SQUARE PARTNERSHIP, an Arizona general partnership</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SM EASTLAND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SM VALLEY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MACERICH PARTNERSHIP,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THE WESTCOR COMPANY LIMITED PARTNERSHIP, an Arizona limited partnership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WESTCOR COMPANY II LIMITED PARTNERSHIP, an Arizona limited partnership</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TM TRS HOLDING COMPANY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TOWNE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TWC TUCSON,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TYSONS CORNER LLC, a Virginia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TYSONS CORNER HOTEL I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TYSONS CORNER PROPERTY HOLDINGS II LLC, a Delaware limited liability company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TYSONS CORNER PROPERTY LLC, a Virginia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VALLEY STREAM GREEN ACRES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WESTCOR/GOODYEAR,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GOODYEAR RSC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MARANA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WESTCOR/PARADISE RIDGE,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REALTY LIMITED PARTNERSHIP, a Delaware limited partnership</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1440" w:right="1440" w:bottom="1440" w:gutter="0" w:footer="0" w:header="0"/>
          <w:type w:val="continuous"/>
        </w:sectPr>
      </w:pPr>
    </w:p>
    <w:bookmarkStart w:id="125" w:name="page126"/>
    <w:bookmarkEnd w:id="125"/>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WESTCOR SANTAN ADJACENT LLC, a Delaware limited liability company</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WESTCOR SANTAN VILLAGE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WESTCOR SURPRISE CPC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SURPRISE RSC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WESTCOR/SURPRISE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WILTON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WMAP,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440"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333-219872, 333-107063, and 333-121630) on Form S-3 and (Nos. 333-00584, 333-42309, 333-42303, 333-69995, 333-108193, 333-120585, 333-161371, 333-186915, 333-186916, and 333-211816) on Form S-8 of The Macerich Company of our reports dated February 25, 2020, with respect to the consolidated balance sheets of The Macerich Company as of December 31, 2019 and 2018, the related consolidated statements of operations, comprehensive income, equity, and cash flows for each of the years in the three-year period ended December 31, 2019, and the related notes and financial statement Schedule III – Real Estate and Accumulated Depreciation, and the effectiveness of internal control over financial reporting as of December 31, 2019, which reports appear in the December 31, 2019 annual report on Form 10-K of The Macerich Company.</w:t>
      </w:r>
    </w:p>
    <w:p>
      <w:pPr>
        <w:spacing w:after="0" w:line="108"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 xml:space="preserve">Our report dated February 25, 2020 includes an explanatory paragraph related to The Macerich Company’s change in method of accounting for leases as of January 1, 2019 due to the adoption of FASB Accounting Standards Codification Topic 842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3"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 xml:space="preserve">Our report dated February 25, 2020 also includes an explanatory paragraph related to The Macerich Company’s change in method of accounting for certain historical property sales as of January 1, 2018 due to the adoption of FASB Accounting Standards Update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(ASC 606)</w:t>
      </w:r>
      <w:r>
        <w:rPr>
          <w:rFonts w:ascii="Arial" w:cs="Arial" w:eastAsia="Arial" w:hAnsi="Arial"/>
          <w:sz w:val="18"/>
          <w:szCs w:val="18"/>
          <w:color w:val="auto"/>
        </w:rPr>
        <w: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1418"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144"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2019 of The Macerich Company;</w:t>
      </w:r>
    </w:p>
    <w:p>
      <w:pPr>
        <w:spacing w:after="0" w:line="157"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1140" w:right="60" w:hanging="565"/>
        <w:spacing w:after="0" w:line="264" w:lineRule="auto"/>
        <w:tabs>
          <w:tab w:leader="none" w:pos="113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1140" w:right="380" w:hanging="565"/>
        <w:spacing w:after="0" w:line="264"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140" w:right="540" w:hanging="565"/>
        <w:spacing w:after="0" w:line="342" w:lineRule="auto"/>
        <w:tabs>
          <w:tab w:leader="none" w:pos="11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140" w:right="100" w:hanging="565"/>
        <w:spacing w:after="0" w:line="264"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140" w:right="800" w:hanging="565"/>
        <w:spacing w:after="0" w:line="342" w:lineRule="auto"/>
        <w:tabs>
          <w:tab w:leader="none" w:pos="11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140" w:right="500" w:hanging="565"/>
        <w:spacing w:after="0" w:line="277"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1045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280" w:val="left"/>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i w:val="1"/>
          <w:iCs w:val="1"/>
          <w:color w:val="auto"/>
        </w:rPr>
        <w:t>Chief Executive Officer and Director</w:t>
      </w:r>
    </w:p>
    <w:p>
      <w:pPr>
        <w:sectPr>
          <w:pgSz w:w="11900" w:h="16838" w:orient="portrait"/>
          <w:cols w:equalWidth="0" w:num="1">
            <w:col w:w="11420"/>
          </w:cols>
          <w:pgMar w:left="240" w:top="104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14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2019 of The Macerich Company;</w:t>
      </w:r>
    </w:p>
    <w:p>
      <w:pPr>
        <w:spacing w:after="0" w:line="15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1220" w:right="180" w:hanging="564"/>
        <w:spacing w:after="0" w:line="264" w:lineRule="auto"/>
        <w:tabs>
          <w:tab w:leader="none" w:pos="121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1220" w:right="300" w:hanging="564"/>
        <w:spacing w:after="0" w:line="264" w:lineRule="auto"/>
        <w:tabs>
          <w:tab w:leader="none" w:pos="12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220" w:right="460" w:hanging="564"/>
        <w:spacing w:after="0" w:line="342" w:lineRule="auto"/>
        <w:tabs>
          <w:tab w:leader="none" w:pos="121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220" w:right="20" w:hanging="564"/>
        <w:spacing w:after="0" w:line="264" w:lineRule="auto"/>
        <w:tabs>
          <w:tab w:leader="none" w:pos="12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220" w:right="720" w:hanging="564"/>
        <w:spacing w:after="0" w:line="342" w:lineRule="auto"/>
        <w:tabs>
          <w:tab w:leader="none" w:pos="1217"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220" w:right="420" w:hanging="564"/>
        <w:spacing w:after="0" w:line="277" w:lineRule="auto"/>
        <w:tabs>
          <w:tab w:leader="none" w:pos="12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35331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380"/>
        <w:spacing w:after="0"/>
        <w:tabs>
          <w:tab w:leader="none" w:pos="122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i w:val="1"/>
          <w:iCs w:val="1"/>
          <w:color w:val="auto"/>
        </w:rPr>
        <w:t>Executive Vice President and Chief Financial Officer</w:t>
      </w:r>
    </w:p>
    <w:p>
      <w:pPr>
        <w:sectPr>
          <w:pgSz w:w="11900" w:h="16838" w:orient="portrait"/>
          <w:cols w:equalWidth="0" w:num="1">
            <w:col w:w="11420"/>
          </w:cols>
          <w:pgMar w:left="240" w:top="1039"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 (The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SECTION 1350</w:t>
      </w:r>
    </w:p>
    <w:p>
      <w:pPr>
        <w:spacing w:after="0" w:line="143"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certify that, to the best of his knowledge:</w:t>
      </w:r>
    </w:p>
    <w:p>
      <w:pPr>
        <w:spacing w:after="0" w:line="103" w:lineRule="exact"/>
        <w:rPr>
          <w:sz w:val="20"/>
          <w:szCs w:val="20"/>
          <w:color w:val="auto"/>
        </w:rPr>
      </w:pPr>
    </w:p>
    <w:p>
      <w:pPr>
        <w:ind w:left="1300" w:right="920" w:hanging="732"/>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2019 of the Company (the "Report") fully complies with the requirements of Section 13(a) and 15(d) of the Securities Exchange Act of 1934; and</w:t>
      </w:r>
    </w:p>
    <w:p>
      <w:pPr>
        <w:spacing w:after="0" w:line="89" w:lineRule="exact"/>
        <w:rPr>
          <w:rFonts w:ascii="Arial" w:cs="Arial" w:eastAsia="Arial" w:hAnsi="Arial"/>
          <w:sz w:val="18"/>
          <w:szCs w:val="18"/>
          <w:color w:val="auto"/>
        </w:rPr>
      </w:pPr>
    </w:p>
    <w:p>
      <w:pPr>
        <w:ind w:left="1300" w:right="500" w:hanging="782"/>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14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8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420"/>
      </w:cols>
      <w:pgMar w:left="240" w:top="10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5"/>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2"/>
    </w:lvl>
  </w:abstractNum>
  <w:abstractNum w:abstractNumId="23">
    <w:nsid w:val="153EA438"/>
    <w:multiLevelType w:val="hybridMultilevel"/>
    <w:lvl w:ilvl="0">
      <w:lvlJc w:val="left"/>
      <w:lvlText w:val="(%1)"/>
      <w:numFmt w:val="decimal"/>
      <w:start w:val="7"/>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7"/>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endash "/>
      <w:numFmt w:val="bullet"/>
      <w:start w:val="1"/>
    </w:lvl>
  </w:abstractNum>
  <w:abstractNum w:abstractNumId="32">
    <w:nsid w:val="7A6D8D3C"/>
    <w:multiLevelType w:val="hybridMultilevel"/>
    <w:lvl w:ilvl="0">
      <w:lvlJc w:val="left"/>
      <w:lvlText w:val="%1."/>
      <w:numFmt w:val="decimal"/>
      <w:start w:val="2"/>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2"/>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0"/>
    </w:lvl>
    <w:lvl w:ilvl="1">
      <w:lvlJc w:val="left"/>
      <w:lvlText w:val="(%2)"/>
      <w:numFmt w:val="decimal"/>
      <w:start w:val="11"/>
    </w:lvl>
  </w:abstractNum>
  <w:abstractNum w:abstractNumId="44">
    <w:nsid w:val="79A1DEAA"/>
    <w:multiLevelType w:val="hybridMultilevel"/>
    <w:lvl w:ilvl="0">
      <w:lvlJc w:val="left"/>
      <w:lvlText w:val="%1."/>
      <w:numFmt w:val="decimal"/>
      <w:start w:val="20"/>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lvl w:ilvl="1">
      <w:lvlJc w:val="left"/>
      <w:lvlText w:val="%2"/>
      <w:numFmt w:val="decimal"/>
      <w:start w:val="104"/>
    </w:lvl>
  </w:abstractNum>
  <w:abstractNum w:abstractNumId="47">
    <w:nsid w:val="70C6A529"/>
    <w:multiLevelType w:val="hybridMultilevel"/>
    <w:lvl w:ilvl="0">
      <w:lvlJc w:val="left"/>
      <w:lvlText w:val="**"/>
      <w:numFmt w:val="bullet"/>
      <w:start w:val="1"/>
    </w:lvl>
    <w:lvl w:ilvl="1">
      <w:lvlJc w:val="left"/>
      <w:lvlText w:val="%2"/>
      <w:numFmt w:val="decimal"/>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62"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92" Type="http://schemas.openxmlformats.org/officeDocument/2006/relationships/image" Target="media/image124.png"/><Relationship Id="rId194" Type="http://schemas.openxmlformats.org/officeDocument/2006/relationships/image" Target="media/image125.png"/><Relationship Id="rId195" Type="http://schemas.openxmlformats.org/officeDocument/2006/relationships/image" Target="media/image126.png"/><Relationship Id="rId206" Type="http://schemas.openxmlformats.org/officeDocument/2006/relationships/image" Target="media/image127.png"/><Relationship Id="rId207" Type="http://schemas.openxmlformats.org/officeDocument/2006/relationships/image" Target="media/image128.png"/><Relationship Id="rId208" Type="http://schemas.openxmlformats.org/officeDocument/2006/relationships/image" Target="media/image129.png"/><Relationship Id="rId209" Type="http://schemas.openxmlformats.org/officeDocument/2006/relationships/image" Target="media/image130.png"/><Relationship Id="rId210" Type="http://schemas.openxmlformats.org/officeDocument/2006/relationships/image" Target="media/image131.png"/><Relationship Id="rId211" Type="http://schemas.openxmlformats.org/officeDocument/2006/relationships/image" Target="media/image132.png"/><Relationship Id="rId212" Type="http://schemas.openxmlformats.org/officeDocument/2006/relationships/image" Target="media/image133.png"/><Relationship Id="rId213" Type="http://schemas.openxmlformats.org/officeDocument/2006/relationships/image" Target="media/image134.png"/><Relationship Id="rId214" Type="http://schemas.openxmlformats.org/officeDocument/2006/relationships/image" Target="media/image135.png"/><Relationship Id="rId215" Type="http://schemas.openxmlformats.org/officeDocument/2006/relationships/image" Target="media/image136.png"/><Relationship Id="rId216" Type="http://schemas.openxmlformats.org/officeDocument/2006/relationships/image" Target="media/image137.png"/><Relationship Id="rId217" Type="http://schemas.openxmlformats.org/officeDocument/2006/relationships/image" Target="media/image138.png"/><Relationship Id="rId218" Type="http://schemas.openxmlformats.org/officeDocument/2006/relationships/image" Target="media/image139.png"/><Relationship Id="rId219" Type="http://schemas.openxmlformats.org/officeDocument/2006/relationships/image" Target="media/image140.png"/><Relationship Id="rId220" Type="http://schemas.openxmlformats.org/officeDocument/2006/relationships/image" Target="media/image141.png"/><Relationship Id="rId221" Type="http://schemas.openxmlformats.org/officeDocument/2006/relationships/image" Target="media/image142.png"/><Relationship Id="rId222" Type="http://schemas.openxmlformats.org/officeDocument/2006/relationships/image" Target="media/image143.png"/><Relationship Id="rId223" Type="http://schemas.openxmlformats.org/officeDocument/2006/relationships/image" Target="media/image144.png"/><Relationship Id="rId224" Type="http://schemas.openxmlformats.org/officeDocument/2006/relationships/image" Target="media/image145.png"/><Relationship Id="rId225" Type="http://schemas.openxmlformats.org/officeDocument/2006/relationships/image" Target="media/image146.png"/><Relationship Id="rId122" Type="http://schemas.openxmlformats.org/officeDocument/2006/relationships/hyperlink" Target="http://www.sec.gov/Archives/edgar/data/912242/000110465914081468/a14-24669_1ex2d1.htm" TargetMode="External"/><Relationship Id="rId123" Type="http://schemas.openxmlformats.org/officeDocument/2006/relationships/hyperlink" Target="http://www.sec.gov/Archives/edgar/data/912242/0001047469-99-012492.txt" TargetMode="External"/><Relationship Id="rId124" Type="http://schemas.openxmlformats.org/officeDocument/2006/relationships/hyperlink" Target="http://www.sec.gov/Archives/edgar/data/912242/000091205702030706/a2086079zex-3_1.htm" TargetMode="External"/><Relationship Id="rId125" Type="http://schemas.openxmlformats.org/officeDocument/2006/relationships/hyperlink" Target="http://www.sec.gov/Archives/edgar/data/912242/000091205702021417/a2080342zex-4_6.htm" TargetMode="External"/><Relationship Id="rId126" Type="http://schemas.openxmlformats.org/officeDocument/2006/relationships/hyperlink" Target="http://www.sec.gov/Archives/edgar/data/912242/000104746909001981/a2189901zex-3_15.htm" TargetMode="External"/><Relationship Id="rId127" Type="http://schemas.openxmlformats.org/officeDocument/2006/relationships/hyperlink" Target="http://www.sec.gov/Archives/edgar/data/912242/000110465909008348/a09-5253_1ex3d1.htm" TargetMode="External"/><Relationship Id="rId128" Type="http://schemas.openxmlformats.org/officeDocument/2006/relationships/hyperlink" Target="http://www.sec.gov/Archives/edgar/data/912242/000104746909007391/a2193924zex-3_17.htm" TargetMode="External"/><Relationship Id="rId129" Type="http://schemas.openxmlformats.org/officeDocument/2006/relationships/hyperlink" Target="http://www.sec.gov/Archives/edgar/data/912242/000110465914043330/a14-14485_1ex3d1.htm" TargetMode="External"/><Relationship Id="rId130" Type="http://schemas.openxmlformats.org/officeDocument/2006/relationships/hyperlink" Target="http://www.sec.gov/Archives/edgar/data/912242/000110465915020412/a15-6870_1ex3d1.htm" TargetMode="External"/><Relationship Id="rId131" Type="http://schemas.openxmlformats.org/officeDocument/2006/relationships/hyperlink" Target="http://www.sec.gov/Archives/edgar/data/912242/000110465915020810/a15-6873_1ex3d1.htm" TargetMode="External"/><Relationship Id="rId132" Type="http://schemas.openxmlformats.org/officeDocument/2006/relationships/hyperlink" Target="http://www.sec.gov/Archives/edgar/data/912242/000110465915037228/a15-11185_1ex3d1.htm" TargetMode="External"/><Relationship Id="rId133" Type="http://schemas.openxmlformats.org/officeDocument/2006/relationships/hyperlink" Target="http://www.sec.gov/Archives/edgar/data/912242/000110465915042631/a15-13305_1ex3d1.htm" TargetMode="External"/><Relationship Id="rId134" Type="http://schemas.openxmlformats.org/officeDocument/2006/relationships/hyperlink" Target="http://www.sec.gov/Archives/edgar/data/912242/000119312519129272/d731295dex31.htm" TargetMode="External"/><Relationship Id="rId137" Type="http://schemas.openxmlformats.org/officeDocument/2006/relationships/hyperlink" Target="http://www.sec.gov/Archives/edgar/data/912242/000119312519129272/d731295dex32.htm" TargetMode="External"/><Relationship Id="rId138" Type="http://schemas.openxmlformats.org/officeDocument/2006/relationships/hyperlink" Target="http://www.sec.gov/Archives/edgar/data/912242/0000898822-98-001027.txt" TargetMode="External"/><Relationship Id="rId139" Type="http://schemas.openxmlformats.org/officeDocument/2006/relationships/hyperlink" Target="http://www.sec.gov/Archives/edgar/data/912242/000104746903024203/a2114547zex-4_13.htm" TargetMode="External"/><Relationship Id="rId140" Type="http://schemas.openxmlformats.org/officeDocument/2006/relationships/hyperlink" Target="http://www.sec.gov/Archives/edgar/data/912242/0000912242-97-000007.txt" TargetMode="External"/><Relationship Id="rId141" Type="http://schemas.openxmlformats.org/officeDocument/2006/relationships/hyperlink" Target="http://www.sec.gov/Archives/edgar/data/912242/0000912057-97-023459.txt" TargetMode="External"/><Relationship Id="rId142" Type="http://schemas.openxmlformats.org/officeDocument/2006/relationships/hyperlink" Target="http://www.sec.gov/Archives/edgar/data/912242/0001047469-98-011649.txt" TargetMode="External"/><Relationship Id="rId143" Type="http://schemas.openxmlformats.org/officeDocument/2006/relationships/hyperlink" Target="http://www.sec.gov/Archives/edgar/data/912242/000091205701505482/a2042811zex-10_17.htm" TargetMode="External"/><Relationship Id="rId144" Type="http://schemas.openxmlformats.org/officeDocument/2006/relationships/hyperlink" Target="http://www.sec.gov/Archives/edgar/data/912242/000091205702030706/a2086079zex-10_1.htm" TargetMode="External"/><Relationship Id="rId145" Type="http://schemas.openxmlformats.org/officeDocument/2006/relationships/hyperlink" Target="http://www.sec.gov/Archives/edgar/data/912242/000104746907001438/a2175451zex-10_19.htm" TargetMode="External"/><Relationship Id="rId146" Type="http://schemas.openxmlformats.org/officeDocument/2006/relationships/hyperlink" Target="http://www.sec.gov/Archives/edgar/data/912242/000110465907021619/a07-8493_1ex10d1.htm" TargetMode="External"/><Relationship Id="rId147" Type="http://schemas.openxmlformats.org/officeDocument/2006/relationships/hyperlink" Target="http://www.sec.gov/Archives/edgar/data/912242/000104746909007391/a2193924zex-10_1.htm" TargetMode="External"/><Relationship Id="rId150" Type="http://schemas.openxmlformats.org/officeDocument/2006/relationships/hyperlink" Target="http://www.sec.gov/Archives/edgar/data/912242/000104746910001497/a2196442zex-10_112.htm" TargetMode="External"/><Relationship Id="rId151" Type="http://schemas.openxmlformats.org/officeDocument/2006/relationships/hyperlink" Target="http://www.sec.gov/Archives/edgar/data/912242/000110465905019358/a05-7552_1ex10d2.htm" TargetMode="External"/><Relationship Id="rId152" Type="http://schemas.openxmlformats.org/officeDocument/2006/relationships/hyperlink" Target="http://www.sec.gov/Archives/edgar/data/912242/000104746904007699/a2130493zex-10_5.htm" TargetMode="External"/><Relationship Id="rId153" Type="http://schemas.openxmlformats.org/officeDocument/2006/relationships/hyperlink" Target="http://www.sec.gov/Archives/edgar/data/912242/000104746909001981/a2189901zex-10_51.htm" TargetMode="External"/><Relationship Id="rId154" Type="http://schemas.openxmlformats.org/officeDocument/2006/relationships/hyperlink" Target="http://www.sec.gov/Archives/edgar/data/912242/000104746911006998/a2204925zex-10_1.htm" TargetMode="External"/><Relationship Id="rId155" Type="http://schemas.openxmlformats.org/officeDocument/2006/relationships/hyperlink" Target="http://www.sec.gov/Archives/edgar/data/912242/000104746912010061/a2211558zex-10_1.htm" TargetMode="External"/><Relationship Id="rId156" Type="http://schemas.openxmlformats.org/officeDocument/2006/relationships/hyperlink" Target="http://www.sec.gov/Archives/edgar/data/912242/000104746904007699/a2130493zex-10_6.htm" TargetMode="External"/><Relationship Id="rId157" Type="http://schemas.openxmlformats.org/officeDocument/2006/relationships/hyperlink" Target="http://www.sec.gov/Archives/edgar/data/912242/000104746909001981/a2189901zex-10_61.htm" TargetMode="External"/><Relationship Id="rId158" Type="http://schemas.openxmlformats.org/officeDocument/2006/relationships/hyperlink" Target="http://www.sec.gov/Archives/edgar/data/912242/000104746911006998/a2204925zex-10_3.htm" TargetMode="External"/><Relationship Id="rId159" Type="http://schemas.openxmlformats.org/officeDocument/2006/relationships/hyperlink" Target="http://www.sec.gov/Archives/edgar/data/912242/000104746912010061/a2211558zex-10_2.htm" TargetMode="External"/><Relationship Id="rId160" Type="http://schemas.openxmlformats.org/officeDocument/2006/relationships/hyperlink" Target="http://www.sec.gov/Archives/edgar/data/912242/000104746913008247/a2216262zex-10_1.htm" TargetMode="External"/><Relationship Id="rId161" Type="http://schemas.openxmlformats.org/officeDocument/2006/relationships/hyperlink" Target="http://www.sec.gov/Archives/edgar/data/912242/000091224216000020/mac-2015x12x31x10kxex108.htm" TargetMode="External"/><Relationship Id="rId163" Type="http://schemas.openxmlformats.org/officeDocument/2006/relationships/hyperlink" Target="http://www.sec.gov/Archives/edgar/data/912242/000091224219000013/mac-6302019xexhibit101.htm" TargetMode="External"/><Relationship Id="rId166" Type="http://schemas.openxmlformats.org/officeDocument/2006/relationships/hyperlink" Target="http://www.sec.gov/Archives/edgar/data/912242/000104746904007699/a2130493zex-10_48.htm" TargetMode="External"/><Relationship Id="rId167" Type="http://schemas.openxmlformats.org/officeDocument/2006/relationships/hyperlink" Target="http://www.sec.gov/Archives/edgar/data/912242/000104746909001981/a2189901zex-10_19.htm" TargetMode="External"/><Relationship Id="rId168" Type="http://schemas.openxmlformats.org/officeDocument/2006/relationships/hyperlink" Target="http://www.sec.gov/Archives/edgar/data/912242/000091205702030706/a2086079zex-10_2.htm" TargetMode="External"/><Relationship Id="rId169" Type="http://schemas.openxmlformats.org/officeDocument/2006/relationships/hyperlink" Target="http://www.sec.gov/Archives/edgar/data/912242/000091205702030706/a2086079zex-10_3.htm" TargetMode="External"/><Relationship Id="rId170" Type="http://schemas.openxmlformats.org/officeDocument/2006/relationships/hyperlink" Target="http://www.sec.gov/Archives/edgar/data/912242/000110465914081468/a14-24669_1ex10d1.htm" TargetMode="External"/><Relationship Id="rId171" Type="http://schemas.openxmlformats.org/officeDocument/2006/relationships/hyperlink" Target="http://www.sec.gov/Archives/edgar/data/912242/000110465916132238/a16-14660_1ex10d1.htm" TargetMode="External"/><Relationship Id="rId172" Type="http://schemas.openxmlformats.org/officeDocument/2006/relationships/hyperlink" Target="http://www.sec.gov/Archives/edgar/data/912242/000110465916132238/a16-14660_1ex10d2.htm" TargetMode="External"/><Relationship Id="rId173" Type="http://schemas.openxmlformats.org/officeDocument/2006/relationships/hyperlink" Target="http://www.sec.gov/Archives/edgar/data/912242/000110465905019358/a05-7552_1ex10d3.htm" TargetMode="External"/><Relationship Id="rId174" Type="http://schemas.openxmlformats.org/officeDocument/2006/relationships/hyperlink" Target="http://www.sec.gov/Archives/edgar/data/912242/000110465916124837/a16-12376_1ex10d1.htm" TargetMode="External"/><Relationship Id="rId177" Type="http://schemas.openxmlformats.org/officeDocument/2006/relationships/hyperlink" Target="http://www.sec.gov/Archives/edgar/data/912242/000104746911001377/a2201763zex-10_271.htm" TargetMode="External"/><Relationship Id="rId178" Type="http://schemas.openxmlformats.org/officeDocument/2006/relationships/hyperlink" Target="http://www.sec.gov/Archives/edgar/data/912242/000104746909001981/a2189901zex-10_28.htm" TargetMode="External"/><Relationship Id="rId179" Type="http://schemas.openxmlformats.org/officeDocument/2006/relationships/hyperlink" Target="http://www.sec.gov/Archives/edgar/data/912242/000091224215000005/mac-2014x1231x10kxex10273.htm" TargetMode="External"/><Relationship Id="rId180" Type="http://schemas.openxmlformats.org/officeDocument/2006/relationships/hyperlink" Target="http://www.sec.gov/Archives/edgar/data/912242/000104746909001981/a2189901zex-10_30.htm" TargetMode="External"/><Relationship Id="rId181" Type="http://schemas.openxmlformats.org/officeDocument/2006/relationships/hyperlink" Target="http://www.sec.gov/Archives/edgar/data/912242/000104746909001981/a2189901zex-10_31.htm" TargetMode="External"/><Relationship Id="rId182" Type="http://schemas.openxmlformats.org/officeDocument/2006/relationships/hyperlink" Target="http://www.sec.gov/Archives/edgar/data/912242/000104746909001981/a2189901zex-10_32.htm" TargetMode="External"/><Relationship Id="rId183" Type="http://schemas.openxmlformats.org/officeDocument/2006/relationships/hyperlink" Target="http://www.sec.gov/Archives/edgar/data/912242/000091224216000020/mac-2015x12x31x10kxex10277.htm" TargetMode="External"/><Relationship Id="rId184" Type="http://schemas.openxmlformats.org/officeDocument/2006/relationships/hyperlink" Target="http://www.sec.gov/Archives/edgar/data/912242/000104746909001981/a2189901zex-10_323.htm" TargetMode="External"/><Relationship Id="rId185" Type="http://schemas.openxmlformats.org/officeDocument/2006/relationships/hyperlink" Target="http://www.sec.gov/Archives/edgar/data/912242/000091224219000007/mac-3312019xexhibit102.htm" TargetMode="External"/><Relationship Id="rId186" Type="http://schemas.openxmlformats.org/officeDocument/2006/relationships/hyperlink" Target="http://www.sec.gov/Archives/edgar/data/912242/000091224219000007/mac-3312019xexhibit101.htm" TargetMode="External"/><Relationship Id="rId187" Type="http://schemas.openxmlformats.org/officeDocument/2006/relationships/hyperlink" Target="http://www.sec.gov/Archives/edgar/data/912242/000091224214000006/mac-3312014exhibit104fully.htm" TargetMode="External"/><Relationship Id="rId188" Type="http://schemas.openxmlformats.org/officeDocument/2006/relationships/hyperlink" Target="http://www.sec.gov/Archives/edgar/data/912242/000104746913008247/a2216262zex-10_2.htm" TargetMode="External"/><Relationship Id="rId189" Type="http://schemas.openxmlformats.org/officeDocument/2006/relationships/hyperlink" Target="http://www.sec.gov/Archives/edgar/data/912242/000091224214000013/mac-9302014xexhibit101espp.htm" TargetMode="External"/><Relationship Id="rId190" Type="http://schemas.openxmlformats.org/officeDocument/2006/relationships/hyperlink" Target="http://www.sec.gov/Archives/edgar/data/912242/000091224219000013/mac-6302019xexhibit102.htm" TargetMode="External"/><Relationship Id="rId191" Type="http://schemas.openxmlformats.org/officeDocument/2006/relationships/hyperlink" Target="http://www.sec.gov/Archives/edgar/data/912242/000091224219000007/mac-3312019xexhibit103.htm" TargetMode="External"/><Relationship Id="rId193" Type="http://schemas.openxmlformats.org/officeDocument/2006/relationships/hyperlink" Target="http://www.sec.gov/Archives/edgar/data/912242/000091224217000017/mac-9302017xexhibit101.htm" TargetMode="External"/><Relationship Id="rId196" Type="http://schemas.openxmlformats.org/officeDocument/2006/relationships/hyperlink" Target="http://www.sec.gov/Archives/edgar/data/912242/000091224218000004/mac-2017x1231x10kxex1027.htm" TargetMode="External"/><Relationship Id="rId197" Type="http://schemas.openxmlformats.org/officeDocument/2006/relationships/hyperlink" Target="http://www.sec.gov/Archives/edgar/data/912242/000091224218000007/mac-3312018xexhibit101.htm" TargetMode="External"/><Relationship Id="rId198" Type="http://schemas.openxmlformats.org/officeDocument/2006/relationships/hyperlink" Target="http://www.sec.gov/Archives/edgar/data/912242/000091224218000007/mac-3312018xexhibit103.htm" TargetMode="External"/><Relationship Id="rId199" Type="http://schemas.openxmlformats.org/officeDocument/2006/relationships/hyperlink" Target="http://www.sec.gov/Archives/edgar/data/912242/000091224219000017/mac-9302019xexhibit103.htm" TargetMode="External"/><Relationship Id="rId200" Type="http://schemas.openxmlformats.org/officeDocument/2006/relationships/hyperlink" Target="http://www.sec.gov/Archives/edgar/data/912242/000091224218000007/mac-3312018xexhibit102.htm" TargetMode="External"/><Relationship Id="rId201" Type="http://schemas.openxmlformats.org/officeDocument/2006/relationships/hyperlink" Target="http://www.sec.gov/Archives/edgar/data/912242/000091224219000017/mac-9302019xexhibit102.htm" TargetMode="External"/><Relationship Id="rId202" Type="http://schemas.openxmlformats.org/officeDocument/2006/relationships/hyperlink" Target="http://www.sec.gov/Archives/edgar/data/912242/000119312519002543/d684174dex101.htm" TargetMode="External"/><Relationship Id="rId203" Type="http://schemas.openxmlformats.org/officeDocument/2006/relationships/hyperlink" Target="http://www.sec.gov/Archives/edgar/data/912242/000091224219000017/mac-9302019xexhibit101.htm" TargetMode="External"/><Relationship Id="rId204" Type="http://schemas.openxmlformats.org/officeDocument/2006/relationships/hyperlink" Target="http://www.sec.gov/Archives/edgar/data/912242/000110465905019358/a05-7552_1ex10d1.htm" TargetMode="External"/><Relationship Id="rId205" Type="http://schemas.openxmlformats.org/officeDocument/2006/relationships/hyperlink" Target="http://www.sec.gov/Archives/edgar/data/912242/000110465905019358/a05-7552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2020-02-25T12:18:29Z</dcterms:created>
  <dcterms:modified xsi:type="dcterms:W3CDTF">2020-02-25T12:18:29Z</dcterms:modified>
</cp:coreProperties>
</file>