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1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60" w:after="16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160" w:after="160"/>
        <w:ind w:left="0" w:right="0" w:hanging="630"/>
        <w:jc w:val="left"/>
        <w:rPr/>
      </w:pPr>
      <w:r>
        <w:rPr>
          <w:color w:val="000000"/>
        </w:rPr>
        <w:t xml:space="preserve">☒ </w:t>
      </w:r>
      <w:r>
        <w:rPr>
          <w:rFonts w:ascii="Times New Roman;serif" w:hAnsi="Times New Roman;serif"/>
          <w:b w:val="false"/>
          <w:color w:val="000000"/>
          <w:sz w:val="20"/>
        </w:rPr>
        <w:t xml:space="preserve">QUARTERLY REPORT PURSUANT TO SECTION 13 OR 15(d) OF THE SECURITIES EXCHANGE ACT OF 1934 </w:t>
      </w:r>
    </w:p>
    <w:p>
      <w:pPr>
        <w:pStyle w:val="TextBody"/>
        <w:bidi w:val="0"/>
        <w:spacing w:lineRule="auto" w:line="288" w:before="160" w:after="160"/>
        <w:ind w:left="0" w:right="0" w:firstLine="9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60" w:after="160"/>
        <w:ind w:left="0" w:right="0" w:hanging="630"/>
        <w:jc w:val="left"/>
        <w:rPr/>
      </w:pPr>
      <w:r>
        <w:rPr>
          <w:color w:val="000000"/>
        </w:rPr>
        <w:t xml:space="preserve">☐ </w:t>
      </w:r>
      <w:r>
        <w:rPr>
          <w:rFonts w:ascii="Times New Roman;serif" w:hAnsi="Times New Roman;serif"/>
          <w:b w:val="false"/>
          <w:color w:val="000000"/>
          <w:sz w:val="20"/>
        </w:rPr>
        <w:t xml:space="preserve">TRANSITION REPORT PURSUANT TO SECTION 13 OR 15(d) OF THE SECURITIES EXCHANGE ACT OF 1934 </w:t>
      </w:r>
    </w:p>
    <w:p>
      <w:pPr>
        <w:pStyle w:val="TextBody"/>
        <w:bidi w:val="0"/>
        <w:spacing w:lineRule="auto" w:line="288" w:before="160" w:after="160"/>
        <w:ind w:left="0" w:right="0" w:firstLine="90"/>
        <w:jc w:val="left"/>
        <w:rPr/>
      </w:pPr>
      <w:r>
        <w:rPr>
          <w:rFonts w:ascii="Times New Roman;serif" w:hAnsi="Times New Roman;serif"/>
          <w:b w:val="false"/>
          <w:color w:val="000000"/>
          <w:sz w:val="20"/>
        </w:rPr>
        <w:t xml:space="preserve">For the transition period from ___________ to </w:t>
      </w:r>
      <w:r>
        <w:rPr>
          <w:rFonts w:ascii="Times New Roman;serif" w:hAnsi="Times New Roman;serif"/>
          <w:b/>
          <w:color w:val="000000"/>
          <w:sz w:val="20"/>
        </w:rPr>
        <w:t>___________</w:t>
      </w:r>
    </w:p>
    <w:p>
      <w:pPr>
        <w:pStyle w:val="TextBody"/>
        <w:bidi w:val="0"/>
        <w:spacing w:lineRule="auto" w:line="288" w:before="160" w:after="160"/>
        <w:ind w:left="0" w:right="0" w:hanging="63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No.: 1-12504 </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MACERICH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75" w:type="dxa"/>
        <w:jc w:val="center"/>
        <w:tblInd w:w="0" w:type="dxa"/>
        <w:tblLayout w:type="fixed"/>
        <w:tblCellMar>
          <w:top w:w="28" w:type="dxa"/>
          <w:left w:w="28" w:type="dxa"/>
          <w:bottom w:w="28" w:type="dxa"/>
          <w:right w:w="28" w:type="dxa"/>
        </w:tblCellMar>
      </w:tblPr>
      <w:tblGrid>
        <w:gridCol w:w="673"/>
        <w:gridCol w:w="591"/>
        <w:gridCol w:w="595"/>
        <w:gridCol w:w="274"/>
        <w:gridCol w:w="274"/>
        <w:gridCol w:w="276"/>
        <w:gridCol w:w="374"/>
        <w:gridCol w:w="374"/>
        <w:gridCol w:w="376"/>
        <w:gridCol w:w="270"/>
        <w:gridCol w:w="270"/>
        <w:gridCol w:w="271"/>
        <w:gridCol w:w="109"/>
        <w:gridCol w:w="109"/>
        <w:gridCol w:w="109"/>
        <w:gridCol w:w="883"/>
        <w:gridCol w:w="883"/>
        <w:gridCol w:w="126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6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95-4448705</w:t>
            </w:r>
          </w:p>
        </w:tc>
      </w:tr>
      <w:tr>
        <w:trPr/>
        <w:tc>
          <w:tcPr>
            <w:tcW w:w="46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401 Wilshire Boulevard,</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Suite 700,</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Santa Monica,</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90401</w:t>
            </w:r>
          </w:p>
        </w:tc>
      </w:tr>
      <w:tr>
        <w:trPr/>
        <w:tc>
          <w:tcPr>
            <w:tcW w:w="46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394-6000</w:t>
            </w:r>
          </w:p>
        </w:tc>
      </w:tr>
      <w:tr>
        <w:trPr/>
        <w:tc>
          <w:tcPr>
            <w:tcW w:w="7975" w:type="dxa"/>
            <w:gridSpan w:val="18"/>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(Registrant's telephone number, including area code)</w:t>
            </w:r>
          </w:p>
        </w:tc>
      </w:tr>
      <w:tr>
        <w:trPr/>
        <w:tc>
          <w:tcPr>
            <w:tcW w:w="797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(Former name, former address and former fiscal year, if changed since last report)</w:t>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58" w:type="dxa"/>
        <w:jc w:val="left"/>
        <w:tblInd w:w="0" w:type="dxa"/>
        <w:tblLayout w:type="fixed"/>
        <w:tblCellMar>
          <w:top w:w="28" w:type="dxa"/>
          <w:left w:w="28" w:type="dxa"/>
          <w:bottom w:w="28" w:type="dxa"/>
          <w:right w:w="28" w:type="dxa"/>
        </w:tblCellMar>
      </w:tblPr>
      <w:tblGrid>
        <w:gridCol w:w="999"/>
        <w:gridCol w:w="875"/>
        <w:gridCol w:w="885"/>
        <w:gridCol w:w="464"/>
        <w:gridCol w:w="464"/>
        <w:gridCol w:w="466"/>
        <w:gridCol w:w="1085"/>
        <w:gridCol w:w="1085"/>
        <w:gridCol w:w="1535"/>
      </w:tblGrid>
      <w:tr>
        <w:trPr/>
        <w:tc>
          <w:tcPr>
            <w:tcW w:w="9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60" w:after="16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   No ☐</w:t>
      </w:r>
    </w:p>
    <w:p>
      <w:pPr>
        <w:pStyle w:val="TextBody"/>
        <w:bidi w:val="0"/>
        <w:spacing w:lineRule="auto" w:line="288" w:before="160" w:after="160"/>
        <w:ind w:left="0" w:right="0" w:firstLine="495"/>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160" w:after="16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265"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435"/>
        <w:gridCol w:w="435"/>
        <w:gridCol w:w="436"/>
        <w:gridCol w:w="109"/>
        <w:gridCol w:w="109"/>
        <w:gridCol w:w="109"/>
        <w:gridCol w:w="109"/>
        <w:gridCol w:w="109"/>
        <w:gridCol w:w="109"/>
        <w:gridCol w:w="560"/>
        <w:gridCol w:w="560"/>
        <w:gridCol w:w="561"/>
        <w:gridCol w:w="109"/>
        <w:gridCol w:w="109"/>
        <w:gridCol w:w="109"/>
        <w:gridCol w:w="109"/>
        <w:gridCol w:w="109"/>
        <w:gridCol w:w="109"/>
        <w:gridCol w:w="724"/>
        <w:gridCol w:w="724"/>
        <w:gridCol w:w="726"/>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60" w:after="160"/>
        <w:ind w:left="0" w:right="0" w:firstLine="495"/>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160"/>
        <w:ind w:left="0" w:right="0" w:firstLine="495"/>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160" w:after="40"/>
        <w:ind w:left="0" w:right="0" w:firstLine="495"/>
        <w:jc w:val="left"/>
        <w:rPr/>
      </w:pPr>
      <w:r>
        <w:rPr>
          <w:rFonts w:ascii="Times New Roman;serif" w:hAnsi="Times New Roman;serif"/>
          <w:b w:val="false"/>
          <w:color w:val="000000"/>
          <w:sz w:val="18"/>
        </w:rPr>
        <w:t>Number of shares outstanding as of August 3, 2026 of the registrant's common stock, par value $0.01 per share: 283,559,375</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92"/>
        <w:gridCol w:w="257"/>
        <w:gridCol w:w="262"/>
        <w:gridCol w:w="109"/>
        <w:gridCol w:w="109"/>
        <w:gridCol w:w="109"/>
        <w:gridCol w:w="2798"/>
        <w:gridCol w:w="2780"/>
        <w:gridCol w:w="2789"/>
        <w:gridCol w:w="109"/>
        <w:gridCol w:w="109"/>
        <w:gridCol w:w="109"/>
        <w:gridCol w:w="109"/>
        <w:gridCol w:w="109"/>
        <w:gridCol w:w="155"/>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0">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0">
              <w:r>
                <w:rPr>
                  <w:rStyle w:val="InternetLink"/>
                  <w:rFonts w:ascii="Times New Roman;serif" w:hAnsi="Times New Roman;serif"/>
                  <w:b w:val="false"/>
                  <w:color w:val="0000FF"/>
                  <w:sz w:val="20"/>
                  <w:u w:val="singl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0">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3">
              <w:r>
                <w:rPr>
                  <w:rStyle w:val="InternetLink"/>
                  <w:rFonts w:ascii="Times New Roman;serif" w:hAnsi="Times New Roman;serif"/>
                  <w:b w:val="false"/>
                  <w:color w:val="0000FF"/>
                  <w:sz w:val="20"/>
                  <w:u w:val="single"/>
                </w:rPr>
                <w:t>Consolidated Balance Sheets as of June 30,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3">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6">
              <w:r>
                <w:rPr>
                  <w:rStyle w:val="InternetLink"/>
                  <w:rFonts w:ascii="Times New Roman;serif" w:hAnsi="Times New Roman;serif"/>
                  <w:b w:val="false"/>
                  <w:color w:val="0000FF"/>
                  <w:sz w:val="20"/>
                  <w:u w:val="single"/>
                </w:rPr>
                <w:t>Consolidated Statements of Operations for the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6">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9">
              <w:r>
                <w:rPr>
                  <w:rStyle w:val="InternetLink"/>
                  <w:rFonts w:ascii="Times New Roman;serif" w:hAnsi="Times New Roman;serif"/>
                  <w:b w:val="false"/>
                  <w:color w:val="0000FF"/>
                  <w:sz w:val="20"/>
                  <w:u w:val="single"/>
                </w:rPr>
                <w:t>Consolidated Statements of Comprehensive Loss for the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9">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25">
              <w:r>
                <w:rPr>
                  <w:rStyle w:val="InternetLink"/>
                  <w:rFonts w:ascii="Times New Roman;serif" w:hAnsi="Times New Roman;serif"/>
                  <w:b w:val="false"/>
                  <w:color w:val="0000FF"/>
                  <w:sz w:val="20"/>
                  <w:u w:val="single"/>
                </w:rPr>
                <w:t>Consolidated Statements of Equity for the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22">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28">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28">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31">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31">
              <w:r>
                <w:rPr>
                  <w:rStyle w:val="InternetLink"/>
                  <w:rFonts w:ascii="Times New Roman;serif" w:hAnsi="Times New Roman;serif"/>
                  <w:b w:val="false"/>
                  <w:color w:val="0000FF"/>
                  <w:sz w:val="20"/>
                  <w:u w:val="single"/>
                </w:rPr>
                <w:t>10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06">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06">
              <w:r>
                <w:rPr>
                  <w:rStyle w:val="InternetLink"/>
                  <w:rFonts w:ascii="Times New Roman;serif" w:hAnsi="Times New Roman;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30">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30">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30">
              <w:r>
                <w:rPr>
                  <w:rStyle w:val="InternetLink"/>
                  <w:rFonts w:ascii="Times New Roman;serif" w:hAnsi="Times New Roman;serif"/>
                  <w:b w:val="false"/>
                  <w:color w:val="0000FF"/>
                  <w:sz w:val="20"/>
                  <w:u w:val="single"/>
                </w:rPr>
                <w:t>48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33">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33">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33">
              <w:r>
                <w:rPr>
                  <w:rStyle w:val="InternetLink"/>
                  <w:rFonts w:ascii="Times New Roman;serif" w:hAnsi="Times New Roman;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39">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39">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39">
              <w:r>
                <w:rPr>
                  <w:rStyle w:val="InternetLink"/>
                  <w:rFonts w:ascii="Times New Roman;serif" w:hAnsi="Times New Roman;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42">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42">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42">
              <w:r>
                <w:rPr>
                  <w:rStyle w:val="InternetLink"/>
                  <w:rFonts w:ascii="Times New Roman;serif" w:hAnsi="Times New Roman;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45">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45">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45">
              <w:r>
                <w:rPr>
                  <w:rStyle w:val="InternetLink"/>
                  <w:rFonts w:ascii="Times New Roman;serif" w:hAnsi="Times New Roman;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48">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48">
              <w:r>
                <w:rPr>
                  <w:rStyle w:val="InternetLink"/>
                  <w:rFonts w:ascii="Times New Roman;serif" w:hAnsi="Times New Roman;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48">
              <w:r>
                <w:rPr>
                  <w:rStyle w:val="InternetLink"/>
                  <w:rFonts w:ascii="Times New Roman;serif" w:hAnsi="Times New Roman;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51">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51">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51">
              <w:r>
                <w:rPr>
                  <w:rStyle w:val="InternetLink"/>
                  <w:rFonts w:ascii="Times New Roman;serif" w:hAnsi="Times New Roman;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54">
              <w:r>
                <w:rPr>
                  <w:rStyle w:val="InternetLink"/>
                  <w:rFonts w:ascii="Times New Roman;serif" w:hAnsi="Times New Roman;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54">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54">
              <w:r>
                <w:rPr>
                  <w:rStyle w:val="InternetLink"/>
                  <w:rFonts w:ascii="Times New Roman;serif" w:hAnsi="Times New Roman;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57">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57">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57">
              <w:r>
                <w:rPr>
                  <w:rStyle w:val="InternetLink"/>
                  <w:rFonts w:ascii="Times New Roman;serif" w:hAnsi="Times New Roman;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45c01093f9f49db9ede55ca64db1cd5_160">
              <w:r>
                <w:rPr>
                  <w:rStyle w:val="InternetLink"/>
                  <w:rFonts w:ascii="Times New Roman;serif" w:hAnsi="Times New Roman;serif"/>
                  <w:b/>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c01093f9f49db9ede55ca64db1cd5_160">
              <w:r>
                <w:rPr>
                  <w:rStyle w:val="InternetLink"/>
                  <w:rFonts w:ascii="Times New Roman;serif" w:hAnsi="Times New Roman;serif"/>
                  <w:b w:val="false"/>
                  <w:color w:val="0000FF"/>
                  <w:sz w:val="20"/>
                  <w:u w:val="single"/>
                </w:rPr>
                <w:t>53</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par value)</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5"/>
        <w:gridCol w:w="2259"/>
        <w:gridCol w:w="2206"/>
        <w:gridCol w:w="211"/>
        <w:gridCol w:w="976"/>
        <w:gridCol w:w="109"/>
        <w:gridCol w:w="109"/>
        <w:gridCol w:w="109"/>
        <w:gridCol w:w="109"/>
        <w:gridCol w:w="211"/>
        <w:gridCol w:w="976"/>
        <w:gridCol w:w="155"/>
      </w:tblGrid>
      <w:tr>
        <w:trPr/>
        <w:tc>
          <w:tcPr>
            <w:tcW w:w="2775"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and other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8,368,685 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5,068,946 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in excess of investments in unconsolidated joint ventures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5,841,615 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500,000,000 shares authorized at June 30, 2026 and December 31, 2025, and 284,076,260 and 256,990,913 shares issued and outstanding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(3,777,816)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2,448,871 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2,527,070 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8,523,895 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8,368,685 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00" w:after="16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10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86"/>
        <w:gridCol w:w="1362"/>
        <w:gridCol w:w="1366"/>
        <w:gridCol w:w="231"/>
        <w:gridCol w:w="865"/>
        <w:gridCol w:w="125"/>
        <w:gridCol w:w="125"/>
        <w:gridCol w:w="125"/>
        <w:gridCol w:w="125"/>
        <w:gridCol w:w="231"/>
        <w:gridCol w:w="865"/>
        <w:gridCol w:w="125"/>
        <w:gridCol w:w="109"/>
        <w:gridCol w:w="109"/>
        <w:gridCol w:w="109"/>
        <w:gridCol w:w="221"/>
        <w:gridCol w:w="830"/>
        <w:gridCol w:w="117"/>
        <w:gridCol w:w="117"/>
        <w:gridCol w:w="117"/>
        <w:gridCol w:w="117"/>
        <w:gridCol w:w="221"/>
        <w:gridCol w:w="830"/>
        <w:gridCol w:w="177"/>
      </w:tblGrid>
      <w:tr>
        <w:trPr/>
        <w:tc>
          <w:tcPr>
            <w:tcW w:w="158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Leasing revenue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459,418 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468,372 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Companies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249,707 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249,793 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491,245 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499,017 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Shopping center and operating expenses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Leasing expenses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Companies' operating expenses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REIT general and administrative expenses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140,999 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277,430 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280,566 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555,477 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566,979 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joint ventures</w:t>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(5,237)</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(15,103)</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 or write down of assets, net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(26,852)</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(41,544)</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(63,746)</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(92,698)</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the Company</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(27,071)</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(40,905)</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(63,421)</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(91,029)</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per common share—attributable to common stockholders:</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(0.36)</w:t>
            </w:r>
          </w:p>
        </w:tc>
        <w:tc>
          <w:tcPr>
            <w:tcW w:w="17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273,715,000 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253,085,000 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265,916,000 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253,039,000 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9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273,715,000 </w:t>
            </w:r>
          </w:p>
        </w:tc>
        <w:tc>
          <w:tcPr>
            <w:tcW w:w="12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253,085,000 </w:t>
            </w:r>
          </w:p>
        </w:tc>
        <w:tc>
          <w:tcPr>
            <w:tcW w:w="12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265,916,000 </w:t>
            </w:r>
          </w:p>
        </w:tc>
        <w:tc>
          <w:tcPr>
            <w:tcW w:w="1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253,039,000 </w:t>
            </w:r>
          </w:p>
        </w:tc>
        <w:tc>
          <w:tcPr>
            <w:tcW w:w="17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00" w:after="16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100" w:after="16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69"/>
        <w:gridCol w:w="1373"/>
        <w:gridCol w:w="1403"/>
        <w:gridCol w:w="233"/>
        <w:gridCol w:w="861"/>
        <w:gridCol w:w="129"/>
        <w:gridCol w:w="129"/>
        <w:gridCol w:w="129"/>
        <w:gridCol w:w="129"/>
        <w:gridCol w:w="233"/>
        <w:gridCol w:w="861"/>
        <w:gridCol w:w="129"/>
        <w:gridCol w:w="109"/>
        <w:gridCol w:w="109"/>
        <w:gridCol w:w="109"/>
        <w:gridCol w:w="217"/>
        <w:gridCol w:w="801"/>
        <w:gridCol w:w="120"/>
        <w:gridCol w:w="120"/>
        <w:gridCol w:w="120"/>
        <w:gridCol w:w="120"/>
        <w:gridCol w:w="217"/>
        <w:gridCol w:w="801"/>
        <w:gridCol w:w="184"/>
      </w:tblGrid>
      <w:tr>
        <w:trPr/>
        <w:tc>
          <w:tcPr>
            <w:tcW w:w="156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(41,544)</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(63,746)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(92,698)</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 agreements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(26,850)</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(41,543)</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(63,742)</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(92,677)</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attributable to the Company</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(27,069)</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(40,904)</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(63,417)</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(91,008)</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Three Months Ended June 30, 2026 and 2025</w:t>
      </w:r>
    </w:p>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358"/>
        <w:gridCol w:w="447"/>
        <w:gridCol w:w="216"/>
        <w:gridCol w:w="109"/>
        <w:gridCol w:w="109"/>
        <w:gridCol w:w="109"/>
        <w:gridCol w:w="181"/>
        <w:gridCol w:w="721"/>
        <w:gridCol w:w="109"/>
        <w:gridCol w:w="109"/>
        <w:gridCol w:w="109"/>
        <w:gridCol w:w="109"/>
        <w:gridCol w:w="222"/>
        <w:gridCol w:w="664"/>
        <w:gridCol w:w="135"/>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Other </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April 1, 2026</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260,632,896 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6,293,832 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(3,858,433)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2,437,998 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73,868 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2,511,866 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rate cap agreements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stock purchases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offerings,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23,285,039 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paid ($0.17 per share)</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noncontrolling interests to common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noncontrolling interests in Operating Partnership</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9,883 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2026</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284,076,260 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6,758,116 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(3,933,754)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2,827,198 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80,275 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2,907,473 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312"/>
        <w:gridCol w:w="520"/>
        <w:gridCol w:w="189"/>
        <w:gridCol w:w="109"/>
        <w:gridCol w:w="109"/>
        <w:gridCol w:w="109"/>
        <w:gridCol w:w="181"/>
        <w:gridCol w:w="721"/>
        <w:gridCol w:w="109"/>
        <w:gridCol w:w="109"/>
        <w:gridCol w:w="109"/>
        <w:gridCol w:w="109"/>
        <w:gridCol w:w="222"/>
        <w:gridCol w:w="664"/>
        <w:gridCol w:w="135"/>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Other </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April 1,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253,030,425 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6,161,896 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(3,500,838)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2,663,572 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80,351 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2,743,923 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rate cap agreements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stock purchases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91,990 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offerings,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paid ($0.17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noncontrolling interests in Operating Partnership</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2025</w:t>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253,199,243 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6,167,547 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(3,584,742)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2,585,322 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77,493 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2,662,815 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360"/>
        <w:jc w:val="center"/>
        <w:rPr/>
      </w:pPr>
      <w:r>
        <w:rPr/>
      </w:r>
    </w:p>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 xml:space="preserve">Six Months Ended June 30, 2026 and 2025 </w:t>
      </w:r>
    </w:p>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358"/>
        <w:gridCol w:w="447"/>
        <w:gridCol w:w="216"/>
        <w:gridCol w:w="109"/>
        <w:gridCol w:w="109"/>
        <w:gridCol w:w="109"/>
        <w:gridCol w:w="181"/>
        <w:gridCol w:w="721"/>
        <w:gridCol w:w="109"/>
        <w:gridCol w:w="109"/>
        <w:gridCol w:w="109"/>
        <w:gridCol w:w="109"/>
        <w:gridCol w:w="222"/>
        <w:gridCol w:w="664"/>
        <w:gridCol w:w="135"/>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Other </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January 1, 2026</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256,990,913 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6,224,127 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(3,777,816)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2,448,871 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78,199 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2,527,070 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rate cap agreements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171,967 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stock purchases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offerings,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26,537,202 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paid ($0.34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(8,312)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noncontrolling interests to common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295,838 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Redemption of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noncontrolling interests in Operating Partnership</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2026</w:t>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284,076,260 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6,758,116 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(3,933,754)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2,827,198 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80,275 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2,907,473 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312"/>
        <w:gridCol w:w="520"/>
        <w:gridCol w:w="189"/>
        <w:gridCol w:w="109"/>
        <w:gridCol w:w="109"/>
        <w:gridCol w:w="109"/>
        <w:gridCol w:w="181"/>
        <w:gridCol w:w="721"/>
        <w:gridCol w:w="109"/>
        <w:gridCol w:w="109"/>
        <w:gridCol w:w="109"/>
        <w:gridCol w:w="109"/>
        <w:gridCol w:w="222"/>
        <w:gridCol w:w="664"/>
        <w:gridCol w:w="135"/>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Other </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January 1,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252,925,496 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6,160,780 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(3,406,786)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2,756,487 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85,938 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2,842,425 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rate cap agreements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175,657 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stock purchases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91,990 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offerings,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paid ($0.34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noncontrolling interests to common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noncontrolling interests in Operating Partnership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2025</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253,199,243 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6,167,547 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(3,584,742)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2,585,322 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77,493 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2,662,815 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9520" w:type="dxa"/>
        <w:jc w:val="center"/>
        <w:tblInd w:w="0" w:type="dxa"/>
        <w:tblLayout w:type="fixed"/>
        <w:tblCellMar>
          <w:top w:w="28" w:type="dxa"/>
          <w:left w:w="28" w:type="dxa"/>
          <w:bottom w:w="28" w:type="dxa"/>
          <w:right w:w="28" w:type="dxa"/>
        </w:tblCellMar>
      </w:tblPr>
      <w:tblGrid>
        <w:gridCol w:w="2328"/>
        <w:gridCol w:w="2050"/>
        <w:gridCol w:w="2056"/>
        <w:gridCol w:w="250"/>
        <w:gridCol w:w="944"/>
        <w:gridCol w:w="129"/>
        <w:gridCol w:w="129"/>
        <w:gridCol w:w="129"/>
        <w:gridCol w:w="129"/>
        <w:gridCol w:w="250"/>
        <w:gridCol w:w="944"/>
        <w:gridCol w:w="182"/>
      </w:tblGrid>
      <w:tr>
        <w:trPr/>
        <w:tc>
          <w:tcPr>
            <w:tcW w:w="2328"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3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or write down of assets, net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186,418 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on mortgage notes payable</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share and unit-based plans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and amortization of above and below market leases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joint ventures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dispositions: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and other receivables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144,248 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159,010 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3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redevelopment, expansion and renovation of properties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improvements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leasing costs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joint ventures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to unconsolidated joint ventures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(392,766)</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(314,660)</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88"/>
        <w:gridCol w:w="1864"/>
        <w:gridCol w:w="1869"/>
        <w:gridCol w:w="331"/>
        <w:gridCol w:w="1297"/>
        <w:gridCol w:w="170"/>
        <w:gridCol w:w="170"/>
        <w:gridCol w:w="170"/>
        <w:gridCol w:w="170"/>
        <w:gridCol w:w="331"/>
        <w:gridCol w:w="1297"/>
        <w:gridCol w:w="248"/>
      </w:tblGrid>
      <w:tr>
        <w:trPr/>
        <w:tc>
          <w:tcPr>
            <w:tcW w:w="228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ableContents"/>
              <w:bidi w:val="0"/>
              <w:spacing w:lineRule="auto" w:line="240" w:before="14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7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mortgages, bank and other notes payable</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mortgages, bank and other notes payable</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(479,945)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(134,666)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(costs) from stock offerings, net</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purchases</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noncontrolling interests</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distributions</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(96,165)</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186,501 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203,644 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(62,017)</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47,994 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177,479 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310,946 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225,473 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17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interest, net of amounts capitalized</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transactions:</w:t>
            </w:r>
          </w:p>
        </w:tc>
        <w:tc>
          <w:tcPr>
            <w:tcW w:w="17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development costs included in accounts payable and accrued expenses and other accrued liabilities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Operating Partnership Units to common stock</w:t>
            </w:r>
          </w:p>
        </w:tc>
        <w:tc>
          <w:tcPr>
            <w:tcW w:w="3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17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4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60" w:after="283"/>
        <w:jc w:val="center"/>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Macerich Company (the "Company") is involved in the acquisition, ownership, development, redevelopment, management and leasing of regional retail centers and community/power shopping centers (the "Centers") located throughout the United States.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commenced operations effective with the completion of its initial public offering on March 16, 1994. As of June 30, 2026,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All references to the Company in this Quarterly Report on Form 10-Q include the Company, those entities owned or controlled by the Company and predecessors of the Company,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SanTan Village Regional Center.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Operating Partnership's consolidated VIEs included the following assets and liabilities:</w:t>
      </w:r>
    </w:p>
    <w:tbl>
      <w:tblPr>
        <w:tblW w:w="4749" w:type="dxa"/>
        <w:jc w:val="left"/>
        <w:tblInd w:w="0" w:type="dxa"/>
        <w:tblLayout w:type="fixed"/>
        <w:tblCellMar>
          <w:top w:w="28" w:type="dxa"/>
          <w:left w:w="28" w:type="dxa"/>
          <w:bottom w:w="28" w:type="dxa"/>
          <w:right w:w="28" w:type="dxa"/>
        </w:tblCellMar>
      </w:tblPr>
      <w:tblGrid>
        <w:gridCol w:w="753"/>
        <w:gridCol w:w="662"/>
        <w:gridCol w:w="670"/>
        <w:gridCol w:w="211"/>
        <w:gridCol w:w="826"/>
        <w:gridCol w:w="109"/>
        <w:gridCol w:w="109"/>
        <w:gridCol w:w="109"/>
        <w:gridCol w:w="109"/>
        <w:gridCol w:w="211"/>
        <w:gridCol w:w="826"/>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All intercompany accounts and transactions have been eliminated in the consolidated financial statements.</w:t>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60" w:after="16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(Continued)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unaudited interim consolidated financial statements should be read in conjunction with the Company's audited consolidated financial statements and notes thereto included in the Company's Annual Report on Form 10-K for the year ended December 31, 2025.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2025 has been derived from the audited financial statements but does not include all disclosures required by GAAP.</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beginning of period and end of period cash, cash equivalents and restricted cash reported on the Company's consolidated balance sheets to the totals shown on its consolidated statements of cash flows:</w:t>
      </w:r>
    </w:p>
    <w:tbl>
      <w:tblPr>
        <w:tblW w:w="6206" w:type="dxa"/>
        <w:jc w:val="left"/>
        <w:tblInd w:w="0" w:type="dxa"/>
        <w:tblLayout w:type="fixed"/>
        <w:tblCellMar>
          <w:top w:w="28" w:type="dxa"/>
          <w:left w:w="28" w:type="dxa"/>
          <w:bottom w:w="28" w:type="dxa"/>
          <w:right w:w="28" w:type="dxa"/>
        </w:tblCellMar>
      </w:tblPr>
      <w:tblGrid>
        <w:gridCol w:w="1271"/>
        <w:gridCol w:w="1116"/>
        <w:gridCol w:w="1123"/>
        <w:gridCol w:w="213"/>
        <w:gridCol w:w="837"/>
        <w:gridCol w:w="110"/>
        <w:gridCol w:w="110"/>
        <w:gridCol w:w="110"/>
        <w:gridCol w:w="110"/>
        <w:gridCol w:w="213"/>
        <w:gridCol w:w="837"/>
        <w:gridCol w:w="156"/>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of period</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372,963 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177,479 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 of period</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310,946 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(the "FASB") issued Accounting Standards Update ("ASU") 2024-03, Income Statement - Reporting Comprehensive Income - Expense Disaggregation Disclosures (Subtopic 220-40): Disaggregation of Income Statement Expenses ("ASU 2024-03"). The amendments in ASU 2024-03 apply to all public business entities and require disclosure of specified information about certain costs and expenses. ASU 2024-03 is effective for annual reporting periods beginning after December 15, 2026, and interim periods within fiscal years beginning after December 15, 2027, with early adoption permitted. The Company is currently evaluating the potential impact of adopting ASU 2024-03.</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2024-04, Debt - Debt with Conversion and Other Options (Subtopic 470-20): Induced Conversions of Convertible Debt Instruments ("ASU 2024-04"). The amendments in ASU 2024-04 clarify the requirements for determining whether certain settlements of convertible debt instruments should be accounted for as an induced conversion. The new guidance is effective for annual reporting periods beginning after December 15, 2025, and interim periods within those annual periods. The Company adopted ASU 2024-04 as of January 1, 2026. The adoption did not have a material impact on the Company's consolidated financial statements, as the Company has not entered into any exchange-related settlements, modifications, or inducement transactions.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Narrow-Scope Improvements ("ASU 2025-11"). The amendments in ASU 2025-11 clarify interim reporting disclosure requirements in Accounting Standards Codification ("ASC") 270 and introduce a new disclosure principle for reporting material events occurring after the most recent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60" w:after="16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(Continued)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annual period. ASU 2025-11 is effective for interim periods within fiscal years beginning after December 15, 2027, with early adoption permitted. The Company is currently evaluating the potential impact of adopting ASU 2025-11.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3. Earnings Per Share ("EPS"):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numerator and denominator used in the computation of EPS for the three and six months ended June 30, 2026 and 2025 (shares in thousands):</w:t>
      </w:r>
    </w:p>
    <w:tbl>
      <w:tblPr>
        <w:tblW w:w="10205" w:type="dxa"/>
        <w:jc w:val="left"/>
        <w:tblInd w:w="0" w:type="dxa"/>
        <w:tblLayout w:type="fixed"/>
        <w:tblCellMar>
          <w:top w:w="28" w:type="dxa"/>
          <w:left w:w="28" w:type="dxa"/>
          <w:bottom w:w="28" w:type="dxa"/>
          <w:right w:w="28" w:type="dxa"/>
        </w:tblCellMar>
      </w:tblPr>
      <w:tblGrid>
        <w:gridCol w:w="1686"/>
        <w:gridCol w:w="1478"/>
        <w:gridCol w:w="1493"/>
        <w:gridCol w:w="222"/>
        <w:gridCol w:w="807"/>
        <w:gridCol w:w="114"/>
        <w:gridCol w:w="114"/>
        <w:gridCol w:w="114"/>
        <w:gridCol w:w="114"/>
        <w:gridCol w:w="222"/>
        <w:gridCol w:w="807"/>
        <w:gridCol w:w="114"/>
        <w:gridCol w:w="109"/>
        <w:gridCol w:w="109"/>
        <w:gridCol w:w="109"/>
        <w:gridCol w:w="214"/>
        <w:gridCol w:w="778"/>
        <w:gridCol w:w="110"/>
        <w:gridCol w:w="110"/>
        <w:gridCol w:w="110"/>
        <w:gridCol w:w="110"/>
        <w:gridCol w:w="214"/>
        <w:gridCol w:w="778"/>
        <w:gridCol w:w="169"/>
      </w:tblGrid>
      <w:tr>
        <w:trPr/>
        <w:tc>
          <w:tcPr>
            <w:tcW w:w="168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the Company</w:t>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(27,071)</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(40,905)</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(63,421)</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(91,029)</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 of earnings to participating securities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EPS—net loss attributable to common stockholders</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(27,285)</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(41,098)</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(63,849)</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(91,418)</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and diluted EPS—weighted average number of common shares outstanding(1)</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EPS—net loss attributable to common stockholders</w:t>
            </w:r>
          </w:p>
        </w:tc>
        <w:tc>
          <w:tcPr>
            <w:tcW w:w="114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Diluted EPS excludes 99,565 convertible preferred partnership units for each of the three and six months ended June 30, 2026 and 2025, as their impact was antidilutive. Diluted EPS also excludes 11,302,700 and 10,881,462 Operating Partnership units ("OP Units") for the three months ended June 30, 2026 and 2025, respectively, and 11,332,846 and 10,883,552 OP Units for the six months ended June 30, 2026 and 2025, respectively, as their impact was antidilutive.</w:t>
      </w:r>
    </w:p>
    <w:p>
      <w:pPr>
        <w:pStyle w:val="TextBody"/>
        <w:bidi w:val="0"/>
        <w:spacing w:before="60" w:after="6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4. Investments in Unconsolidated Joint Ventures: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made the following recent financings or other events within its unconsolidated joint ventures: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February 7, 2025, the Company's joint venture in Flatiron Crossing repaid in full the $14,532 mezzanine loan and $14,532 of the first mortgage, and obtained a 90-day extension for the remaining $140,480 of the first mortgage. The mezzanine loan had an interest rate of SOFR plus 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$140,480 ($71,644 at the Company's pro rata share) of the first mortgage.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sold its remaining 5% effective interest in Paradise Valley Mall in Phoenix, Arizona for $5,532. The Company used the proceeds for general corporate purposes. The Company recognized a loss of approximately $1,157 in connection with this transaction (See Note 6 – Property, net).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30, 2025, the Company’s joint venture closed on the sale of Atlas Park for $72,000. Concurrent with the sale, the $65,000 loan ($32,500 at the Company’s share) owed by the joint venture was paid off in full. The Company used its share of net proceeds for general corporate purposes. The Company's share of the gain from this transaction was $11,953.</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Effective February 6, 2026, the $150,000 ($76,500 at the Company's pro rata share) loan on Twenty Ninth Street is in default. The Company's joint venture is in negotiations with the lender on the terms of this loan.</w:t>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4. Investments in Unconsolidated Joint Ventures: (Continued)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7, 2026, the Company’s joint venture in Deptford Mall replaced the existing $131,212 ($66,918 at the Company’s pro rata share) loan with a $115,000 interest only loan ($58,650 at the Company’s pro rata share) that bears interest at a fixed rate of 6.95% and matures on May 6, 2031.</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June 18, 2026, the Company sold its 19% interest in West Acres, a 673,000 square foot regional retail center in Fargo, North Dakota, for $1,400, which included the buyer's assumption of the $12,850 in outstanding loans at the Company's pro rata share. The Company used the proceeds for general corporate purposes. The Company recognized a gain of $6,565 in connection with this transaction (See Note 6 – Property, net).</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Combined and condensed balance sheets and statements of operations are presented below for all unconsolidated joint ventures.</w:t>
      </w:r>
    </w:p>
    <w:p>
      <w:pPr>
        <w:pStyle w:val="TextBody"/>
        <w:bidi w:val="0"/>
        <w:spacing w:lineRule="auto" w:line="288" w:before="160" w:after="160"/>
        <w:ind w:left="0" w:right="0" w:firstLine="495"/>
        <w:jc w:val="left"/>
        <w:rPr>
          <w:rFonts w:ascii="Times New Roman;serif" w:hAnsi="Times New Roman;serif"/>
          <w:b/>
          <w:color w:val="000000"/>
          <w:sz w:val="20"/>
        </w:rPr>
      </w:pPr>
      <w:r>
        <w:rPr>
          <w:rFonts w:ascii="Times New Roman;serif" w:hAnsi="Times New Roman;serif"/>
          <w:b/>
          <w:color w:val="000000"/>
          <w:sz w:val="20"/>
        </w:rPr>
        <w:t>Combined and Condensed Balance Sheets of Unconsolidated Joint Ventures:</w:t>
      </w:r>
    </w:p>
    <w:tbl>
      <w:tblPr>
        <w:tblW w:w="9879" w:type="dxa"/>
        <w:jc w:val="left"/>
        <w:tblInd w:w="0" w:type="dxa"/>
        <w:tblLayout w:type="fixed"/>
        <w:tblCellMar>
          <w:top w:w="28" w:type="dxa"/>
          <w:left w:w="28" w:type="dxa"/>
          <w:bottom w:w="28" w:type="dxa"/>
          <w:right w:w="28" w:type="dxa"/>
        </w:tblCellMar>
      </w:tblPr>
      <w:tblGrid>
        <w:gridCol w:w="2496"/>
        <w:gridCol w:w="2197"/>
        <w:gridCol w:w="2222"/>
        <w:gridCol w:w="211"/>
        <w:gridCol w:w="976"/>
        <w:gridCol w:w="109"/>
        <w:gridCol w:w="109"/>
        <w:gridCol w:w="109"/>
        <w:gridCol w:w="109"/>
        <w:gridCol w:w="211"/>
        <w:gridCol w:w="976"/>
        <w:gridCol w:w="154"/>
      </w:tblGrid>
      <w:tr>
        <w:trPr/>
        <w:tc>
          <w:tcPr>
            <w:tcW w:w="2496"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3,613,788 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partners' capital:</w:t>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Company's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partners'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3,613,788 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joint ventures:</w:t>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Company's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Basis adjustment(1)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Assets—Investments in unconsolidated joint ventures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Liabilities—Distributions in excess of investments in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512,687 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The Company amortizes the difference between the cost of its investments in unconsolidated joint ventures and the book value of the underlying equity and adjusts the basis adjustment for impairment and disposition transactions that may occur, into the Company's share of net loss. The amortization of this difference was $5,654 and $5,314 for the three months ended June 30, 2026 and 2025, respectively, and $10,635 and $10,662 for the six months ended June 30, 2026 and 2025, respectively.</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Investments in Unconsolidated Joint Ventures: (Continued)</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color w:val="000000"/>
          <w:sz w:val="20"/>
        </w:rPr>
      </w:pPr>
      <w:r>
        <w:rPr>
          <w:rFonts w:ascii="Times New Roman;serif" w:hAnsi="Times New Roman;serif"/>
          <w:b/>
          <w:color w:val="000000"/>
          <w:sz w:val="20"/>
        </w:rPr>
        <w:t>Combined and Condensed Statements of Operations of Unconsolidated Joint Ventures:</w:t>
      </w:r>
    </w:p>
    <w:p>
      <w:pPr>
        <w:pStyle w:val="TextBody"/>
        <w:bidi w:val="0"/>
        <w:spacing w:before="0" w:after="0"/>
        <w:ind w:left="0" w:right="0" w:firstLine="495"/>
        <w:jc w:val="left"/>
        <w:rPr/>
      </w:pPr>
      <w:r>
        <w:rPr/>
      </w:r>
    </w:p>
    <w:tbl>
      <w:tblPr>
        <w:tblW w:w="4897" w:type="dxa"/>
        <w:jc w:val="center"/>
        <w:tblInd w:w="0" w:type="dxa"/>
        <w:tblLayout w:type="fixed"/>
        <w:tblCellMar>
          <w:top w:w="28" w:type="dxa"/>
          <w:left w:w="28" w:type="dxa"/>
          <w:bottom w:w="28" w:type="dxa"/>
          <w:right w:w="28" w:type="dxa"/>
        </w:tblCellMar>
      </w:tblPr>
      <w:tblGrid>
        <w:gridCol w:w="1231"/>
        <w:gridCol w:w="1082"/>
        <w:gridCol w:w="1092"/>
        <w:gridCol w:w="211"/>
        <w:gridCol w:w="691"/>
        <w:gridCol w:w="109"/>
        <w:gridCol w:w="109"/>
        <w:gridCol w:w="109"/>
        <w:gridCol w:w="109"/>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w:t>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Shopping center and operating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or write down of assets, net</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Company's equity in net loss(2)</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2025</w:t>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Shopping center and operating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or write down of assets, net</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Company's equity in net loss</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This represents income received from legal claims settlements, net.</w:t>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(2)    This amount includes an impairment loss at the Company's share of $7,951 for the three months ended June 30, 2026.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Significant accounting policies used by the unconsolidated joint ventures are similar to those used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4. Investments in Unconsolidated Joint Ventures: (Continued)</w:t>
      </w:r>
    </w:p>
    <w:p>
      <w:pPr>
        <w:pStyle w:val="TextBody"/>
        <w:bidi w:val="0"/>
        <w:spacing w:lineRule="auto" w:line="288" w:before="0" w:after="0"/>
        <w:ind w:left="0" w:right="0" w:firstLine="495"/>
        <w:jc w:val="left"/>
        <w:rPr>
          <w:rFonts w:ascii="Times New Roman;serif" w:hAnsi="Times New Roman;serif"/>
          <w:b/>
          <w:color w:val="000000"/>
          <w:sz w:val="20"/>
        </w:rPr>
      </w:pPr>
      <w:r>
        <w:rPr>
          <w:rFonts w:ascii="Times New Roman;serif" w:hAnsi="Times New Roman;serif"/>
          <w:b/>
          <w:color w:val="000000"/>
          <w:sz w:val="20"/>
        </w:rPr>
        <w:t>Combined and Condensed Statements of Operations of Unconsolidated Joint Ventures:</w:t>
      </w:r>
    </w:p>
    <w:p>
      <w:pPr>
        <w:pStyle w:val="TextBody"/>
        <w:bidi w:val="0"/>
        <w:spacing w:before="0" w:after="0"/>
        <w:ind w:left="0" w:right="0" w:firstLine="495"/>
        <w:jc w:val="left"/>
        <w:rPr/>
      </w:pPr>
      <w:r>
        <w:rPr/>
      </w:r>
    </w:p>
    <w:tbl>
      <w:tblPr>
        <w:tblW w:w="5002" w:type="dxa"/>
        <w:jc w:val="left"/>
        <w:tblInd w:w="0" w:type="dxa"/>
        <w:tblLayout w:type="fixed"/>
        <w:tblCellMar>
          <w:top w:w="28" w:type="dxa"/>
          <w:left w:w="28" w:type="dxa"/>
          <w:bottom w:w="28" w:type="dxa"/>
          <w:right w:w="28" w:type="dxa"/>
        </w:tblCellMar>
      </w:tblPr>
      <w:tblGrid>
        <w:gridCol w:w="1231"/>
        <w:gridCol w:w="1083"/>
        <w:gridCol w:w="1091"/>
        <w:gridCol w:w="211"/>
        <w:gridCol w:w="796"/>
        <w:gridCol w:w="109"/>
        <w:gridCol w:w="109"/>
        <w:gridCol w:w="109"/>
        <w:gridCol w:w="109"/>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Shopping center and operating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or write down of assets, net</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Company's equity in net loss(2)</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2025</w:t>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Shopping center and operating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or write down of assets, net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Company's equity in net loss</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This represents income received from legal claims settlements, net.</w:t>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    This amount includes an impairment loss at the Company's share of $7,951 for the six months ended June 30, 2026.</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Significant accounting policies used by the unconsolidated joint ventures are similar to those used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5. Derivative Instruments and Hedging Activities: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uses interest rate cap agreements to manage the interest rate risk on certain floating rate debt. The Company recorded other comprehensive income related to the marking-to-market of derivative instruments of $2 and $1 for the three months ended June 30, 2026 and 2025, respectively, and $4 and $21 for the six months ended June 30, 2026 and 2025, respectively. The amounts in other comprehensive income represent the Company's pro rata share of hedged derivative instruments from certain unconsolidated joint ventures. The following derivative was outstanding at June 30, 2026 and December 31, 2025:</w:t>
      </w:r>
    </w:p>
    <w:tbl>
      <w:tblPr>
        <w:tblW w:w="10081" w:type="dxa"/>
        <w:jc w:val="left"/>
        <w:tblInd w:w="0" w:type="dxa"/>
        <w:tblLayout w:type="fixed"/>
        <w:tblCellMar>
          <w:top w:w="28" w:type="dxa"/>
          <w:left w:w="28" w:type="dxa"/>
          <w:bottom w:w="28" w:type="dxa"/>
          <w:right w:w="28" w:type="dxa"/>
        </w:tblCellMar>
      </w:tblPr>
      <w:tblGrid>
        <w:gridCol w:w="397"/>
        <w:gridCol w:w="348"/>
        <w:gridCol w:w="350"/>
        <w:gridCol w:w="109"/>
        <w:gridCol w:w="109"/>
        <w:gridCol w:w="109"/>
        <w:gridCol w:w="344"/>
        <w:gridCol w:w="344"/>
        <w:gridCol w:w="348"/>
        <w:gridCol w:w="109"/>
        <w:gridCol w:w="109"/>
        <w:gridCol w:w="109"/>
        <w:gridCol w:w="257"/>
        <w:gridCol w:w="965"/>
        <w:gridCol w:w="143"/>
        <w:gridCol w:w="109"/>
        <w:gridCol w:w="109"/>
        <w:gridCol w:w="109"/>
        <w:gridCol w:w="230"/>
        <w:gridCol w:w="230"/>
        <w:gridCol w:w="231"/>
        <w:gridCol w:w="109"/>
        <w:gridCol w:w="109"/>
        <w:gridCol w:w="109"/>
        <w:gridCol w:w="233"/>
        <w:gridCol w:w="233"/>
        <w:gridCol w:w="513"/>
        <w:gridCol w:w="109"/>
        <w:gridCol w:w="109"/>
        <w:gridCol w:w="109"/>
        <w:gridCol w:w="255"/>
        <w:gridCol w:w="255"/>
        <w:gridCol w:w="256"/>
        <w:gridCol w:w="109"/>
        <w:gridCol w:w="109"/>
        <w:gridCol w:w="109"/>
        <w:gridCol w:w="222"/>
        <w:gridCol w:w="375"/>
        <w:gridCol w:w="123"/>
        <w:gridCol w:w="109"/>
        <w:gridCol w:w="109"/>
        <w:gridCol w:w="109"/>
        <w:gridCol w:w="327"/>
        <w:gridCol w:w="554"/>
        <w:gridCol w:w="259"/>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SOFR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0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Crabtree Mall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Non-Hedged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159,100 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above derivative was valued with an aggregate fair value (Level 2 measurement) and was included in deferred charges and other assets, net. The fair value of the Company's interest rate derivative was determined using discounted cash flow analysis on the expected cash flows of the derivative. This analysis reflects the contractual terms of the derivative,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Although the Company has determined that the majority of the inputs used to value its derivative falls within Level 2 of the fair value hierarchy, the credit valuation adjustments associated with its derivative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 As a result, the Company determined that its interest rate cap valuation in its entirety is classified in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6. Property, net: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net consists of the following:    </w:t>
      </w:r>
    </w:p>
    <w:tbl>
      <w:tblPr>
        <w:tblW w:w="5589" w:type="dxa"/>
        <w:jc w:val="left"/>
        <w:tblInd w:w="0" w:type="dxa"/>
        <w:tblLayout w:type="fixed"/>
        <w:tblCellMar>
          <w:top w:w="28" w:type="dxa"/>
          <w:left w:w="28" w:type="dxa"/>
          <w:bottom w:w="28" w:type="dxa"/>
          <w:right w:w="28" w:type="dxa"/>
        </w:tblCellMar>
      </w:tblPr>
      <w:tblGrid>
        <w:gridCol w:w="951"/>
        <w:gridCol w:w="833"/>
        <w:gridCol w:w="841"/>
        <w:gridCol w:w="211"/>
        <w:gridCol w:w="976"/>
        <w:gridCol w:w="109"/>
        <w:gridCol w:w="109"/>
        <w:gridCol w:w="109"/>
        <w:gridCol w:w="109"/>
        <w:gridCol w:w="211"/>
        <w:gridCol w:w="97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furnishings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9,200,647 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6,909,902 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6,688,128 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95"/>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Depreciation expense was $74,202 and $73,250 for the three months ended June 30, 2026 and 2025, respectively, and $145,858 and $146,696 for the six months ended June 30, 2026 and 2025, respectively.</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6. Property, net: (Continued)</w:t>
      </w:r>
    </w:p>
    <w:p>
      <w:pPr>
        <w:pStyle w:val="TextBody"/>
        <w:bidi w:val="0"/>
        <w:spacing w:before="0" w:after="0"/>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Gain (loss) on sale or write-down of assets, net for the three and six months ended June 30, 2026 and 2025 consists of the following:</w:t>
      </w:r>
    </w:p>
    <w:tbl>
      <w:tblPr>
        <w:tblW w:w="8881" w:type="dxa"/>
        <w:jc w:val="left"/>
        <w:tblInd w:w="0" w:type="dxa"/>
        <w:tblLayout w:type="fixed"/>
        <w:tblCellMar>
          <w:top w:w="28" w:type="dxa"/>
          <w:left w:w="28" w:type="dxa"/>
          <w:bottom w:w="28" w:type="dxa"/>
          <w:right w:w="28" w:type="dxa"/>
        </w:tblCellMar>
      </w:tblPr>
      <w:tblGrid>
        <w:gridCol w:w="973"/>
        <w:gridCol w:w="854"/>
        <w:gridCol w:w="857"/>
        <w:gridCol w:w="109"/>
        <w:gridCol w:w="109"/>
        <w:gridCol w:w="109"/>
        <w:gridCol w:w="252"/>
        <w:gridCol w:w="738"/>
        <w:gridCol w:w="130"/>
        <w:gridCol w:w="130"/>
        <w:gridCol w:w="130"/>
        <w:gridCol w:w="130"/>
        <w:gridCol w:w="252"/>
        <w:gridCol w:w="953"/>
        <w:gridCol w:w="130"/>
        <w:gridCol w:w="109"/>
        <w:gridCol w:w="109"/>
        <w:gridCol w:w="109"/>
        <w:gridCol w:w="225"/>
        <w:gridCol w:w="770"/>
        <w:gridCol w:w="116"/>
        <w:gridCol w:w="116"/>
        <w:gridCol w:w="116"/>
        <w:gridCol w:w="116"/>
        <w:gridCol w:w="225"/>
        <w:gridCol w:w="850"/>
        <w:gridCol w:w="16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property sales, net(1)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write-down of assets(2)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land sales, net(3)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(10,484)</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    For the three and six months ended June 30, 2026, includes a gain of $6,565 from the sale of the Company's interest in West Acres (See Note 4—Investments in Unconsolidated Joint Ventures). For the three and six months ended June 30, 2025, includes gains related to the sale of 1010-1016 Market Street parcels and a former department store parcel located in Petaluma, California offset in part by losses related to the sale of Wilton Mall and the Company's partnership's interest in Paradise Valley Mall (See Note 4—Investments in Unconsolidated Joint Ventures and Note 15—Dispositions).</w:t>
      </w:r>
    </w:p>
    <w:p>
      <w:pPr>
        <w:pStyle w:val="TextBody"/>
        <w:bidi w:val="0"/>
        <w:spacing w:before="0" w:after="0"/>
        <w:jc w:val="left"/>
        <w:rPr/>
      </w:pPr>
      <w:r>
        <w:rPr/>
      </w:r>
    </w:p>
    <w:p>
      <w:pPr>
        <w:pStyle w:val="TextBody"/>
        <w:bidi w:val="0"/>
        <w:spacing w:lineRule="auto" w:line="256"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(2)    Includes $3,119 related to the write off of development costs for the six months ended June 30, 2026 and impairment losses of $12,942 and $26,285 for the three and six months ended June 30, 2025 due to the reduction of the estimated holding periods of certain properties, including SouthPark Mall and Valley Mall.</w:t>
      </w:r>
    </w:p>
    <w:p>
      <w:pPr>
        <w:pStyle w:val="TextBody"/>
        <w:bidi w:val="0"/>
        <w:spacing w:lineRule="auto" w:line="288" w:before="160" w:after="1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(3)    See Note 15—Dispositions.</w:t>
      </w:r>
    </w:p>
    <w:p>
      <w:pPr>
        <w:pStyle w:val="TextBody"/>
        <w:bidi w:val="0"/>
        <w:spacing w:before="160" w:after="160"/>
        <w:ind w:left="0" w:right="0" w:hanging="54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of the Company's assets that were measured on a nonrecurring basis as a result of the impairment losses recorded for the three and six months ended June 30, 2026 and 2025, as described above:</w:t>
      </w:r>
    </w:p>
    <w:tbl>
      <w:tblPr>
        <w:tblW w:w="10205" w:type="dxa"/>
        <w:jc w:val="left"/>
        <w:tblInd w:w="0" w:type="dxa"/>
        <w:tblLayout w:type="fixed"/>
        <w:tblCellMar>
          <w:top w:w="28" w:type="dxa"/>
          <w:left w:w="28" w:type="dxa"/>
          <w:bottom w:w="28" w:type="dxa"/>
          <w:right w:w="28" w:type="dxa"/>
        </w:tblCellMar>
      </w:tblPr>
      <w:tblGrid>
        <w:gridCol w:w="292"/>
        <w:gridCol w:w="257"/>
        <w:gridCol w:w="259"/>
        <w:gridCol w:w="109"/>
        <w:gridCol w:w="109"/>
        <w:gridCol w:w="109"/>
        <w:gridCol w:w="376"/>
        <w:gridCol w:w="1290"/>
        <w:gridCol w:w="196"/>
        <w:gridCol w:w="109"/>
        <w:gridCol w:w="109"/>
        <w:gridCol w:w="109"/>
        <w:gridCol w:w="679"/>
        <w:gridCol w:w="1309"/>
        <w:gridCol w:w="356"/>
        <w:gridCol w:w="109"/>
        <w:gridCol w:w="109"/>
        <w:gridCol w:w="109"/>
        <w:gridCol w:w="390"/>
        <w:gridCol w:w="1335"/>
        <w:gridCol w:w="203"/>
        <w:gridCol w:w="109"/>
        <w:gridCol w:w="109"/>
        <w:gridCol w:w="109"/>
        <w:gridCol w:w="532"/>
        <w:gridCol w:w="1024"/>
        <w:gridCol w:w="399"/>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80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Fair Value Measurement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w:t>
            </w:r>
          </w:p>
        </w:tc>
      </w:tr>
      <w:tr>
        <w:trPr/>
        <w:tc>
          <w:tcPr>
            <w:tcW w:w="8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fair value (Level 2 measurement) related to the 2025 impairments are based on sales contracts and are classified within Level 2 of the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7. Tenant and Other Receivables, net: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Included in tenant and other receivables, net is an allowance for doubtful accounts of $9,731 and $7,789 at June 30, 2026 and December 31, 2025, respectively. Also included in tenant and other receivables, net are accrued percentage rents of $1,811 and $15,360 at June 30, 2026 and December 31, 2025, respectively, and a deferred rent receivable due to straight-line rent adjustments of $97,899 and $94,539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Lessor Leases: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8. Leases: (Continued)</w: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considered probable, lease income is recognized on a cash basis and all previously recognized tenant accounts receivables, including straight-line rent, are fully reserved in the period in which the lease income is determined not to be probable of collection.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leasing revenue for the three and six months ended June 30, 2026 and 2025:</w:t>
      </w:r>
    </w:p>
    <w:tbl>
      <w:tblPr>
        <w:tblW w:w="9004" w:type="dxa"/>
        <w:jc w:val="left"/>
        <w:tblInd w:w="0" w:type="dxa"/>
        <w:tblLayout w:type="fixed"/>
        <w:tblCellMar>
          <w:top w:w="28" w:type="dxa"/>
          <w:left w:w="28" w:type="dxa"/>
          <w:bottom w:w="28" w:type="dxa"/>
          <w:right w:w="28" w:type="dxa"/>
        </w:tblCellMar>
      </w:tblPr>
      <w:tblGrid>
        <w:gridCol w:w="1135"/>
        <w:gridCol w:w="998"/>
        <w:gridCol w:w="1002"/>
        <w:gridCol w:w="229"/>
        <w:gridCol w:w="899"/>
        <w:gridCol w:w="118"/>
        <w:gridCol w:w="118"/>
        <w:gridCol w:w="118"/>
        <w:gridCol w:w="118"/>
        <w:gridCol w:w="229"/>
        <w:gridCol w:w="899"/>
        <w:gridCol w:w="118"/>
        <w:gridCol w:w="109"/>
        <w:gridCol w:w="109"/>
        <w:gridCol w:w="109"/>
        <w:gridCol w:w="213"/>
        <w:gridCol w:w="837"/>
        <w:gridCol w:w="110"/>
        <w:gridCol w:w="110"/>
        <w:gridCol w:w="110"/>
        <w:gridCol w:w="110"/>
        <w:gridCol w:w="213"/>
        <w:gridCol w:w="837"/>
        <w:gridCol w:w="156"/>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revenue—fixed payments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178,173 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356,190 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revenue—variable payments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233,442 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232,725 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459,418 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468,372 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95"/>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future rental payments to the Company:</w:t>
      </w:r>
    </w:p>
    <w:tbl>
      <w:tblPr>
        <w:tblW w:w="4427" w:type="dxa"/>
        <w:jc w:val="left"/>
        <w:tblInd w:w="0" w:type="dxa"/>
        <w:tblLayout w:type="fixed"/>
        <w:tblCellMar>
          <w:top w:w="28" w:type="dxa"/>
          <w:left w:w="28" w:type="dxa"/>
          <w:bottom w:w="28" w:type="dxa"/>
          <w:right w:w="28" w:type="dxa"/>
        </w:tblCellMar>
      </w:tblPr>
      <w:tblGrid>
        <w:gridCol w:w="997"/>
        <w:gridCol w:w="877"/>
        <w:gridCol w:w="885"/>
        <w:gridCol w:w="109"/>
        <w:gridCol w:w="109"/>
        <w:gridCol w:w="109"/>
        <w:gridCol w:w="211"/>
        <w:gridCol w:w="976"/>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Twelve months ending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1,148,353 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3,609,343 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Lessee Leases: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lease costs for the three and six months ended June 30, 2026 and 2025:</w:t>
      </w:r>
    </w:p>
    <w:tbl>
      <w:tblPr>
        <w:tblW w:w="8961" w:type="dxa"/>
        <w:jc w:val="left"/>
        <w:tblInd w:w="0" w:type="dxa"/>
        <w:tblLayout w:type="fixed"/>
        <w:tblCellMar>
          <w:top w:w="28" w:type="dxa"/>
          <w:left w:w="28" w:type="dxa"/>
          <w:bottom w:w="28" w:type="dxa"/>
          <w:right w:w="28" w:type="dxa"/>
        </w:tblCellMar>
      </w:tblPr>
      <w:tblGrid>
        <w:gridCol w:w="1118"/>
        <w:gridCol w:w="983"/>
        <w:gridCol w:w="989"/>
        <w:gridCol w:w="273"/>
        <w:gridCol w:w="798"/>
        <w:gridCol w:w="141"/>
        <w:gridCol w:w="141"/>
        <w:gridCol w:w="141"/>
        <w:gridCol w:w="141"/>
        <w:gridCol w:w="273"/>
        <w:gridCol w:w="798"/>
        <w:gridCol w:w="141"/>
        <w:gridCol w:w="109"/>
        <w:gridCol w:w="109"/>
        <w:gridCol w:w="109"/>
        <w:gridCol w:w="253"/>
        <w:gridCol w:w="741"/>
        <w:gridCol w:w="131"/>
        <w:gridCol w:w="131"/>
        <w:gridCol w:w="131"/>
        <w:gridCol w:w="131"/>
        <w:gridCol w:w="253"/>
        <w:gridCol w:w="741"/>
        <w:gridCol w:w="185"/>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right-of-use assets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on lease liabilities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8. Leases: (Continued)</w:t>
      </w:r>
    </w:p>
    <w:p>
      <w:pPr>
        <w:pStyle w:val="TextBody"/>
        <w:bidi w:val="0"/>
        <w:spacing w:before="0" w:after="0"/>
        <w:jc w:val="left"/>
        <w:rPr/>
      </w:pPr>
      <w:r>
        <w:rPr/>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future rental payments required under the operating leases:        </w:t>
      </w:r>
    </w:p>
    <w:tbl>
      <w:tblPr>
        <w:tblW w:w="6054" w:type="dxa"/>
        <w:jc w:val="left"/>
        <w:tblInd w:w="0" w:type="dxa"/>
        <w:tblLayout w:type="fixed"/>
        <w:tblCellMar>
          <w:top w:w="28" w:type="dxa"/>
          <w:left w:w="28" w:type="dxa"/>
          <w:bottom w:w="28" w:type="dxa"/>
          <w:right w:w="28" w:type="dxa"/>
        </w:tblCellMar>
      </w:tblPr>
      <w:tblGrid>
        <w:gridCol w:w="1382"/>
        <w:gridCol w:w="1220"/>
        <w:gridCol w:w="1223"/>
        <w:gridCol w:w="109"/>
        <w:gridCol w:w="109"/>
        <w:gridCol w:w="109"/>
        <w:gridCol w:w="211"/>
        <w:gridCol w:w="721"/>
        <w:gridCol w:w="271"/>
        <w:gridCol w:w="109"/>
        <w:gridCol w:w="109"/>
        <w:gridCol w:w="109"/>
        <w:gridCol w:w="109"/>
        <w:gridCol w:w="109"/>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rental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incremental borrowing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9. Deferred Charges and Other Assets, net:</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 net consist of the following:</w:t>
      </w:r>
    </w:p>
    <w:tbl>
      <w:tblPr>
        <w:tblW w:w="5768" w:type="dxa"/>
        <w:jc w:val="left"/>
        <w:tblInd w:w="0" w:type="dxa"/>
        <w:tblLayout w:type="fixed"/>
        <w:tblCellMar>
          <w:top w:w="28" w:type="dxa"/>
          <w:left w:w="28" w:type="dxa"/>
          <w:bottom w:w="28" w:type="dxa"/>
          <w:right w:w="28" w:type="dxa"/>
        </w:tblCellMar>
      </w:tblPr>
      <w:tblGrid>
        <w:gridCol w:w="1121"/>
        <w:gridCol w:w="988"/>
        <w:gridCol w:w="995"/>
        <w:gridCol w:w="211"/>
        <w:gridCol w:w="826"/>
        <w:gridCol w:w="109"/>
        <w:gridCol w:w="109"/>
        <w:gridCol w:w="109"/>
        <w:gridCol w:w="109"/>
        <w:gridCol w:w="211"/>
        <w:gridCol w:w="826"/>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 values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commissions and legal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Above-market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720"/>
        <w:jc w:val="center"/>
        <w:rPr/>
      </w:pPr>
      <w:r>
        <w:rPr/>
      </w:r>
    </w:p>
    <w:p>
      <w:pPr>
        <w:pStyle w:val="TextBody"/>
        <w:bidi w:val="0"/>
        <w:spacing w:lineRule="auto" w:line="288" w:before="6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Accumulated amortization includes $67,857 and $65,741 relating to in-place lease values, leasing commissions and legal costs at June 30, 2026 and December 31, 2025, respectively. Amortization expense of in-place lease values, leasing commissions and legal costs was $10,494 and $13,806 for the three months ended June 30, 2026 and 2025, respectively, and $20,467 and $31,447 for the six months ended June 30, 2026 and 2025, respectively.</w:t>
      </w:r>
    </w:p>
    <w:p>
      <w:pPr>
        <w:pStyle w:val="TextBody"/>
        <w:bidi w:val="0"/>
        <w:spacing w:before="60" w:after="6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9. Deferred Charges and Other Assets, net: (Continued)</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The allocated values of above-market leases and below-market leases consist of the following:</w:t>
      </w:r>
    </w:p>
    <w:tbl>
      <w:tblPr>
        <w:tblW w:w="5304" w:type="dxa"/>
        <w:jc w:val="left"/>
        <w:tblInd w:w="0" w:type="dxa"/>
        <w:tblLayout w:type="fixed"/>
        <w:tblCellMar>
          <w:top w:w="28" w:type="dxa"/>
          <w:left w:w="28" w:type="dxa"/>
          <w:bottom w:w="28" w:type="dxa"/>
          <w:right w:w="28" w:type="dxa"/>
        </w:tblCellMar>
      </w:tblPr>
      <w:tblGrid>
        <w:gridCol w:w="955"/>
        <w:gridCol w:w="840"/>
        <w:gridCol w:w="845"/>
        <w:gridCol w:w="211"/>
        <w:gridCol w:w="826"/>
        <w:gridCol w:w="109"/>
        <w:gridCol w:w="109"/>
        <w:gridCol w:w="109"/>
        <w:gridCol w:w="109"/>
        <w:gridCol w:w="211"/>
        <w:gridCol w:w="82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Above-Market Leases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allocated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Below-Market Leases(1)</w:t>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allocated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Below-market leases are included in other accrued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10. Mortgage Notes Payable:</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Mortgage notes payable at June 30, 2026 and December 31, 2025 consist of the following:</w:t>
      </w:r>
    </w:p>
    <w:tbl>
      <w:tblPr>
        <w:tblW w:w="10205" w:type="dxa"/>
        <w:jc w:val="left"/>
        <w:tblInd w:w="0" w:type="dxa"/>
        <w:tblLayout w:type="fixed"/>
        <w:tblCellMar>
          <w:top w:w="28" w:type="dxa"/>
          <w:left w:w="28" w:type="dxa"/>
          <w:bottom w:w="28" w:type="dxa"/>
          <w:right w:w="28" w:type="dxa"/>
        </w:tblCellMar>
      </w:tblPr>
      <w:tblGrid>
        <w:gridCol w:w="1026"/>
        <w:gridCol w:w="857"/>
        <w:gridCol w:w="863"/>
        <w:gridCol w:w="109"/>
        <w:gridCol w:w="109"/>
        <w:gridCol w:w="109"/>
        <w:gridCol w:w="217"/>
        <w:gridCol w:w="1005"/>
        <w:gridCol w:w="112"/>
        <w:gridCol w:w="112"/>
        <w:gridCol w:w="112"/>
        <w:gridCol w:w="112"/>
        <w:gridCol w:w="237"/>
        <w:gridCol w:w="1100"/>
        <w:gridCol w:w="122"/>
        <w:gridCol w:w="109"/>
        <w:gridCol w:w="109"/>
        <w:gridCol w:w="109"/>
        <w:gridCol w:w="300"/>
        <w:gridCol w:w="282"/>
        <w:gridCol w:w="686"/>
        <w:gridCol w:w="109"/>
        <w:gridCol w:w="109"/>
        <w:gridCol w:w="109"/>
        <w:gridCol w:w="211"/>
        <w:gridCol w:w="616"/>
        <w:gridCol w:w="109"/>
        <w:gridCol w:w="109"/>
        <w:gridCol w:w="109"/>
        <w:gridCol w:w="109"/>
        <w:gridCol w:w="237"/>
        <w:gridCol w:w="237"/>
        <w:gridCol w:w="344"/>
      </w:tblGrid>
      <w:tr>
        <w:trPr/>
        <w:tc>
          <w:tcPr>
            <w:tcW w:w="102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of Mortgage Notes(1)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Pledged as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w:t>
              <w:br/>
              <w:t>Rate(2)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Monthly</w:t>
              <w:br/>
              <w:t>Debt</w:t>
              <w:br/>
              <w:t>Service(3)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br/>
              <w:t>Date(4)</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 Towne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353,090 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352,776 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Crabtree Mall(5)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Danbury Fair Mall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w:t>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Fashion Outlets of 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Fashion Outlets of Niagara Falls USA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Freehold Raceway Mall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Fresno Fashion Fair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 Acres Mall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Kings Plaza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 Cerritos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 View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w:t>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Queens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 Monica Place(6)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SanTan Village Regional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Plains Mall(7)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Victor Valley, Mall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Vintage Faire Mall(8)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 Square(9)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4,848,075 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5,068,946 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 The debt discounts as of June 30, 2026 and December 31, 2025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10. Mortgage Notes Payable: (Continued)</w:t>
      </w:r>
    </w:p>
    <w:tbl>
      <w:tblPr>
        <w:tblW w:w="5440" w:type="dxa"/>
        <w:jc w:val="left"/>
        <w:tblInd w:w="0" w:type="dxa"/>
        <w:tblLayout w:type="fixed"/>
        <w:tblCellMar>
          <w:top w:w="28" w:type="dxa"/>
          <w:left w:w="28" w:type="dxa"/>
          <w:bottom w:w="28" w:type="dxa"/>
          <w:right w:w="28" w:type="dxa"/>
        </w:tblCellMar>
      </w:tblPr>
      <w:tblGrid>
        <w:gridCol w:w="858"/>
        <w:gridCol w:w="753"/>
        <w:gridCol w:w="758"/>
        <w:gridCol w:w="109"/>
        <w:gridCol w:w="109"/>
        <w:gridCol w:w="109"/>
        <w:gridCol w:w="196"/>
        <w:gridCol w:w="646"/>
        <w:gridCol w:w="109"/>
        <w:gridCol w:w="109"/>
        <w:gridCol w:w="109"/>
        <w:gridCol w:w="109"/>
        <w:gridCol w:w="225"/>
        <w:gridCol w:w="744"/>
        <w:gridCol w:w="125"/>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Pledged as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Arrowhead Towne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 Cerritos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33,424 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hanging="90"/>
        <w:jc w:val="left"/>
        <w:rPr/>
      </w:pPr>
      <w:r>
        <w:rPr/>
      </w:r>
    </w:p>
    <w:p>
      <w:pPr>
        <w:pStyle w:val="TextBody"/>
        <w:bidi w:val="0"/>
        <w:spacing w:lineRule="auto" w:line="288" w:before="160" w:after="16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The mortgage notes payable also include unamortized deferred finance costs that are amortized into interest expense over the remaining term of the related debt in a manner that approximates the effective interest method. Unamortized deferred finance costs were $19,525 and $20,274 at June 30, 2026 and December 31, 2025, respectively.</w:t>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(2)The interest rate disclosed represents the effective interest rate, including the impact of debt discounts and deferred finance costs.</w:t>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(3)The monthly debt service represents the payment of principal and interest.</w:t>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(4)The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(5)On August 7, 2025, the Company closed on an initial $159,100 two-year term loan with two one-year extension options on Crabtree Mall. The term loan also allows for additional requested advances of up to $51,180 based on defined conditions for capital expenditures and leasing costs for a maximum total term loan of $210,280. The term loan bears interest at a rate of SOFR plus 2.50%. The Company has purchased a SOFR interest rate cap for the initial term loan advance with a strike rate of 5.0% for the two-year base term of the term loan. The Company used a portion of the net proceeds from this term loan to fully repay borrowings outstanding on the Company's revolving credit facility (See Note 14—Acquisitions).</w:t>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(6)Effective April 9, 2024, the loan is in default and accrues incremental default interest of 4%. On March 18, 2025, a court-appointed receiver assumed operational control and managerial responsibility for Santa Monica Place. The Company anticipates the disposition of the asset, which is under the control of the receiver, will be executed through foreclosure, deed-in-lieu of foreclosure, or by some other means, and is expected to be completed in the near future. Although the Company is no longer funding any cash shortfall, it will continue to record the operations of the property until the title for the Center is transferred and its obligation for the loan is discharged. Once title to the property is transferred, the Company will remove the net assets and liabilities from the Company's consolidated balance sheets. The loan is non-recourse to the Company.</w:t>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(7)Effective November 6, 2025, the loan was in default and accrued incremental default interest of 4%. On February 6, 2026, the Company extended the loan maturity on the $200,000 loan to November 6, 2029, at the existing rate of 4.22%.</w:t>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(8)On March 6, 2026, the Company repaid the outstanding loan balance of $211,507 on Vintage Faire Mall at maturity with cash on hand and $100,000 of borrowings on the revolving credit facility.</w:t>
      </w:r>
    </w:p>
    <w:p>
      <w:pPr>
        <w:pStyle w:val="TextBody"/>
        <w:bidi w:val="0"/>
        <w:spacing w:lineRule="auto" w:line="288"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(9)On March 27, 2025, the Company closed a $340,000, ten-year loan on Washington Square, which matures on April 6, 2035. The loan bears interest at a fixed rate of 5.58% and is interest only during the entire loan term.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Most of the mortgage loan agreements contain a prepayment penalty provision for the early extinguishment of the debt.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mortgage notes payable are secured by the properties on which they are placed and are non-recourse to the Company.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expects that all loan maturities during the next twelve months will be refinanced, restructured, extended and/or paid off from the Company's line of credit or with cash on hand, with the exception of Santa Monica Place as noted above.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Total interest expense capitalized was $3,698 and $4,696 for the three months ended June 30, 2026 and 2025, respectively, and $7,183 and $9,465 for the six months ended June 30, 2026 and 2025, respectively.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estimated fair value (Level 2 measurement) of mortgage notes payable at June 30, 2026 and December 31, 2025 was $4,774,797 and $4,982,754,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11. Bank and Other Notes Payable:</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Bank and other notes payable consist of the following:</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Previously, the Company had a $650,000 revolving credit facility, which was scheduled to mature on February 1, 2027. On February 24, 2026, the Company entered into an amended and restated credit agreement (the "Credit Agreement"), which amended and restated the prior credit agreement and provides for an aggregate $900,000 revolving credit facility that matures on March 1, 2029, with an option for the Company to extend maturity until March 1, 2030. The Company has the ability from time to time to increase the size of the revolving credit facility up to an aggregate amount of $1,100,000, subject to the receipt of lender commitments and other conditions. Loans made under the Credit Agreement bear interest, at the Company’s election, at either the Base Rate (as defined in the Credit Agreement) or Term SOFR (as defined in the Credit Agreement) plus, in both cases, an applicable margin. The current applicable margin depends on the Company’s overall debt yield and ranges from 0.80% to 2.20% over the selected index rate. Upon the achievement of certain performance thresholds, the applicable margin will depend on the Company’s overall net debt to EBITDA ratio and will be in a range of 0.35% to 1.65% over the selected index rate.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borrowing rate was SOFR plus a spread of 1.90%. As of June 30, 2026, there were no borrowings under the revolving credit facility. Unamortized deferred finance costs were $17,527 as of June 30, 2026, which are netted against balances outstanding or within deferred charges and other assets, net when no borrowings are outstanding on the revolving credit facility which was the case as of June 30, 2026. As of June 30, 2026, the Company’s availability under the revolving credit facility for additional borrowings was $899,487.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was in compliance with all applicable financial loan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12. Noncontrolling Interests: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allocates net loss of the Operating Partnership based on the weighted average ownership interest during the period. The net loss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June 30, 2026 and December 31, 2025. The remaining 4% limited partnership interest as of June 30, 2026 and December 31, 2025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June 30, 2026 and December 31, 2025, the aggregate redemption value of the then-outstanding OP Units not owned by the Company was $278,455 and $216,826, respectively.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Included in permanent equity are outside ownership interests in various consolidated joint ventures. The joint ventures do not have rights that require the Company to redeem the ownership interests in either cash or stock.</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13. Stockholders' Equity:</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Stock Offerings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commencement of an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$500,000 under the 2024 ATM Program. During the six months ended June 30, 2026, the Company issued 4,457,202 shares of common stock under the 2024 ATM Program for aggregate gross proceeds of $85,601 and net proceeds of $83,591 after commissions and other transaction costs. As of June 30, 2026, approximately $288,500 remained available to be sold under the 2024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2024 ATM Program.</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13, 2026, the Company completed a public offering of 22,080,000 shares of its common stock at a price per share of $21.00, which includes the underwriters’ full exercise of their option to purchase an additional 2,880,000 shares, for gross proceeds of approximately $463,680. The net proceeds of the offering were approximately $448,248 after deducting the underwriting discount and offering costs of approximately $15,432. The Company used the proceeds from the offering to repay borrowings under its revolving credit facility, which were used primarily to fund the acquisition of Annapolis Mall (See Note 14 – Acquisitions), and for general corporate purposes, including to acquire additional properties and to fund strategic leasing capital investments at Annapolis Mall.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June 15, 2026, the Company entered into an underwriting agreement with certain parties in their capacities as underwriters, forward sellers and forward purchasers, as applicable, in connection with the offering of 14,000,000 shares of its common stock. The Company also entered into separate forward sale agreements with each of the forward purchasers, pursuant to which the forward purchasers borrowed from third parties and sold to the underwriters an aggregate of 14,000,000 shares of the Company’s common stock. On June 26, 2026, the underwriters exercised in full their option to purchase an additional 2,100,000 shares of common stock, resulting in a total offering of 16,100,000 shares. The Company entered into additional separate forward sale agreements with each of the forward purchasers relating to these additional 2,100,000 shares. The Company did not initially receive any proceeds from the sale of shares of its common stock by the forward purchasers or their affiliates. The Company expects to physically settle the forward sale agreements and receive proceeds, subject to certain adjustments, from the sale of those shares of its common stock upon one or more such physical settlements no later than June 16, 2027. Although the Company expects to settle the forward sale agreements entirely by the physical delivery of shares of its common stock for cash proceeds, the Company may also elect to cash settle or net share settle all or a portion of its obligations under the forward sale agreements, in which case, the Company may not receive any proceeds, and the Company may owe cash or shares of its common stock to the forward purchasers. The forward sale agreements provide for an initial forward price of $23.12325 per share, subject to certain adjustments pursuant to the terms of each of the forward sale agreements. The forward sale agreements are subject to early termination or settlement under certain circumstances. </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Stock Buyback Program</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repurchases under the Stock Buyback Program during the six months ended June 30, 2026 or 2025.</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60" w:after="1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14.   Acquisitions:</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Crabtree Mall: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June 23, 2025, the Company acquired Crabtree Mall, a regional retail center totaling approximately 1.3 million square feet in Raleigh, North Carolina, for a total purchase price of $290,000, excluding transaction costs and credits received at closing. The acquisition was initially funded with cash on hand and $100,000 of borrowings on the Company's credit facility.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allocation of the fair value of Crabtree Mall, exclusive of closing costs and credits received:</w:t>
      </w:r>
    </w:p>
    <w:tbl>
      <w:tblPr>
        <w:tblW w:w="4000" w:type="dxa"/>
        <w:jc w:val="left"/>
        <w:tblInd w:w="0" w:type="dxa"/>
        <w:tblLayout w:type="fixed"/>
        <w:tblCellMar>
          <w:top w:w="28" w:type="dxa"/>
          <w:left w:w="28" w:type="dxa"/>
          <w:bottom w:w="28" w:type="dxa"/>
          <w:right w:w="28" w:type="dxa"/>
        </w:tblCellMar>
      </w:tblPr>
      <w:tblGrid>
        <w:gridCol w:w="979"/>
        <w:gridCol w:w="858"/>
        <w:gridCol w:w="863"/>
        <w:gridCol w:w="211"/>
        <w:gridCol w:w="826"/>
        <w:gridCol w:w="109"/>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 acquired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assumed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acquired net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95"/>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allocation of the fair value of acquired net assets to total cash paid:</w:t>
      </w:r>
    </w:p>
    <w:tbl>
      <w:tblPr>
        <w:tblW w:w="4270" w:type="dxa"/>
        <w:jc w:val="left"/>
        <w:tblInd w:w="0" w:type="dxa"/>
        <w:tblLayout w:type="fixed"/>
        <w:tblCellMar>
          <w:top w:w="28" w:type="dxa"/>
          <w:left w:w="28" w:type="dxa"/>
          <w:bottom w:w="28" w:type="dxa"/>
          <w:right w:w="28" w:type="dxa"/>
        </w:tblCellMar>
      </w:tblPr>
      <w:tblGrid>
        <w:gridCol w:w="1075"/>
        <w:gridCol w:w="946"/>
        <w:gridCol w:w="949"/>
        <w:gridCol w:w="211"/>
        <w:gridCol w:w="826"/>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acquired net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 received at closing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and other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cash paid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Annapolis Mall: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30, 2026, the Company acquired Annapolis Mall, a regional retail center totaling approximately 1.4 million square feet in Annapolis, Maryland, for a total purchase price of $260,000 and the adjacent 13.1 acre vacant Sears parcel for $12,000. The acquisition was initially funded with cash on hand and $150,000 of borrowings on the Company's revolving credit facility (See Note 13 – Stockholders' Equity).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allocation of the fair value of Annapolis Mall, exclusive of closing costs and credits received:</w:t>
      </w:r>
    </w:p>
    <w:tbl>
      <w:tblPr>
        <w:tblW w:w="4000" w:type="dxa"/>
        <w:jc w:val="left"/>
        <w:tblInd w:w="0" w:type="dxa"/>
        <w:tblLayout w:type="fixed"/>
        <w:tblCellMar>
          <w:top w:w="28" w:type="dxa"/>
          <w:left w:w="28" w:type="dxa"/>
          <w:bottom w:w="28" w:type="dxa"/>
          <w:right w:w="28" w:type="dxa"/>
        </w:tblCellMar>
      </w:tblPr>
      <w:tblGrid>
        <w:gridCol w:w="979"/>
        <w:gridCol w:w="858"/>
        <w:gridCol w:w="863"/>
        <w:gridCol w:w="211"/>
        <w:gridCol w:w="826"/>
        <w:gridCol w:w="109"/>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 acquired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assumed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acquired net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60" w:after="160"/>
        <w:jc w:val="left"/>
        <w:rPr/>
      </w:pPr>
      <w:r>
        <w:rPr/>
      </w:r>
    </w:p>
    <w:p>
      <w:pPr>
        <w:pStyle w:val="TextBody"/>
        <w:bidi w:val="0"/>
        <w:spacing w:before="160" w:after="160"/>
        <w:ind w:left="0" w:right="0" w:firstLine="495"/>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14.   Acquisitions: (Continued)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allocation of the fair value of acquired net assets to total cash paid:</w:t>
      </w:r>
    </w:p>
    <w:tbl>
      <w:tblPr>
        <w:tblW w:w="4270" w:type="dxa"/>
        <w:jc w:val="left"/>
        <w:tblInd w:w="0" w:type="dxa"/>
        <w:tblLayout w:type="fixed"/>
        <w:tblCellMar>
          <w:top w:w="28" w:type="dxa"/>
          <w:left w:w="28" w:type="dxa"/>
          <w:bottom w:w="28" w:type="dxa"/>
          <w:right w:w="28" w:type="dxa"/>
        </w:tblCellMar>
      </w:tblPr>
      <w:tblGrid>
        <w:gridCol w:w="1075"/>
        <w:gridCol w:w="946"/>
        <w:gridCol w:w="949"/>
        <w:gridCol w:w="211"/>
        <w:gridCol w:w="826"/>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acquired net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 received at closing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and other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cash paid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160"/>
        <w:jc w:val="left"/>
        <w:rPr>
          <w:rFonts w:ascii="Times New Roman;serif" w:hAnsi="Times New Roman;serif"/>
          <w:b/>
          <w:color w:val="000000"/>
          <w:sz w:val="20"/>
        </w:rPr>
      </w:pPr>
      <w:r>
        <w:rPr>
          <w:rFonts w:ascii="Times New Roman;serif" w:hAnsi="Times New Roman;serif"/>
          <w:b/>
          <w:color w:val="000000"/>
          <w:sz w:val="20"/>
        </w:rPr>
        <w:t>15.   Dispositions: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March 27, 2025, the Company sold Wilton Mall, a 740,000 square foot regional retail center in Saratoga Springs, New York, for $24,800, which resulted in a loss on sale or write down of assets of $2,932. The Company used the net proceeds to pay down debt.</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16, 2025, the Company sold a parcel at SanTan Adjacent in Gilbert, Arizona for $3,000, which resulted in a loss on sale or write down of assets of $247. On April 28, 2025, the Company sold various parcels at SanTan Adjacent in Gilbert, Arizona for $24,500, which resulted in a gain on sale of assets of $108. The Company used the proceeds from these sales to pay down debt and for other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30, 2025, the Company sold SouthPark Mall, an 802,000 square foot regional retail center in Moline, Illinois, for $10,500, which resulted in a loss on sale or write down of assets of $4,267. The Company used the net proceeds for general corporate purposes. This asset was unencumbered.</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28, 2025, the Company sold Paradise Village Office Park in Phoenix, Arizona for $6,200, which resulted in a loss on sale or write down of assets of $643. The Company used the net proceeds for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June 11, 2025, the Company sold a former department store parcel located in Petaluma, California, for $2,625, which resulted in a gain on sale of assets of $1,953. The Company used the net proceeds for general corporate purposes. </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sold 1010-1016 Market Street parcels at Fashion District Philadelphia in Philadelphia, Pennsylvania for $10,750, which resulted in a gain on sale of assets of $2,378. The Company used the net proceeds for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18, 2025, the Company sold Lakewood Center in Lakewood, California for $332,115, including the assumption by the buyer of the $317,115 loan on the property, which resulted in a gain on sale of assets of $21,099. The Company used its share of the net proceeds of $4,933 for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20, 2025, the Company sold Valley Mall in Harrisonburg, Virginia for $22,100, which resulted in a gain on sale of assets of $319. The Company used the net proceeds for general corporate purposes. This asset was unencumbered.</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17, 2025, the Company sold an outparcel at Los Cerritos Center in Los Cerritos, California for $5,000, which resulted in a loss on sale of assets of $181. The Company used the net proceeds to pay down a portion of the debt at the property of $4,508. </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December 10, 2025, the Company sold an outparcel at Washington Square in Portland, Oregon for $5,375, which resulted in a gain on sale of assets of $2,595; and on December 19, 2025, the Company sold the retail strip center at Washington Square for $25,750, which resulted in a loss on sale of assets of $2,718. The Company used the net proceeds of $29,708 from these two transactions for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Company sold various land parcels, resulting in gains on sale of land of $10,035 and $1,080, respectively. The Company used its share of the proceeds from these sales to pay down debt and for other general corporate purposes.</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contingently liable for $922 in letters of credit guaranteeing performance by the Company of certain obligations relating to the Centers. The Company does not believe that these letters of credit will result in a liability to the Company.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 number of construction agreements related to its redevelopment and development activities. Obligations under these agreements are contingent upon the completion of the services within the guidelines specified in the relevant agreement. At June 30, 2026, the Company had $101,150 in outstanding obligations, which it believes will be settled 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17. Related Party Transactions: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are fees charged to unconsolidated joint ventures:</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tbl>
      <w:tblPr>
        <w:tblW w:w="8418" w:type="dxa"/>
        <w:jc w:val="left"/>
        <w:tblInd w:w="0" w:type="dxa"/>
        <w:tblLayout w:type="fixed"/>
        <w:tblCellMar>
          <w:top w:w="28" w:type="dxa"/>
          <w:left w:w="28" w:type="dxa"/>
          <w:bottom w:w="28" w:type="dxa"/>
          <w:right w:w="28" w:type="dxa"/>
        </w:tblCellMar>
      </w:tblPr>
      <w:tblGrid>
        <w:gridCol w:w="924"/>
        <w:gridCol w:w="810"/>
        <w:gridCol w:w="815"/>
        <w:gridCol w:w="273"/>
        <w:gridCol w:w="798"/>
        <w:gridCol w:w="141"/>
        <w:gridCol w:w="141"/>
        <w:gridCol w:w="141"/>
        <w:gridCol w:w="141"/>
        <w:gridCol w:w="273"/>
        <w:gridCol w:w="798"/>
        <w:gridCol w:w="141"/>
        <w:gridCol w:w="109"/>
        <w:gridCol w:w="109"/>
        <w:gridCol w:w="109"/>
        <w:gridCol w:w="232"/>
        <w:gridCol w:w="793"/>
        <w:gridCol w:w="119"/>
        <w:gridCol w:w="119"/>
        <w:gridCol w:w="119"/>
        <w:gridCol w:w="119"/>
        <w:gridCol w:w="232"/>
        <w:gridCol w:w="793"/>
        <w:gridCol w:w="169"/>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leasing fees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12,096 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Due from affiliates includes $3,108 and $2,449 of unreimbursed costs and fees from unconsolidated joint ventures due to the Management Companies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18. Share and Unit-Based Plans: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2026 performance-based LTI Units are all market-indexed awards.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the following LTI Units:</w:t>
      </w:r>
    </w:p>
    <w:tbl>
      <w:tblPr>
        <w:tblW w:w="8009"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413"/>
        <w:gridCol w:w="413"/>
        <w:gridCol w:w="176"/>
        <w:gridCol w:w="109"/>
        <w:gridCol w:w="109"/>
        <w:gridCol w:w="109"/>
        <w:gridCol w:w="543"/>
        <w:gridCol w:w="543"/>
        <w:gridCol w:w="550"/>
        <w:gridCol w:w="109"/>
        <w:gridCol w:w="109"/>
        <w:gridCol w:w="109"/>
        <w:gridCol w:w="654"/>
        <w:gridCol w:w="654"/>
        <w:gridCol w:w="657"/>
        <w:gridCol w:w="109"/>
        <w:gridCol w:w="109"/>
        <w:gridCol w:w="109"/>
        <w:gridCol w:w="323"/>
        <w:gridCol w:w="323"/>
        <w:gridCol w:w="463"/>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per LTI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Vest Date</w:t>
            </w:r>
          </w:p>
        </w:tc>
      </w:tr>
      <w:tr>
        <w:trPr/>
        <w:tc>
          <w:tcPr>
            <w:tcW w:w="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12/31/2028</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12/31/2028</w:t>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841,343 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service-based LTI Units was determined by the market price of the Company's common stock on the date of grant. The fair value (Level 3 measurement) of the performance-based LTI Units granted on February 16, 2026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18. Share and Unit-Based Plans: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estimated on the date of grant using a Monte Carlo Simulation model that assumed an approximate three-year risk-free interest rate of 3.37% and an expected volatility of 39.49%.</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non-vested LTI Units, phantom stock units and stock units:</w:t>
      </w:r>
    </w:p>
    <w:tbl>
      <w:tblPr>
        <w:tblW w:w="10205" w:type="dxa"/>
        <w:jc w:val="left"/>
        <w:tblInd w:w="0" w:type="dxa"/>
        <w:tblLayout w:type="fixed"/>
        <w:tblCellMar>
          <w:top w:w="28" w:type="dxa"/>
          <w:left w:w="28" w:type="dxa"/>
          <w:bottom w:w="28" w:type="dxa"/>
          <w:right w:w="28" w:type="dxa"/>
        </w:tblCellMar>
      </w:tblPr>
      <w:tblGrid>
        <w:gridCol w:w="641"/>
        <w:gridCol w:w="535"/>
        <w:gridCol w:w="539"/>
        <w:gridCol w:w="488"/>
        <w:gridCol w:w="488"/>
        <w:gridCol w:w="176"/>
        <w:gridCol w:w="109"/>
        <w:gridCol w:w="109"/>
        <w:gridCol w:w="109"/>
        <w:gridCol w:w="211"/>
        <w:gridCol w:w="616"/>
        <w:gridCol w:w="109"/>
        <w:gridCol w:w="109"/>
        <w:gridCol w:w="109"/>
        <w:gridCol w:w="109"/>
        <w:gridCol w:w="109"/>
        <w:gridCol w:w="109"/>
        <w:gridCol w:w="273"/>
        <w:gridCol w:w="273"/>
        <w:gridCol w:w="433"/>
        <w:gridCol w:w="324"/>
        <w:gridCol w:w="274"/>
        <w:gridCol w:w="109"/>
        <w:gridCol w:w="109"/>
        <w:gridCol w:w="109"/>
        <w:gridCol w:w="211"/>
        <w:gridCol w:w="616"/>
        <w:gridCol w:w="109"/>
        <w:gridCol w:w="109"/>
        <w:gridCol w:w="109"/>
        <w:gridCol w:w="109"/>
        <w:gridCol w:w="437"/>
        <w:gridCol w:w="438"/>
        <w:gridCol w:w="176"/>
        <w:gridCol w:w="109"/>
        <w:gridCol w:w="109"/>
        <w:gridCol w:w="109"/>
        <w:gridCol w:w="211"/>
        <w:gridCol w:w="616"/>
        <w:gridCol w:w="158"/>
      </w:tblGrid>
      <w:tr>
        <w:trPr/>
        <w:tc>
          <w:tcPr>
            <w:tcW w:w="64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LTI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Phantom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Units</w:t>
            </w:r>
          </w:p>
        </w:tc>
        <w:tc>
          <w:tcPr>
            <w:tcW w:w="1312" w:type="dxa"/>
            <w:gridSpan w:val="6"/>
            <w:tcBorders/>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Value(1)</w:t>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1,643,216 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(153,197)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2,484,559 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280,162 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28"/>
            <w:tcBorders/>
            <w:tcMar>
              <w:top w:w="0" w:type="dxa"/>
              <w:left w:w="0" w:type="dxa"/>
              <w:bottom w:w="0" w:type="dxa"/>
              <w:right w:w="0" w:type="dxa"/>
            </w:tcMar>
            <w:vAlign w:val="center"/>
          </w:tcPr>
          <w:p>
            <w:pPr>
              <w:pStyle w:val="TableContents"/>
              <w:bidi w:val="0"/>
              <w:spacing w:lineRule="auto" w:line="240" w:before="160" w:after="16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Value represents the weighted average grant date fair value.</w:t>
            </w:r>
          </w:p>
        </w:tc>
        <w:tc>
          <w:tcPr>
            <w:tcW w:w="2690"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vested stock options outstanding:</w:t>
      </w:r>
    </w:p>
    <w:tbl>
      <w:tblPr>
        <w:tblW w:w="6267" w:type="dxa"/>
        <w:jc w:val="left"/>
        <w:tblInd w:w="0" w:type="dxa"/>
        <w:tblLayout w:type="fixed"/>
        <w:tblCellMar>
          <w:top w:w="28" w:type="dxa"/>
          <w:left w:w="28" w:type="dxa"/>
          <w:bottom w:w="28" w:type="dxa"/>
          <w:right w:w="28" w:type="dxa"/>
        </w:tblCellMar>
      </w:tblPr>
      <w:tblGrid>
        <w:gridCol w:w="1059"/>
        <w:gridCol w:w="928"/>
        <w:gridCol w:w="935"/>
        <w:gridCol w:w="138"/>
        <w:gridCol w:w="138"/>
        <w:gridCol w:w="216"/>
        <w:gridCol w:w="216"/>
        <w:gridCol w:w="216"/>
        <w:gridCol w:w="216"/>
        <w:gridCol w:w="360"/>
        <w:gridCol w:w="361"/>
        <w:gridCol w:w="176"/>
        <w:gridCol w:w="109"/>
        <w:gridCol w:w="109"/>
        <w:gridCol w:w="109"/>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Options</w:t>
            </w:r>
          </w:p>
        </w:tc>
        <w:tc>
          <w:tcPr>
            <w:tcW w:w="1308" w:type="dxa"/>
            <w:gridSpan w:val="6"/>
            <w:tcBorders/>
          </w:tcPr>
          <w:p>
            <w:pPr>
              <w:pStyle w:val="TableContents"/>
              <w:bidi w:val="0"/>
              <w:spacing w:before="0" w:after="283"/>
              <w:jc w:val="left"/>
              <w:rPr>
                <w:sz w:val="4"/>
                <w:szCs w:val="4"/>
              </w:rPr>
            </w:pPr>
            <w:r>
              <w:rPr>
                <w:sz w:val="4"/>
                <w:szCs w:val="4"/>
              </w:rPr>
            </w:r>
          </w:p>
        </w:tc>
      </w:tr>
      <w:tr>
        <w:trPr/>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Value(1)</w:t>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22"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Value represents the weighted average exercise price.</w:t>
            </w:r>
          </w:p>
        </w:tc>
        <w:tc>
          <w:tcPr>
            <w:tcW w:w="2205"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compensation cost under the share and unit-based plans:</w:t>
      </w:r>
    </w:p>
    <w:tbl>
      <w:tblPr>
        <w:tblW w:w="7641" w:type="dxa"/>
        <w:jc w:val="left"/>
        <w:tblInd w:w="0" w:type="dxa"/>
        <w:tblLayout w:type="fixed"/>
        <w:tblCellMar>
          <w:top w:w="28" w:type="dxa"/>
          <w:left w:w="28" w:type="dxa"/>
          <w:bottom w:w="28" w:type="dxa"/>
          <w:right w:w="28" w:type="dxa"/>
        </w:tblCellMar>
      </w:tblPr>
      <w:tblGrid>
        <w:gridCol w:w="640"/>
        <w:gridCol w:w="563"/>
        <w:gridCol w:w="566"/>
        <w:gridCol w:w="273"/>
        <w:gridCol w:w="798"/>
        <w:gridCol w:w="141"/>
        <w:gridCol w:w="141"/>
        <w:gridCol w:w="141"/>
        <w:gridCol w:w="141"/>
        <w:gridCol w:w="273"/>
        <w:gridCol w:w="798"/>
        <w:gridCol w:w="141"/>
        <w:gridCol w:w="109"/>
        <w:gridCol w:w="109"/>
        <w:gridCol w:w="109"/>
        <w:gridCol w:w="242"/>
        <w:gridCol w:w="829"/>
        <w:gridCol w:w="125"/>
        <w:gridCol w:w="125"/>
        <w:gridCol w:w="125"/>
        <w:gridCol w:w="125"/>
        <w:gridCol w:w="242"/>
        <w:gridCol w:w="708"/>
        <w:gridCol w:w="177"/>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LTI Units</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units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Phantom stock units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12,861 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capitalized share and unit-based compensation costs of $44 and $161 for the three months ended June 30, 2026 and 2025, respectively, and $219 and $(115) for the six months ended June 30, 2026 and 2025, respectively. Unrecognized compensation costs of share and unit-based plans at June 30, 2026 consisted of $31,486 from LTI Units, $3,395 from stock units and $0 from phantom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19. Income Taxes: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60" w:after="16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(Dollars in thousands, except per share and square foot amounts)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60" w:after="16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19. Income Taxes: (Continued)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income tax provision of the TRSs is as follows:</w:t>
      </w:r>
    </w:p>
    <w:tbl>
      <w:tblPr>
        <w:tblW w:w="8991" w:type="dxa"/>
        <w:jc w:val="left"/>
        <w:tblInd w:w="0" w:type="dxa"/>
        <w:tblLayout w:type="fixed"/>
        <w:tblCellMar>
          <w:top w:w="28" w:type="dxa"/>
          <w:left w:w="28" w:type="dxa"/>
          <w:bottom w:w="28" w:type="dxa"/>
          <w:right w:w="28" w:type="dxa"/>
        </w:tblCellMar>
      </w:tblPr>
      <w:tblGrid>
        <w:gridCol w:w="1125"/>
        <w:gridCol w:w="987"/>
        <w:gridCol w:w="1008"/>
        <w:gridCol w:w="304"/>
        <w:gridCol w:w="781"/>
        <w:gridCol w:w="157"/>
        <w:gridCol w:w="157"/>
        <w:gridCol w:w="157"/>
        <w:gridCol w:w="157"/>
        <w:gridCol w:w="304"/>
        <w:gridCol w:w="673"/>
        <w:gridCol w:w="157"/>
        <w:gridCol w:w="109"/>
        <w:gridCol w:w="109"/>
        <w:gridCol w:w="109"/>
        <w:gridCol w:w="253"/>
        <w:gridCol w:w="741"/>
        <w:gridCol w:w="131"/>
        <w:gridCol w:w="131"/>
        <w:gridCol w:w="131"/>
        <w:gridCol w:w="131"/>
        <w:gridCol w:w="253"/>
        <w:gridCol w:w="741"/>
        <w:gridCol w:w="185"/>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income tax (expense) benefit</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net operating loss ("NOL") carryforwards generated through the 2017 tax year are scheduled to expire through 2037, beginning in 2031. Pursuant to the Tax Cuts and Jobs Act of 2017, NOLs generated in 2018 and subsequent tax years are carried forward indefinitely. Net deferred tax assets of $29,663 and $27,517 were included in deferred charges and other assets, net at June 30, 2026 and December 31, 2025, respectively.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June 30, 2026, the Company had no valuation allowance recorded.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tax years 2022 through 2024 remain open to examination by the taxing jurisdictions to which the Company is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20. Segment Reporting:</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operating segment and is involved in the acquisition, ownership, development, redevelopment, management and leasing of regional and community/power shopping centers located throughout the United States. The Company's Chief Operating Decision Maker ("CODM") is the chief executive officer, who reviews financial information presented on a consolidated basis. The CODM assesses performance for the Company's single reportable segment and decides how to allocate resources based on consolidated net income (see the Consolidated Statements of Operations). The Company's objective in making resource allocation decisions is to optimize the consolidated financial results.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accounting policies of the Company’s single reportable segment are the same as those described in the summary of significant accounting policies. As the Company's operations comprise of a single reporting segment, the measure of segment assets is reported in the accompanying consolidated balance sheets as “Total assets.” Consolidated net income, which is reported in the accompanying Consolidated Statements of Operations as “Net (loss) income attributable to the Company” is the measure of segment profit or loss that is most consistent with GAAP that is regularly reviewed by the CODM. Consolidated net income is used by the CODM in assessing the performance of the segment and the significant segment expenses are listed on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21. Subsequent Events: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4, 2026, the Company announced a dividend/distribution of $0.17 per share for common stockholders and OP Unitholders of record on September 14, 2026. All dividends/distributions will be paid in cash on September 28, 2026.</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IMPORTANT INFORMATION RELATED TO FORWARD-LOOKING STATEMENTS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expectations regarding the Company's growth;</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 xml:space="preserve">expectations regarding the Company's Path Forward Plan and its ability to meet the goals established under such plan; </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the Company's beliefs regarding its acquisition, redevelopment, development, leasing and operational activities and opportunities, including the performance and financial stability of its retailers;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the Company's acquisition, disposition and other strategies;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regulatory matters pertaining to compliance with governmental regulations;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the Company's capital expenditure plans and expectations for obtaining capital for expenditures;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the Company's expectations regarding income tax benefits;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the Company's expectations regarding its financial condition or results of operations; and</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the Company's expectations for refinancing its indebtedness, entering into and servicing debt obligations and entering into joint venture arrangements.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the financial condition and results of operations of the Company, including as a result of any increased borrowing costs on the Company's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the financial condition and results of operations of the Company and its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2025,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Management's Overview and Summary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June 30, 2026, the Operating Partnership owned or had an ownership interest in 37 regional retail centers (including office, hotel and residential space adjacent to these shopping centers) and one community/power shopping center. These 37 regional retail centers and one community/power shopping center consist of approximately 40 million square feet of gross leasable area ("GLA") and are referred to herein as the "Centers". The Centers consist of consolidated Centers ("Consolidated Centers")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unconsolidated joint venture Centers ("Unconsolidated Joint Venture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is based primarily on the consolidated financial statements of the Company for the three and six months ended June 30, 2026 and 2025. It compares the results of operations for the three months ended June 30, 2026 to the results of operations for the three months ended June 30, 2025. It also compares the results of operations and cash flows for the six months ended June 30, 2026 to the results of operations and cash flows for the six months ended June 30, 2025.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information should be read in conjunction with the accompanying consolidated financial statements and notes thereto.</w:t>
      </w:r>
    </w:p>
    <w:p>
      <w:pPr>
        <w:pStyle w:val="TextBody"/>
        <w:bidi w:val="0"/>
        <w:spacing w:lineRule="auto" w:line="288" w:before="160" w:after="160"/>
        <w:ind w:left="0" w:right="0" w:firstLine="495"/>
        <w:jc w:val="left"/>
        <w:rPr/>
      </w:pPr>
      <w:r>
        <w:rPr>
          <w:rFonts w:ascii="Times New Roman;serif" w:hAnsi="Times New Roman;serif"/>
          <w:b w:val="false"/>
          <w:i/>
          <w:color w:val="000000"/>
          <w:sz w:val="20"/>
        </w:rPr>
        <w:t>Acquisitions</w:t>
      </w:r>
      <w:r>
        <w:rPr>
          <w:rFonts w:ascii="Times New Roman;serif" w:hAnsi="Times New Roman;serif"/>
          <w:b w:val="false"/>
          <w:color w:val="000000"/>
          <w:sz w:val="20"/>
        </w:rPr>
        <w: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June 23, 2025, the Company acquired Crabtree Mall, a 1,317,000 square foot regional retail center in Raleigh, North Carolina, for a total purchase price of $290.0 million. The acquisition was initially funded with cash on hand and $100.0 million of borrowings on the Company's revolving credit facility (See "Financing Activities" and Note 14—Acquisitions in the Notes to the Consolidated Financial Statements).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30, 2026, the Company acquired Annapolis Mall, a 1,438,000 square foot regional retail center in Annapolis, Maryland, for a total purchase price of $260.0 million and the adjacent 13.1 acre vacant Sears parcel for $12.0 million. The acquisition was initially funded with cash on hand and $150.0 million of borrowings on the Company's revolving credit facility (See "Other Transactions and Events" and Note 14—Acquisitions in the Notes to the Consolidated Financial Statements).</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Dispositions: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March 27, 2025, the Company sold Wilton Mall, a 740,000 square foot regional retail center in Saratoga Springs, New York, for $24.8 million, which resulted in a loss on sale of assets of $2.9 million. The Company used the net proceeds to pay down debt and for other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16, 2025, the Company sold a parcel at SanTan Adjacent in Gilbert, Arizona for $3.0 million, which resulted in a loss on sale of assets of $0.2 million. On April 28, 2025, the Company sold various parcels at SanTan Adjacent in Gilbert, Arizona for $24.5 million, which resulted in a gain on sale of assets of $0.1 million. The Company used the net proceeds from these sales to pay down debt and for other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30, 2025, the Company sold SouthPark Mall, an 802,000 square foot regional retail center in Moline, Illinois, for $10.5 million, which resulted in a loss on sale of assets of $4.3 million. The Company used the net proceeds for general corporate purposes. This asset was unencumbered.</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28, 2025, the Company sold Paradise Village Office Park in Phoenix, Arizona for $6.2 million, which resulted in a loss on sale of assets of $0.6 million. The Company used the net proceeds for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June 11, 2025, the Company sold a former department store parcel located in Petaluma, California, for $2.6 million, which resulted in a gain on sale of assets of $2.0 million. The Company used the net proceeds for general corporate purposes. </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sold 1010-1016 Market Street parcels at Fashion District Philadelphia in Philadelphia, Pennsylvania for $10.8 million, which resulted in a gain on sale of assets of $2.4 million. The Company used the net proceeds for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2025, the Company sold its remaining 5% effective interest in Paradise Valley Mall in Phoenix, Arizona for $5.5 million, which resulted in a loss on sale of assets of $1.2 million. The Company used the proceeds for general corporate purposes. </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30, 2025, the Company's joint venture sold Atlas Park, a 374,000 square foot community center in Queens, New York, for $72.0 million. Concurrent with the sale, the $65.0 million loan ($32.5 million at the Company's share) owed by the joint venture was paid off in full. The Company's share of the gain from this transaction was approximately $12.0 million. The Company used its share of the net proceeds for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18, 2025, the Company closed on the sale of Lakewood Center in Lakewood, California, for $332.1 million, including the assumption by the buyer of the $317.1 million loan on the property that had a June 2026 maturity date. The Company recognized a gain on sale of assets of $21.1 million. The Company used its share of net proceeds from this sale, totaling approximately $5.0 million for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20, 2025, the Company closed on the sale of Valley Mall in Harrisonburg, Virginia, for $22.1 million, which resulted in a gain on sale of assets of $0.3 million. This asset was unencumbered. The Company used the net proceeds of approximately $20.9 million from this sale for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17, 2025, the Company sold an outparcel at Los Cerritos Center in Los Cerritos, California for $5.0 million, which resulted in a loss on sale of assets of $0.2 million. The Company used the net proceeds to pay down a portion of the debt at the property of $4.5 million. </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December 10, 2025, the Company sold an outparcel at Washington Square in Portland, Oregon for $5.4 million which resulted in a gain on sale of assets of $2.6 million; and on December 19, 2025, the Company sold the retail strip center at Washington Square for $25.8 million, which resulted in a loss on sale of assets of $2.7 million. The Company used the total net proceeds of $29.7 million from these two transactions for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twelve months ended December 31, 2025, the Company and certain joint venture partners sold various land parcels in separate transactions, resulting in the Company’s share of the gain on sale of land of $7.1 million. The Company used its share of the proceeds from these sales of $20.1 million to pay down debt and for other general corporate purposes.</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June 18, 2026, the Company sold its 19% interest in West Acres, a 673,000 square foot regional retail center in Fargo, North Dakota, for $1.4 million, which included the buyer's assumption of the $12.9 million in outstanding loans at the Company's pro rata share. The Company used the proceeds for general corporate purposes. The Company recognized a gain of $6.6 million in connection with this transaction (See Note 6 – Property, net in the Notes to the Consolidated Financial Statements). </w:t>
      </w:r>
    </w:p>
    <w:p>
      <w:pPr>
        <w:pStyle w:val="TextBody"/>
        <w:bidi w:val="0"/>
        <w:spacing w:lineRule="auto" w:line="256"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sold a land parcel at Washington Square in Portland, Oregon, for $13.0 million, resulting in the Company’s share of the gain on sale of land of $10.1 million. The Company used its share of the proceeds from this sale of $12.4 million for general corporate purposes.</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Financing Activities:</w:t>
      </w:r>
      <w:r>
        <w:rPr>
          <w:color w:val="000000"/>
        </w:rPr>
        <w:t xml:space="preserve">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February 7, 2025, the Company's joint venture in Flatiron Crossing repaid in full the $14.5 million mezzanine loan and $14.5 million of the first mortgage, and obtained a 90-day extension for the remaining $140.5 million of the first mortgage. The mezzanine loan had an interest rate of SOFR plus 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$140.5 million ($71.6 million at the Company's share) of the first mortgage, as discussed below.</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March 27, 2025, the Company closed a $340.0 million, ten-year loan on Washington Square, which matures on April 6, 2035. The loan bears interest at a fixed rate of 5.58% and is interest only during the entire loan term. The Company used a portion of the net proceeds from this refinancing to repay the remaining first mortgage on Flatiron Crossing, which was $71.6 million at the Company’s share, and to repay the balance outstanding on the Company’s revolving credit facility of $110.0 million.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30, 2025, the Company's joint venture in Atlas Park repaid in full the $65.0 million loan ($32.5 million at the Company's pro rata share) concurrent with the sale of the property (See "Dispositions").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7, 2025, the Company closed on an initial $159.1 million two-year term loan with two one-year extension options on Crabtree Mall. The term loan also allows for additional requested advances of up to $51.2 million based on defined conditions for capital expenditures and leasing costs for a maximum total term loan of $210.3 million. The term loan bears interest at a rate of SOFR plus 2.50%. The Company has purchased a SOFR interest rate cap for the initial term loan advance with a strike rate of 5.0% for the two-year base term of the term loan. The Company used a portion of the net proceeds from this term loan to fully repay borrowings outstanding on the Company's revolving credit facility (See Note 14 – Acquisitions and Note 11 – Bank and Other Notes Payable).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18, 2025, as part of the sale of Lakewood Center, the Company's remaining loan of $317.1 million on the property was assumed by the purchaser (See "Dispositions").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February 6, 2026, the Company extended the loan maturity on the $200.0 million loan at South Plains Mall to November 6, 2029, at the existing rate of 4.22%. The loan was previously in default as of November 6, 2025.</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Effective February 6, 2026, the $76.5 million loan (at the Company’s pro rata share) at Twenty Ninth Street is in default. The Company’s joint venture is in negotiations with the lender on the terms of this loan.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2026, the Company closed an amended and restated $900 million revolving credit facility. The Company increased the size of the facility from $650 million to $900 million, extended the maturity from February 2027 to March 2030 (inclusive of a 12-month extension option), and lowered the current pricing grid from a spread range of 200 to 250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basis points over SOFR to 180 to 220 basis points over SOFR. Upon the achievement of certain performance thresholds, the spreads will be further reduced to a range of 135 to 165 basis points over SOFR (See "Liquidity and Capital Resources").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March 6, 2026, the Company repaid the outstanding loan balance of $211.5 million on the loan on Vintage Faire Mall at maturity with cash on hand and $100.0 million of borrowings on the revolving credit facility.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April 7, 2026, the Company’s joint venture in Deptford Mall replaced the existing $131.2 million loan ($66.9 million at the Company’s pro rata share) with a $115.0 million interest only loan ($58.7 million at the Company’s pro rata share) that bears interest at a fixed rate of 6.95% and matures on May 6, 2031. </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Redevelopment and Development Activities: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joint venture in Scottsdale Fashion Square, a 1,862,000 square foot regional retail center in Scottsdale, Arizona, is redeveloping a two-level Nordstrom wing with luxury-focused retail and restaurant uses. The total cost of the project is estimated to be between $84.0 million and $90.0 million, with $42.0 million to $45.0 million estimated to be the Company’s pro rata share. The Company has incurred approximately $36.5 million of the total $73.1 million incurred by the joint venture as of June 30, 2026. The opening will be in phases which began in 2024, with anticipated completion in 2027. The majority of tenants are expected to be open in 2026, with a few remaining tenants expected to open in early 2027.</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is redeveloping the northeast quadrant of Green Acres Mall, a 1,895,000 square foot regional retail center in Valley Stream, New York. The project will include new exterior shops and facade totaling approximately 375,000 square feet of leasing, including new grocery use, redevelopment of a vacant anchor building and demolition of another vacant anchor building. The total cost of the project is estimated to be between $130.0 million and $150.0 million. The Company has incurred approximately $67.0 million as of June 30, 2026. The majority of the tenants are expected to open in 2026 or 2027.</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joint venture in FlatIron Crossing, a 1,392,000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43.4% in the residential portion of the development and 51.0% in the remainder of the property. The total cost of the project is estimated to be between $245.0 million and $265.0 million, with $125.0 million to $135.0 million estimated to be the Company’s pro rata share. The Company has incurred approximately $45.8 million of the total $97.1 million incurred by the joint venture as of June 30, 2026. The anticipated opening will be in phases beginning in 2027.</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Other Transactions and Events: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declared a cash dividend of $0.17 per share of its common stock for each quarter of 2025 and the first two quarters of 2026. On August 4, 2026, the Company announced a third quarter cash dividend of $0.17 per share of its common stock, which will be paid on September 28, 2026 to stockholders of record on September 14, 2026. The dividend amount will be reviewed by the Board on a quarterly basis.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commencement of an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 million. During the twelve months ended December 31, 2025, the Company sold 3.1 million shares of common stock for approximately $53.9 million of net proceeds through the 2024 ATM Program at a weighted average price of $18.04. During the six months ended June 30, 2026, the Company sold 4.5 million shares of common stock for approximately $83.8 million of net proceeds through the 2024 ATM Program at a weighted average price of $19.21. As of June 30, 2026, the Company had approximately $288.5 million of gross sales of its common stock available under the 2024 ATM Program.</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13, 2026, the Company completed a public offering of 22,080,000 shares of its common stock at a price per share of $21.00, which includes the underwriters’ full exercise of their option to purchase an additional 2,880,000 shares, for gross proceeds of approximately $463.7 million. The net proceeds of the offering were approximately $448.2 million after deducting the underwriting discount and offering costs of approximately $15.4 million. The Company used the proceeds from the offering to repay borrowings under its revolving credit facility, which were used primarily to fund the acquisition of Annapolis Mall, and for general corporate purposes, including to acquire additional properties and to fund strategic leasing capital investments at Annapolis Mall (See “Acquisitions”).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June 15, 2026, the Company entered into an underwriting agreement with certain parties in their capacities as underwriters, forward sellers and forward purchasers, as applicable, in connection with the offering of 14,000,000 shares of its common stock. The Company also entered into separate forward sale agreements with each of the forward purchasers, pursuant to which the forward purchasers borrowed from third parties and sold to the underwriters an aggregate of 14,000,000 shares of the Company’s common stock. On June 26, 2026, the underwriters exercised in full their option to purchase an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2,100,000 shares of common stock, resulting in a total offering of 16,100,000 shares. The Company entered into additional separate forward sale agreements with each of the forward purchasers relating to these additional 2,100,000 shares. The Company did not initially receive any proceeds from the sale of shares of its common stock by the forward purchasers or their affiliates. The Company expects to physically settle the forward sale agreements and receive proceeds, subject to certain adjustments, from the sale of those shares of its common stock upon one or more such physical settlements no later than June 16, 2027. Although the Company expects to settle the forward sale agreements entirely by the physical delivery of shares of its common stock for cash proceeds, the Company may also elect to cash settle or net share settle all or a portion of its obligations under the forward sale agreements, in which case, the Company may not receive any proceeds, and the Company may owe cash or shares of its common stock to the forward purchasers. The forward sale agreements provide for an initial forward price of $23.12325 per share, subject to certain adjustments pursuant to the terms of each of the forward sale agreements. The forward sale agreements are subject to early termination or settlement under certain circumstances.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“—Liquidity and Capital Resources” for a further discussion of the Company’s anticipated liquidity needs, and the measures taken by the Company to meet those needs.</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Inflation: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had a negative impact on the Company's costs in 2025 and is expected to have a negative impact on the Company's costs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prepared in accordance with generally accepted accounting principles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Remeasurement gains are recognized when the Company becomes the primary beneficiary of an existing equity method investment that is a variable interest entity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 </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Asset Impairment: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fair value hierarchy distinguishes between market participant assumptions based on market data obtained from sources independent of the reporting entity and the reporting entity’s own assumptions about market participant assumptions.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Many of the variations in the results of operations, discussed below, occurred because of the transactions affecting the Company’s properties described in Management’s Overview and Summary above, including those related to the Redevelopment Properties, the Acquisition Properties, the JV Transition Centers and the Disposition Properties (each as defined below).</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purposes of the discussion below, the Company defines “Same Centers” as those Centers that are substantially complete and in operation for the entirety of both periods of the comparison. Non-Same Centers for comparison purposes includes recently acquired properties ("Acquisition Properties"),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Santa Monica Place and the Disposition Properties, for the periods of comparison. Santa Monica Place is excluded from Same Centers due to the Company's default on the non-recourse loan on April 9, 2024 and the completion of the transition of the property to a receiver during the first quarter of 2025. The Company is still the owner of record of the property.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comparison of the three and six months ended June 30, 2026 to the three and six months ended June 30, 2025, the Acquisition Properties are Crabtree Mall and Annapolis Mall (See “Acquisitions” in Management’s Overview and Summary). The Disposition Properties are Wilton Mall, SouthPark Mall, Lakewood Center, Valley Mall, a former department store parcel in Petaluma, California and the outparcel sales at Los Cerritos Center in Los Cerritos, California and Washington Square in Portland, Oregon (See "Dispositions" in Management’s Overview and Summary). For the comparison of the three and six months ended June 30, 2026 to the three and six months ended June 30, 2025, there are no Redevelopment Properties or JV Transition Centers.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Unconsolidated joint ventures are reflected using the equity method of accounting. The Company’s pro rata share of the results from these Centers is reflected in the Consolidated Statements of Operations as equity in loss of unconsolidated joint ventures.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considers tenant annual sales and occupancy rates (excluding large retail stores or “Anchors”) to be key performance indicators of the Company’s internal growth.</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trailing twelve months ended June 30, 2026, comparable tenant sales for spaces less than 10,000 square feet across the portfolio increased by 3.1% relative to the same period of 2025. The leased occupancy rate of 94.0% at June 30, 2026 represented a 2.0% increase from 92.0% at June 30, 2025 and a 0.6% sequential increase compared to the 93.4% occupancy rate at March 31, 2026.</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executed renewal leases or commitments on 93% of its square footage expiring in 2026, that is anticipated to renew, which leases are expected to commence throughout 2026 and 2027 and another 6% of such expiring space is in the letter of intent stage. Excluding those leases, the remaining leases expiring in 2026, which represent approximately 23,000 square feet of the Centers, are in the prospecting stage.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172 leases for new stores totaling approximately 1.1 million square feet that have opened or are planned for opening in 2026, and another 80 leases for new stores totaling approximately 1.7 million square feet opening after 2026. In total, through 2028, new store leases are expected to produce total gross revenue of approximately $124 million (at the Company’s pro rata share) in excess of the revenue generated in 2024 from prior uses in those same spaces. This new store leasing pipeline represents a cumulative and incremental estimate and includes open stores, leases signed not yet open, and leases in documentation that will or have commenced from 2024 through 2028. While there may be additional new space openings in 2026, any such leases are not yet executed.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Company signed 108 new leases and 119 renewal leases comprising approximately 1.3 million square feet of GLA. The average tenant allowance was $49.21 per square foot.</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2024, the Company unveiled the Path Forward Plan which is a multi-pronged strategy to improve the Company's balance sheet, while also making inward-facing enhancements to both bolster company culture and improve key business processes to gain operating efficiencies. Essential goals of the Path Forward Plan include:</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 xml:space="preserve">Deleverage the capital structure, with a focus on reducing the Company's Net Debt to Adjusted EBITDA leverage ratio over the next two to three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Invest in and fortify the Company's key assets in the portfolio;</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Proactively consolidate selected joint venture assets over time that are core to the Company's overall strategy;</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Deliver a post-deleveraging Funds From Operations ("FFO") launch point goal over the next two to three years;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Achieve outstanding operational results through rigorous internal process improvements; and</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Position the Company to take an offensive stance on strategic acquisitions, reinvestment and targeted development.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may achieve these goals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 Additionally, as part of the Path Forward Plan, the Company is targeting for disposition certain outparcels, freestanding retail assets, non-enclosed mall assets and vacant land. The Company also began acquiring properties in June 2025 with the acquisition of Crabtree Mall and the recent acquisition of Annapolis Mall in April 2026, and will continue to look for other strategic acquisition opportunities that would complement the Company's portfolio.</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a further update to the Company’s Path Forward Plan and to provide a strategic disposition plan that refines the portfolio and creates a more focused platform for growth, the Company identified the following Centers as the go-forward portfolio Centers as of June 30, 2026 (the “Go-Forward Portfolio Centers”). The Go-Forward Portfolio Centers are subject to change.</w:t>
      </w:r>
    </w:p>
    <w:tbl>
      <w:tblPr>
        <w:tblW w:w="7612" w:type="dxa"/>
        <w:jc w:val="left"/>
        <w:tblInd w:w="0" w:type="dxa"/>
        <w:tblLayout w:type="fixed"/>
        <w:tblCellMar>
          <w:top w:w="28" w:type="dxa"/>
          <w:left w:w="28" w:type="dxa"/>
          <w:bottom w:w="28" w:type="dxa"/>
          <w:right w:w="28" w:type="dxa"/>
        </w:tblCellMar>
      </w:tblPr>
      <w:tblGrid>
        <w:gridCol w:w="124"/>
        <w:gridCol w:w="109"/>
        <w:gridCol w:w="109"/>
        <w:gridCol w:w="1298"/>
        <w:gridCol w:w="1298"/>
        <w:gridCol w:w="1303"/>
        <w:gridCol w:w="109"/>
        <w:gridCol w:w="109"/>
        <w:gridCol w:w="109"/>
        <w:gridCol w:w="890"/>
        <w:gridCol w:w="890"/>
        <w:gridCol w:w="12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Annapolis Mall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Inland Center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 Towne Center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Kierland Commons (b)</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Broadway Plaza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Kings Plaza Shopping Center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Chandler Fashion Center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 Cerritos Center (a)</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 Madera, The Village at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NorthPark Mall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Crabtree Mall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Queens Center (a)</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Danbury Fair Mall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SanTan Village Regional Center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Deptford Mall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Scottsdale Fashion Square (b)</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Desert Sky Mall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Plains Mall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Eastland Mall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Stonewood Center (a)</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Fashion District Philadelphia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Superstition Springs Center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Fashion Outlets of Chicago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Tysons Corner Center (b)</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Flatiron Crossing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Valley River Center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Freehold Raceway Mall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Victor Valley, Mall of (a)</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Fresno Fashion Fair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Vintage Faire Mall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 Acres Mall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 Square (a)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 Included in Consolidated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 Included in Unconsolidated Joint Venture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color w:val="000000"/>
        </w:rPr>
      </w:pPr>
      <w:r>
        <w:rPr>
          <w:color w:val="000000"/>
        </w:rPr>
        <w:t>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Further, the Company has a long-term four-pronged business strategy that focuses on the acquisition, leasing and management, redevelopment and development of regional retail centers. Although some of the key performance indicators at the Centers continued to improve during 2025 and the first half of 2026, operating results in 2026 have been and are expected to continue to be negatively impacted by certain external factors, including sustained inflation, tariffs and elevated interest rates, as well as the impact from the bankruptcies of Express, Forever 21 and Claire's, and resulting store closures, and any future tenant bankruptcies.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Traffic levels at the Company’s Centers for the first half of 2026 were flat compared to 2025 levels for the same time period. Portfolio tenant sales per square foot from spaces less than 10,000 square feet for the trailing twelve months ended June 30, 2026 were $919 compared to $849 for the trailing twelve months ended June 30, 2025. Comparable tenant sales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spaces less than 10,000 square feet across the portfolio for the quarter ended June 30, 2026 increased by 3.2% compared to the same period in 2025.</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2026, the Company signed 496 leases for approximately 2.9 million square feet, compared to 625 leases and 4.2 million square feet leased during the same period in 2025. New deal square footage is up 276,000 square feet or 29% compared to the same prior-year period.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quarter ended June 30, 2026, the Company signed leases for new stores with new-to-Macerich portfolio uses for 252,000 square feet, with another 291,000 square feet of such new-to-Macerich portfolio leases currently in negotiation as of the date of this Quarterly Report on Form 10-Q.</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the leased occupancy rate was 94.0%, a 2.0% increase compared to the leased occupancy rate at June 30, 2025 of 92.0% and a 0.6% sequential increase compared to the 93.4% occupancy rate at March 31, 2026.</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Many of the Company’s leases contain co-tenancy clauses. Certain Anchor or small tenant closures have become vacant, and co-tenancy clauses within certain leases may be triggered as a result. The Company does not anticipate that the negative impact of such clauses on lease revenue will be significant.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pace of bankruptcy filings involving the Company’s tenants has remained steady in recent years but is substantially lower than 2021 levels. For the year ended December 31, 2025, there were eight bankruptcy filings involving the Company’s tenants, including the bankruptcies of Forever 21 and Claire's, totaling 67 leases and representing approximately 873,000 square feet of leased space and approximately $12.9 million of annual leasing revenue at the Company’s share. Year-to-date 2026, there were four bankruptcy filings involving the Company’s tenants, including Saks Global LLC, totaling 18 leases and representing approximately 184,000 square feet of leased space and approximately $3.9 million of annual leasing revenue at the Company’s share. Based on current information and market data, the Company expects that the pace of bankruptcy filings in 2026 will be lower than the average bankruptcy rate over the last decade but the Company will continue to monitor the impact of tariffs and other economic conditions on the Company's tenants.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2026, the Company expects to generate positive cash flow after recurring operating capital expenditures, leasing capital expenditures and payment of dividends. This assumption does not include any potential capital generated from dispositions, refinancings or issuances of common stock. To the extent available, any excess cash flow may be used to fund the Company’s development and redevelopment pipeline, fund acquisitions and/or de-lever the Company’s balance sheet.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continues to actively address its near-term, non-recourse loan maturities, with five completed transactions from the beginning of 2025 through the date of this Quarterly Report on Form 10-Q, totaling approximately $954.7 million, or approximately $829.5 million at the Company’s pro rata share. For additional information on the Company’s financing transactions in the year ended 2025 through the date of this Quarterly Report on Form 10-Q, see “Financing Activities” in Management’s Overview and Summary.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9, 2024, the Company defaulted on the $300.0 million non-recourse loan on Santa Monica Place and during the first quarter of 2025, completed the transition of the property to a receiver. The Company is still the owner of record of the property.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rates have increased, and may continue to increase, the cost of the Company’s borrowings due to its outstanding floating-rate debt and have led, and may continue to lead, to higher interest rates on new fixed-rate debt. While interest rates remain elevated,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Comparison of Three Months Ended June 30, 2026 and 2025 </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Leasing revenue increased by $0.7 million, or 0.3%, from 2025 to 2026. The increase in leasing revenue is attributed to increases of $16.3 million from the Acquisition Properties and $1.1 million from the Same Centers offset in part by decreases of $13.5 million from the Disposition Properties and $3.2 million from Santa Monica Place. Leasing revenue includes the amortization of above and below-market leases, the amortization of straight-line rents, lease termination income,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rent and the recovery of bad debts. The amortization of above and below-market leases decreased from $2.0 million in 2025 to $0.4 million in 2026. The amortization of straight-line rents increased from $0.8 million in 2025 to $2.0 million in 2026. Lease termination income decreased from $0.6 million in 2025 to $0.3 million in 2026. Percentage rent decreased from $4.1 million in 2025 to $3.7 million in 2026. Provisions for bad debts increased from $0.8 million in 2025 to $1.9 million in 2026 of which $0.7 million of the increase related to Santa Monica Place.</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Shopping Center and Operating Expenses: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Shopping center and operating expenses decreased $1.9 million, or 2.4%, from 2025 to 2026. The decrease in shopping center and operating expenses is attributed to decreases of $4.1 million from the Disposition Properties and $1.8 million from the Same Centers offset in part by an increase of $3.8 million from the Acquisition Properties.</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Management Companies' Operating Expenses: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Companies' operating expenses increased $2.1 million from 2025 to 2026 due primarily to an increase in compensation expense. </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decreased $2.3 million from 2025 to 2026. The decrease in depreciation and amortization is attributed to decreases of $6.2 million from the Same Centers and $4.2 million from the Disposition Properties offset in part by an increase of $8.8 million from the Acquisition Properties. Additionally, $0.7 million of the decrease is attributable to Santa Monica Place.</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expense decreased $5.9 million from 2025 to 2026. The decrease in interest expense is attributed to decreases of $6.0 million from the Disposition Properties and $4.0 million from the Same Centers offset in part by increases in interest expense of $2.7 million from the Acquisition Properties and $1.0 million from higher outstanding balances on the Company's revolving credit facility.</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Equity in Loss of Unconsolidated Joint Ventures: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joint ventures increased $4.8 million from 2025 to 2026. The increase in equity in loss of unconsolidated joint ventures is primarily due to impairment loss recognized in 2026 as a result of the reduction in the estimated holding period of a property held by a certain unconsolidated joint venture.</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Gain (Loss) on Sale or Write Down of Assets, net: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Gain (loss) on sale or write down of assets, net increased $17.1 million from 2025 to 2026 primarily due to the sale of the Company's ownership interest in West Acres offset in part by an impairment loss of $12.9 million recognized in 2025 as a result of the reduction in the estimated holding period of Valley Mall (See Note 15—Dispositions, net in the Notes to the Consolidated Financial Statements). </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Loss: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loss decreased $14.7 million from 2025 to 2026. The decrease in net loss is primarily due to the increase in gain (loss) on sale or write down of assets, net as discussed above.</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Funds From Operations ("FFO"):</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Primarily as a result of the factors mentioned above, </w:t>
      </w:r>
      <w:r>
        <w:rPr>
          <w:rFonts w:ascii="Times New Roman;serif" w:hAnsi="Times New Roman;serif"/>
          <w:b w:val="false"/>
          <w:color w:val="000000"/>
          <w:sz w:val="20"/>
          <w:shd w:fill="FFFFFF" w:val="clear"/>
        </w:rPr>
        <w:t>FFO attributable to common stockholders and unit holders, as adjusted—diluted in</w:t>
      </w:r>
      <w:r>
        <w:rPr>
          <w:rFonts w:ascii="Times New Roman;serif" w:hAnsi="Times New Roman;serif"/>
          <w:b w:val="false"/>
          <w:color w:val="000000"/>
          <w:sz w:val="20"/>
        </w:rPr>
        <w:t xml:space="preserve">creased from </w:t>
      </w:r>
      <w:r>
        <w:rPr>
          <w:rFonts w:ascii="Times New Roman;serif" w:hAnsi="Times New Roman;serif"/>
          <w:b w:val="false"/>
          <w:color w:val="000000"/>
          <w:sz w:val="20"/>
          <w:shd w:fill="FFFFFF" w:val="clear"/>
        </w:rPr>
        <w:t>$88.7 million</w:t>
      </w:r>
      <w:r>
        <w:rPr>
          <w:color w:val="000000"/>
        </w:rPr>
        <w:t xml:space="preserve"> </w:t>
      </w:r>
      <w:r>
        <w:rPr>
          <w:rFonts w:ascii="Times New Roman;serif" w:hAnsi="Times New Roman;serif"/>
          <w:b w:val="false"/>
          <w:color w:val="000000"/>
          <w:sz w:val="20"/>
        </w:rPr>
        <w:t xml:space="preserve">in 2025 to </w:t>
      </w:r>
      <w:r>
        <w:rPr>
          <w:rFonts w:ascii="Times New Roman;serif" w:hAnsi="Times New Roman;serif"/>
          <w:b w:val="false"/>
          <w:color w:val="000000"/>
          <w:sz w:val="20"/>
          <w:shd w:fill="FFFFFF" w:val="clear"/>
        </w:rPr>
        <w:t>$100.4 million</w:t>
      </w:r>
      <w:r>
        <w:rPr>
          <w:color w:val="000000"/>
        </w:rPr>
        <w:t xml:space="preserve"> </w:t>
      </w:r>
      <w:r>
        <w:rPr>
          <w:rFonts w:ascii="Times New Roman;serif" w:hAnsi="Times New Roman;serif"/>
          <w:b w:val="false"/>
          <w:color w:val="000000"/>
          <w:sz w:val="20"/>
        </w:rPr>
        <w:t>in 2026. For a reconciliation of net loss attributable to the Company, the most directly comparable GAAP financial measure, to FFO attributable to common stockholders and unit holders</w:t>
      </w:r>
      <w:r>
        <w:rPr>
          <w:color w:val="000000"/>
          <w:shd w:fill="FFFFFF" w:val="clear"/>
        </w:rPr>
        <w:t>—</w:t>
      </w:r>
      <w:r>
        <w:rPr>
          <w:rFonts w:ascii="Times New Roman;serif" w:hAnsi="Times New Roman;serif"/>
          <w:b w:val="false"/>
          <w:color w:val="000000"/>
          <w:sz w:val="20"/>
          <w:shd w:fill="FFFFFF" w:val="clear"/>
        </w:rPr>
        <w:t>diluted</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FFO attributable to common stockholders and unit holders, as adjusted—diluted</w:t>
      </w:r>
      <w:r>
        <w:rPr>
          <w:rFonts w:ascii="Times New Roman;serif" w:hAnsi="Times New Roman;serif"/>
          <w:b w:val="false"/>
          <w:color w:val="000000"/>
          <w:sz w:val="20"/>
        </w:rPr>
        <w:t>, see "Funds From Operations ("FFO")"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Comparison of Six Months Ended June 30, 2026 and 2025 </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Leasing revenue decreased by $9.0 million, or 1.9%, from 2025 to 2026. The decrease in leasing revenue is attributed to decreases of $29.9 million from the Disposition Properties, $5.4 million from Santa Monica Place and $1.2 million from the Same Centers offset in part by an increase of $27.5 million from the Acquisition Properties. Leasing revenue includes the amortization of above and below-market leases, the amortization of straight-line rents, lease termination income,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rent and the recovery of bad debts. The amortization of above and below-market leases decreased from $3.0 million in 2025 to $1.8 million in 2026. Straight-line rents increased from $0.5 million in 2025 to $3.4 million in 2026. Lease termination income decreased from $5.5 million in 2025 to $0.4 million in 2026. Percentage rent increased from $8.4 million in 2025 to $9.7 million in 2026. Provisions for bad debts increased from $2.4 million in 2025 to $3.1 million in 2026 of which $0.8 million related to Santa Monica Place.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Management Companies' revenue increased 11.7% from $10.9 million in 2025 to $12.1 million in 2026 primarily due to an increase in development fees.</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Shopping Center and Operating Expenses: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Shopping center and operating expenses decreased $3.8 million, or 2.3%, from 2025 to 2026. The decrease in shopping center and operating expenses is attributed to decreases of $10.4 million from the Disposition Properties and $1.5 million from the Same Centers offset in part by increases of $6.9 million from the Acquisition Properties and $1.2 million from Santa Monica Place.</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Leasing Expenses: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Leasing expenses increased from $21.8 million in 2025 to $27.5 million in 2026 due primarily to an increase in compensation expense.</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Management Companies' Operating Expenses: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Companies' operating expenses increased $3.7 million from 2025 to 2026 due primarily to an increase in compensation expense. </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decreased $11.8 million from 2025 to 2026. The decrease in depreciation and amortization is attributed to decreases of $14.5 million from the Same Centers, $11.0 million from the Disposition Properties and $1.4 million from Santa Monica Place offset in part by an increase of $15.1 million from the Acquisition Properties.</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decreased $7.5 million from 2025 to 2026. The decrease in interest expense is attributed to decreases of $12.0 million from the Disposition Properties, $0.6 million from the Same Centers and $0.4 million from lower outstanding balances on the Company's revolving credit facility offset in part by increases of $5.3 million from the Acquisition Properties and $0.2 million from Santa Monica Place. </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Equity in Loss of Unconsolidated Joint Ventures:</w:t>
      </w:r>
    </w:p>
    <w:p>
      <w:pPr>
        <w:pStyle w:val="TextBody"/>
        <w:bidi w:val="0"/>
        <w:spacing w:lineRule="auto" w:line="288" w:before="160" w:after="160"/>
        <w:ind w:left="0" w:right="0" w:firstLine="495"/>
        <w:jc w:val="left"/>
        <w:rPr/>
      </w:pPr>
      <w:r>
        <w:rPr>
          <w:rFonts w:ascii="Times New Roman;serif" w:hAnsi="Times New Roman;serif"/>
          <w:b w:val="false"/>
          <w:color w:val="000000"/>
          <w:sz w:val="20"/>
          <w:shd w:fill="FFFFFF" w:val="clear"/>
        </w:rPr>
        <w:t>Equity in loss of unconsolidated joint ventures increased $13.8 million from 2025 to 2026</w:t>
      </w:r>
      <w:r>
        <w:rPr>
          <w:rFonts w:ascii="Times New Roman;serif" w:hAnsi="Times New Roman;serif"/>
          <w:b w:val="false"/>
          <w:color w:val="000000"/>
          <w:sz w:val="20"/>
        </w:rPr>
        <w:t>. The increase in equity in loss of unconsolidated joint ventures is primarily due to an impairment loss of $8.0 million recognized in 2026 as a result of the reduction in the estimated holding period of a property held by a certain unconsolidated joint venture and income received from legal claims settlements in 2025.</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Gain (Loss) on Sale or Write Down of Assets, net: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Gain (loss) on sale or write down of assets, net increased $37.9 million from 2025 to 2026. The increase is primarily due to the gains recognized in 2026 of $10.1 million relating to the sale of an outparcel at Washington Square and $6.6 million relating to the sale of the Company's ownership interest in West Acres and impairment losses in 2025 of $26.2 million recognized as a result of the reduction in the estimated holding period of certain properties.</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Loss: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loss decreased $29.0 million from 2025 to 2026. The decrease in net loss is primarily due to the gains recognized in 2026 of $10.1 million relating to the sale of an outparcel at Washington Square and $6.6 million relating to the sale of the Company's ownership interest in West Acres and impairment losses in 2025 of $26.2 million recognized as a result of the reduction in the estimated holding period of certain properties along with the other variances noted above.</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Funds From Operations ("FFO"):</w:t>
      </w:r>
    </w:p>
    <w:p>
      <w:pPr>
        <w:pStyle w:val="TextBody"/>
        <w:bidi w:val="0"/>
        <w:spacing w:lineRule="auto" w:line="288" w:before="160" w:after="160"/>
        <w:ind w:left="0" w:right="0" w:firstLine="495"/>
        <w:jc w:val="left"/>
        <w:rPr/>
      </w:pPr>
      <w:r>
        <w:rPr>
          <w:rFonts w:ascii="Times New Roman;serif" w:hAnsi="Times New Roman;serif"/>
          <w:b w:val="false"/>
          <w:color w:val="000000"/>
          <w:sz w:val="20"/>
          <w:shd w:fill="FFFFFF" w:val="clear"/>
        </w:rPr>
        <w:t>Primarily as a result of the factors mentioned ab</w:t>
      </w:r>
      <w:r>
        <w:rPr>
          <w:rFonts w:ascii="Times New Roman;serif" w:hAnsi="Times New Roman;serif"/>
          <w:b w:val="false"/>
          <w:color w:val="000000"/>
          <w:sz w:val="20"/>
        </w:rPr>
        <w:t xml:space="preserve">ove, FFO attributable to common stockholders and unit holders, as adjusted—diluted, increased 8.0% from </w:t>
      </w:r>
      <w:r>
        <w:rPr>
          <w:rFonts w:ascii="Times New Roman;serif" w:hAnsi="Times New Roman;serif"/>
          <w:b w:val="false"/>
          <w:color w:val="000000"/>
          <w:sz w:val="20"/>
          <w:shd w:fill="FFFFFF" w:val="clear"/>
        </w:rPr>
        <w:t xml:space="preserve">$178.5 million </w:t>
      </w:r>
      <w:r>
        <w:rPr>
          <w:rFonts w:ascii="Times New Roman;serif" w:hAnsi="Times New Roman;serif"/>
          <w:b w:val="false"/>
          <w:color w:val="000000"/>
          <w:sz w:val="20"/>
        </w:rPr>
        <w:t xml:space="preserve">in 2025 to </w:t>
      </w:r>
      <w:r>
        <w:rPr>
          <w:rFonts w:ascii="Times New Roman;serif" w:hAnsi="Times New Roman;serif"/>
          <w:b w:val="false"/>
          <w:color w:val="000000"/>
          <w:sz w:val="20"/>
          <w:shd w:fill="FFFFFF" w:val="clear"/>
        </w:rPr>
        <w:t>$192.8 million</w:t>
      </w:r>
      <w:r>
        <w:rPr>
          <w:color w:val="000000"/>
        </w:rPr>
        <w:t xml:space="preserve"> </w:t>
      </w:r>
      <w:r>
        <w:rPr>
          <w:rFonts w:ascii="Times New Roman;serif" w:hAnsi="Times New Roman;serif"/>
          <w:b w:val="false"/>
          <w:color w:val="000000"/>
          <w:sz w:val="20"/>
        </w:rPr>
        <w:t xml:space="preserve">in 2026. For a reconciliation of net loss attributable to the Company, the most directly comparable GAAP financial measure, to FFO attributable to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pPr>
      <w:r>
        <w:rPr>
          <w:rFonts w:ascii="Times New Roman;serif" w:hAnsi="Times New Roman;serif"/>
          <w:b w:val="false"/>
          <w:color w:val="000000"/>
          <w:sz w:val="20"/>
        </w:rPr>
        <w:t>stockholders and unit holders</w:t>
      </w:r>
      <w:r>
        <w:rPr>
          <w:color w:val="000000"/>
          <w:shd w:fill="FFFFFF" w:val="clear"/>
        </w:rPr>
        <w:t>—</w:t>
      </w:r>
      <w:r>
        <w:rPr>
          <w:rFonts w:ascii="Times New Roman;serif" w:hAnsi="Times New Roman;serif"/>
          <w:b w:val="false"/>
          <w:color w:val="000000"/>
          <w:sz w:val="20"/>
          <w:shd w:fill="FFFFFF" w:val="clear"/>
        </w:rPr>
        <w:t>diluted</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FFO attributable to common stockholders and unit holde</w:t>
      </w:r>
      <w:r>
        <w:rPr>
          <w:rFonts w:ascii="Times New Roman;serif" w:hAnsi="Times New Roman;serif"/>
          <w:b w:val="false"/>
          <w:color w:val="000000"/>
          <w:sz w:val="20"/>
        </w:rPr>
        <w:t>rs, as adjusted—diluted, see "Funds From Operations ("FFO")" below.</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decreased $14.8 million from 2025 to 2026. The decrease is primarily due to the changes in assets and liabilities and the results, as discussed above.</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increased $78.1 million from 2025 to 2026. The increase in cash used in investing activities is primarily attributed to decreases of $74.5 million from proceeds from sale of assets and $9.2 million from distributions from unconsolidated joint ventures and increases of $36.2 million in property improvements, $19.3 million in development, redevelopment and renovation offset in part by a decrease of $65.9 million from contributions to unconsolidated joint ventures. The decrease in contributions to unconsolidated joint ventures is primarily due to contributions to Flatiron Crossing in 2025 to payoff the remaining loan balance (See “Financing Activities” in Management’s Overview and Summary).</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decreased $17.1 million from 2025 to 2026. The decrease in cash provided by financing activities is primarily due to a decrease in proceeds from mortgages, bank and other notes payable of $190.0 million and increases in payments on mortgages, bank and other notes payable of $345.3 million and deferred financing costs of $13.1 million offset in part by an increase in proceeds from stock offering of $532.5 million and decrease in payments of finance leases of $4.4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revolving credit facility.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Additionally, the Company is focused on implementing the Path Forward Plan, including its goal to reduce its Net Debt to Adjusted EBITDA leverage ratio to a lower level over the next two to three years. The Company may achieve this goal, and other goals set in connection with the Path Forward Plan,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Uses of Capital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capital expenditures incurred at the Centers (at the Company's pro rata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tbl>
      <w:tblPr>
        <w:tblW w:w="8440" w:type="dxa"/>
        <w:jc w:val="left"/>
        <w:tblInd w:w="0" w:type="dxa"/>
        <w:tblLayout w:type="fixed"/>
        <w:tblCellMar>
          <w:top w:w="28" w:type="dxa"/>
          <w:left w:w="28" w:type="dxa"/>
          <w:bottom w:w="28" w:type="dxa"/>
          <w:right w:w="28" w:type="dxa"/>
        </w:tblCellMar>
      </w:tblPr>
      <w:tblGrid>
        <w:gridCol w:w="2077"/>
        <w:gridCol w:w="1831"/>
        <w:gridCol w:w="1836"/>
        <w:gridCol w:w="213"/>
        <w:gridCol w:w="837"/>
        <w:gridCol w:w="110"/>
        <w:gridCol w:w="110"/>
        <w:gridCol w:w="110"/>
        <w:gridCol w:w="110"/>
        <w:gridCol w:w="213"/>
        <w:gridCol w:w="837"/>
        <w:gridCol w:w="156"/>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Consolidated Centers:</w:t>
            </w:r>
          </w:p>
        </w:tc>
        <w:tc>
          <w:tcPr>
            <w:tcW w:w="11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property(1)</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improvements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redevelopment, expansions and renovations of Centers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allowances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leasing charges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393,971 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369,067 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Unconsolidated Joint Venture Centers:</w:t>
            </w:r>
          </w:p>
        </w:tc>
        <w:tc>
          <w:tcPr>
            <w:tcW w:w="116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improvements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redevelopment, expansions and renovations of Centers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allowances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leasing charges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57,323 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(1) For the six months ended June 30, 2026, this includes the $272.0 million acquisition of Annapolis Mall, excluding closing adjustments and other related transaction costs. For the six months ended June 30, 2025, this includes the $290.0 million acquisition of Crabtree Mall, excluding closing adjustments and other related transaction costs.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expects amounts to be incurred during the next twelve months for tenant allowances and deferred leasing charges to be approximately $75.0 million to $100.0 million. The Company expects to incur approximately $275.0 million to $325.0 million during the next twelve months for development, redevelopment, expansion and renovations, which includes Scottsdale Fashion Square, Green Acres Mall and FlatIron Crossing (See "Redevelopment and Development Activities" in Management’s Overview and Summary). Capital for these expenditures, developments and/or redevelopments has been, and is expected to continue to be, obtained from a combination of cash on hand, cash generated from operations, asset sales, debt or equity financings, which may include borrowings under the Company's revolving credit facility and sales of common stock, from property financings and construction loans, each to the extent available. The Company will be very selective in undertaking any future development or redevelopment projects and may choose to pause existing projects if the Company believes they are no longer economically viable.</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Sources of Capital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has also generated liquidity in the past, and may continue to do so in the future, through equity offerings and issuances, property refinancings, joint venture transactions and the sale of non-core assets. Asset sales will focus on whether a property is core to the Company's strategy and may include defaulting on certain mortgage debts on the Company's properties and giving possession of such secured properties to the lender. For example, since implementing the Path Forward Plan in the second quarter of 2024, the Company has sold joint venture interests in properties and consolidated properties as described in “—Dispositions” in Management’s Overview and Summary. The Company used its share of proceeds from these transactions to pay down its revolving credit facility and other debt obligations. During the six months ended June 30, 2026 and the year ended December 31, 2025, the Company and/or certain joint venture partners sold various land parcels in separate transactions for net aggregate proceeds of $12.4 million and $20.1 million (at the Company's share), respectively, which the Company used to pay down debt and for other general corporate purposes.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13, 2026, the Company completed a public offering of 22,080,000 shares of its common stock at a price per share of $21.00, which includes the underwriters’ full exercise of their option to purchase an additional 2,880,000 shares, for gross proceeds of approximately $463.7 million. The net proceeds of the offering were approximately $448.2 million after deducting the underwriting discount and offering costs of approximately $15.4 million. The Company used the proceeds from the offering to repay borrowings under its revolving credit facility, which were used primarily to fund the acquisition of Annapolis Mall, and for general corporate purposes, including to acquire additional properties and to fund strategic leasing capital investments at Annapolis Mall.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June 15, 2026, the Company entered into an underwriting agreement with certain parties in their capacities as underwriters, forward sellers and forward purchasers, as applicable, in connection with the offering of 14,000,000 shares of its common stock. The Company also entered into separate forward sale agreements with each of the forward purchasers, pursuant to which the forward purchasers borrowed from third parties and sold to the underwriters an aggregate of 14,000,000 shares of the Company’s common stock. On June 26, 2026, the underwriters exercised in full their option to purchase an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2,100,000 shares of common stock, resulting in a total offering of 16,100,000 shares. The Company entered into additional separate forward sale agreements with each of the forward purchasers relating to these additional 2,100,000 shares. The Company did not initially receive any proceeds from the sale of shares of its common stock by the forward purchasers or their affiliates. The Company expects to physically settle the forward sale agreements and receive proceeds, subject to certain adjustments, from the sale of those shares of its common stock upon one or more such physical settlements no later than June 16, 2027. Although the Company expects to settle the forward sale agreements entirely by the physical delivery of shares of its common stock for cash proceeds, the Company may also elect to cash settle or net share settle all or a portion of its obligations under the forward sale agreements, in which case, the Company may not receive any proceeds, and the Company may owe cash or shares of its common stock to the forward purchasers. The forward sale agreements provide for an initial forward price of $23.12325 per share, subject to certain adjustments pursuant to the terms of each of the forward sale agreements. The forward sale agreements are subject to early termination or settlement under certain circumstances.</w:t>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November 12, 2024, the Company registered an “at the market” offering program, pursuant to which the Company may issue and sell shares of its common stock having an aggregate offering price of up to $500.0 million, in amounts and at times to be determined by the Company. During the six months ended June 30, 2026, the Company sold 4.5 million shares of common stock for approximately $83.8 million of net proceeds through the 2024 ATM Program at a weighted average price of $19.21. As of June 30, 2026, the Company had approximately $288.5 million of gross sales of its common stock available under the 2024 ATM Program.</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issuances made under the 2024 ATM Program as of June 30, 2026.</w:t>
      </w:r>
    </w:p>
    <w:tbl>
      <w:tblPr>
        <w:tblW w:w="7004" w:type="dxa"/>
        <w:jc w:val="left"/>
        <w:tblInd w:w="0" w:type="dxa"/>
        <w:tblLayout w:type="fixed"/>
        <w:tblCellMar>
          <w:top w:w="28" w:type="dxa"/>
          <w:left w:w="28" w:type="dxa"/>
          <w:bottom w:w="28" w:type="dxa"/>
          <w:right w:w="28" w:type="dxa"/>
        </w:tblCellMar>
      </w:tblPr>
      <w:tblGrid>
        <w:gridCol w:w="932"/>
        <w:gridCol w:w="822"/>
        <w:gridCol w:w="825"/>
        <w:gridCol w:w="629"/>
        <w:gridCol w:w="629"/>
        <w:gridCol w:w="632"/>
        <w:gridCol w:w="213"/>
        <w:gridCol w:w="727"/>
        <w:gridCol w:w="110"/>
        <w:gridCol w:w="318"/>
        <w:gridCol w:w="932"/>
        <w:gridCol w:w="235"/>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(Dollars and shares in thousands)</w:t>
            </w:r>
          </w:p>
        </w:tc>
        <w:tc>
          <w:tcPr>
            <w:tcW w:w="4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ATM Program</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w:t>
            </w:r>
          </w:p>
        </w:tc>
        <w:tc>
          <w:tcPr>
            <w:tcW w:w="1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Issued</w:t>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Proceeds</w:t>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Commissions</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12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83,758 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While interest rates have begun to decrease, they remain elevated and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total outstanding loan indebtedness, which includes mortgages and other notes payable, at June 30, 2026 was $6.34 billion (consisting of $4.85 billion of consolidated debt, less $0.03 billion of noncontrolling interests, plus $1.53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revolving credit facility or cash on hand, with the exception of Santa Monica Place and Twenty Ninth Street (See “—Financing Activities” in Management’s Overview and Summary). The $76.5 million mortgage loan (at the Company's pro rata share) on Twenty Ninth Street is in default as of February 6, 2026. The Company's joint venture is in negotiations with the lender on the terms of the loan.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Additionally, as of June 30, 2026, the Company was contingently liable for $0.9 million in letters of credit guaranteeing performance by the Company of certain obligations relating to the Centers. As of June 30, 2026, $0.4 million of these letters of credit were secured by restricted cash. The Company does not believe that these letters of credit will result in a liability to the Company.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continues to actively address its near-term, non-recourse loan maturities, with five completed transactions since the beginning of 2025 through the date of this Quarterly Report on Form 10-Q, totaling approximately $954.7 million, or approximately $829.5 million at the Company’s pro rata share. For additional information on the Company’s financing transactions in the year ended 2025 through the date of this Quarterly Report on Form 10-Q, see “Financing Activities” in Management’s Overview and Summary.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2026, the Company and the Operating Partnership entered into an amended and restated credit agreement, which amended and restated their prior credit agreement, and provides for an aggregate $900.0 million revolving credit facility that matures on March 1, 2029, with a one-year extension option. The revolving credit facility can be expanded up to $1.1 billion, subject to receipt of lender commitments and other conditions.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revolving credit facility are guaranteed unconditionally by the Company and certain subsidiary guarantors. The new revolving credit facility bears interest, at the Operating Partnership’s option, at either the base rate (as defined in the credit agreement) or term SOFR (as defined in the credit agreement) plus, in both cases, an applicable margin. The current applicable margin depends on the Company’s overall debt yield and ranges from 0.80% to 2.20% over the selected index rate. Upon the achievement of certain performance thresholds, the applicable margin will depend on the Company’s overall net debt to EBITDA ratio and will be in a range of 0.35% to 1.65% over the selected index rate. As of June 30, 2026, the applicable margin for base rate loans was 0.90% per annum and the applicable margin for term SOFR loans was 1.90% per annum.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the borrowing rate was SOFR plus a spread of 1.90%. As of June 30, 2026, there were no borrowings under the revolving credit facility. Unamortized deferred finance costs were $17.5 million as of June 30, 2026, which are netted against balances outstanding or within deferred charges and other assets, net when no borrowings are outstanding on the revolving credit facility which was the case as of June 30, 2026. As of June 30, 2026, the Company’s availability under the revolving credit facility for additional borrowings was $899.5 million.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Cash dividends and distributions for the six months ended June 30, 2026 were $100.8 million (including distributions from consolidated joint ventures of $1.9 million), which were funded by operations.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was in compliance with all applicable loan covenants under its agreements, with the exception of Santa Monica Place and Twenty Ninth Street, as discussed above.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cash and cash equivalents of $227.0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Material Cash Commitments: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schedule of material cash commitments as of June 30, 2026 for the Consolidated Centers over the periods in which they are expected to be paid (in thousands):</w:t>
      </w:r>
    </w:p>
    <w:tbl>
      <w:tblPr>
        <w:tblW w:w="10205" w:type="dxa"/>
        <w:jc w:val="left"/>
        <w:tblInd w:w="0" w:type="dxa"/>
        <w:tblLayout w:type="fixed"/>
        <w:tblCellMar>
          <w:top w:w="28" w:type="dxa"/>
          <w:left w:w="28" w:type="dxa"/>
          <w:bottom w:w="28" w:type="dxa"/>
          <w:right w:w="28" w:type="dxa"/>
        </w:tblCellMar>
      </w:tblPr>
      <w:tblGrid>
        <w:gridCol w:w="967"/>
        <w:gridCol w:w="849"/>
        <w:gridCol w:w="854"/>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6"/>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Due by Period</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Commitments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w:t>
              <w:br/>
              <w:t>five years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obligations (includes expected interest payments)(1)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765,882 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5,783,158 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2,436,125 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835,627 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(1)Interest payments on floating rate debt were based on rates in effect at June 30, 2026.</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(2)See Note 8—Leases in the Company's Notes to the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(3)Includes the $300.0 million non-recourse loan on Santa Monica Place which the Company defaulted on April 9, 2024. The Company is still the owner of record of the property.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Funds From Operations ("FFO")</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The Company uses FFO in addition to net loss to report its operating and financial results and considers FFO and FFO </w:t>
      </w:r>
      <w:r>
        <w:rPr>
          <w:color w:val="000000"/>
        </w:rPr>
        <w:t>—</w:t>
      </w:r>
      <w:r>
        <w:rPr>
          <w:rFonts w:ascii="Times New Roman;serif" w:hAnsi="Times New Roman;serif"/>
          <w:b w:val="false"/>
          <w:color w:val="000000"/>
          <w:sz w:val="20"/>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presents FFO, as adjusted. The Company calculates FFO, as adjusted, by excluding from FFO the impact of properties in receivership, default interest expense and gain or loss on non-real estate investments.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as adjusted, which excludes the impact associated with properties in receivership, default interest expense and impact of non-cash changes in the market value of non-real estate investments provides useful supplemental information regarding the Company's performance as it shows a more meaningful and consistent comparison of the Company's operating performance and allows investors to more easily compare the Company's results. Santa Monica Place has been under control of a court appointed receiver since March 18, 2025 and the Company has excluded the FFO impact from this property for all periods presented. Effective (i) April 9, 2024, default interest expense has been accrued on the non-recourse loan on Santa Monica Place; (ii) November 6, 2025 through February 5, 2026, default interest expense was incurred on the non-recourse loan at South Plains Mall; and (iii) February 6, 2026, default interest expense has been accrued on the non-recourse loan at Twenty Ninth Street. The Company is required under GAAP to accrue default interest expense, which is expected to be reversed or paid, once a loan is modified or once title to the mortgaged loan collateral is transferred. The Company believes that default interest on non-recourse loans, and any related reversal thereof should be excluded. The Company holds certain non-real estate investments that are subject to mark to market changes every quarter. These investments are not core to the Company's business, and the changes to market value and the related gain or loss are entirely non-cash in nature. As a result, the Company believes that the gain or loss on non-real estate investments should be excluded.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further believes that FFO and FFO, as adjusted, does not represent cash flow from operations as defined by GAAP, should not be considered as an alternative to net income (loss) as defined by GAAP, and is not indicative of cash available to fund all cash flow needs. The Company also cautions that FFO and FFO as adjusted, as presented, may not be comparable to similarly titled measures reported by other REITs.</w:t>
      </w:r>
    </w:p>
    <w:p>
      <w:pPr>
        <w:pStyle w:val="TextBody"/>
        <w:bidi w:val="0"/>
        <w:spacing w:lineRule="auto" w:line="288" w:before="160" w:after="160"/>
        <w:ind w:left="0" w:right="0" w:firstLine="495"/>
        <w:jc w:val="left"/>
        <w:rPr/>
      </w:pPr>
      <w:r>
        <w:rPr>
          <w:rFonts w:ascii="Times New Roman;serif" w:hAnsi="Times New Roman;serif"/>
          <w:b w:val="false"/>
          <w:color w:val="000000"/>
          <w:sz w:val="20"/>
        </w:rPr>
        <w:t>Management compensates for the limitations of FFO and FFO, as adjusted, by providing investors with financial statements prepared according to GAAP, along with this detailed discussion of FFO and FFO, as adjusted, and a reconciliation of net loss to FFO and FFO, as adjusted, diluted. Management believes that to further understand the Company's performance, FFO and FFO, as adjusted, should be compared with the Company's reported net loss and considered in addition to cash flows in accordance with GAAP, as presented in the Company's consolidated financial statements. The following reconciles net loss attributable to the Company to FFO attributable to common stockholders and unit holders</w:t>
      </w:r>
      <w:r>
        <w:rPr>
          <w:color w:val="000000"/>
        </w:rPr>
        <w:t>—</w:t>
      </w:r>
      <w:r>
        <w:rPr>
          <w:rFonts w:ascii="Times New Roman;serif" w:hAnsi="Times New Roman;serif"/>
          <w:b w:val="false"/>
          <w:color w:val="000000"/>
          <w:sz w:val="20"/>
        </w:rPr>
        <w:t>basic and diluted and FFO, as adjusted, attributable to common stockholders and unit holders</w:t>
      </w:r>
      <w:r>
        <w:rPr>
          <w:color w:val="000000"/>
        </w:rPr>
        <w:t>—</w:t>
      </w:r>
      <w:r>
        <w:rPr>
          <w:rFonts w:ascii="Times New Roman;serif" w:hAnsi="Times New Roman;serif"/>
          <w:b w:val="false"/>
          <w:color w:val="000000"/>
          <w:sz w:val="20"/>
        </w:rPr>
        <w:t>basic and diluted, for the three and six months ended June 30, 2026 and 2025 (dollars and shares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6"/>
        <w:gridCol w:w="1368"/>
        <w:gridCol w:w="1373"/>
        <w:gridCol w:w="109"/>
        <w:gridCol w:w="109"/>
        <w:gridCol w:w="109"/>
        <w:gridCol w:w="209"/>
        <w:gridCol w:w="786"/>
        <w:gridCol w:w="116"/>
        <w:gridCol w:w="116"/>
        <w:gridCol w:w="116"/>
        <w:gridCol w:w="116"/>
        <w:gridCol w:w="209"/>
        <w:gridCol w:w="732"/>
        <w:gridCol w:w="116"/>
        <w:gridCol w:w="109"/>
        <w:gridCol w:w="109"/>
        <w:gridCol w:w="109"/>
        <w:gridCol w:w="202"/>
        <w:gridCol w:w="762"/>
        <w:gridCol w:w="112"/>
        <w:gridCol w:w="112"/>
        <w:gridCol w:w="112"/>
        <w:gridCol w:w="112"/>
        <w:gridCol w:w="202"/>
        <w:gridCol w:w="762"/>
        <w:gridCol w:w="172"/>
      </w:tblGrid>
      <w:tr>
        <w:trPr/>
        <w:tc>
          <w:tcPr>
            <w:tcW w:w="174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(27,071)</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(40,905)</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(63,421)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(91,029)</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attributable to the Company to FFO attributable to common stockholders and unit 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or write down of assets, net—consolidated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noncontrolling interests' share of loss on sale or write down of assets—consolidated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gain on sale of undepreciated assets—consolidated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or write down of assets—unconsolidated joint ventures, net(1)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loss on sale of undepreciated assets—unconsolidated joint ventures(1)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interests in depreciation and amortization—consolidated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amortization—unconsolidated joint ventures(1)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depreciation on personal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attributable to common stockholders and unit holders—basic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90,845 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83,977 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166,728 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164,950 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in receivership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attributable to common stockholders and unit holders, as adjusted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100,449 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88,713 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192,832 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178,477 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FFO shares outstanding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attributable to common stockholders and unit holders—basic(2)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for impact of dilutive securities in computing FFO—diluted: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 and unit 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FFO shares outstanding for FFO attributable to common stockholders and unit holders—basic and diluted(2)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285,019 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263,967 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277,249 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263,922 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     Unconsolidated joint ventures are presented at the Company's pro rata share.</w:t>
      </w:r>
    </w:p>
    <w:p>
      <w:pPr>
        <w:pStyle w:val="TextBody"/>
        <w:bidi w:val="0"/>
        <w:spacing w:lineRule="auto" w:line="288" w:before="160" w:after="16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(2)     Calculated based upon basic net income as adjusted to reach basic FFO. Includes 11.3 million and 10.9 million of OP Units outstanding for the three months ended June 30, 2026 and 2025, respectively, and 11.3 million and 10.9 million of OP Units outstanding for the six months ended June 30, 2026 and 2025, respectively. </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Net Operating Income – Go-Forward Portfolio Centers ("NOI – Go-Forward Portfolio Centers")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presents NOI – Go-Forward Portfolio Centers because the Company believes it is useful for investors to evaluate the operating performance of comparable centers. NOI – Go-Forward Portfolio Centers is calculated using earnings before interest, income taxes, depreciation, amortization, noncontrolling interests in the Operating Partnership, extraordinary items, loss (gain) on remeasurement, sale or write down of assets, loss (gain) on extinguishment of debt and preferred dividends and includes joint ventures at their pro rata share and eliminating the impact of the Management Companies’ revenues and operating expenses, leasing expenses (including joint ventures at pro rata), the Company’s REIT general and administrative expenses, corporate and other income and expenses and the straight-line and above/below market adjustments to minimum rents and subtracting out NOI from non-Go-Forward Portfolio Centers. The Company also presents NOI – Go-Forward Portfolio Centers, excluding lease termination income, as the Company believes that it is useful for investors to evaluate operating performance without the impact of lease termination income.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compensates for the limitations of NOI – Go-Forward Portfolio Centers by providing investors with financial statements prepared according to GAAP, along with this detailed discussion of NOI – Go-Forward Portfolio Centers and a reconciliation of net loss attributable to the Company to NOI – All Centers and NOI – Go-Forward Portfolio Centers. Management believes that to further understand the Company’s performance, NOI – All Centers and NOI – Go-Forward Portfolio Centers should be compared with the Company’s reported net income (loss), as presented in the Company’s consolidated financial statements.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reconciles net loss attributable to the Company to NOI – All Centers and NOI – Go-Forward Portfolio Centers for the six months ended June 30, 2026 and 2025 (dollars in thousands):</w:t>
      </w:r>
    </w:p>
    <w:tbl>
      <w:tblPr>
        <w:tblW w:w="10205" w:type="dxa"/>
        <w:jc w:val="left"/>
        <w:tblInd w:w="0" w:type="dxa"/>
        <w:tblLayout w:type="fixed"/>
        <w:tblCellMar>
          <w:top w:w="28" w:type="dxa"/>
          <w:left w:w="28" w:type="dxa"/>
          <w:bottom w:w="28" w:type="dxa"/>
          <w:right w:w="28" w:type="dxa"/>
        </w:tblCellMar>
      </w:tblPr>
      <w:tblGrid>
        <w:gridCol w:w="1806"/>
        <w:gridCol w:w="1413"/>
        <w:gridCol w:w="1418"/>
        <w:gridCol w:w="209"/>
        <w:gridCol w:w="745"/>
        <w:gridCol w:w="273"/>
        <w:gridCol w:w="116"/>
        <w:gridCol w:w="116"/>
        <w:gridCol w:w="116"/>
        <w:gridCol w:w="209"/>
        <w:gridCol w:w="745"/>
        <w:gridCol w:w="116"/>
        <w:gridCol w:w="109"/>
        <w:gridCol w:w="109"/>
        <w:gridCol w:w="109"/>
        <w:gridCol w:w="201"/>
        <w:gridCol w:w="714"/>
        <w:gridCol w:w="262"/>
        <w:gridCol w:w="111"/>
        <w:gridCol w:w="111"/>
        <w:gridCol w:w="111"/>
        <w:gridCol w:w="201"/>
        <w:gridCol w:w="714"/>
        <w:gridCol w:w="171"/>
      </w:tblGrid>
      <w:tr>
        <w:trPr/>
        <w:tc>
          <w:tcPr>
            <w:tcW w:w="180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the Company</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(27,071)</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(40,905)</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(63,421)</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(91,029)</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consolidated assets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133,543 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unconsolidated joint ventures (pro rata)</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 consolidated assets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86,217 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169,293 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 unconsolidated joint ventures (pro rata)</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the OP</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 expense and depreciation and amortization</w:t>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allocable to noncontrolling interests in consolidated joint ventures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or write down of assets, net - consolidated assets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(6,603)</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(13,443)</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or write down of assets, net - unconsolidated joint ventures (pro rata)</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Noncontrolling interests' share of loss on sale or write-down of consolidated joint ventures, net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on preferred units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REIT general and administrative expenses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Companies' revenues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(12,134)</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Companies' operating expenses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Leasing expenses, including joint ventures at pro rata</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expenses (income) (1)</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and above/below market rent adjustments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NOI - All Centers</w:t>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211,497 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207,320 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402,617 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407,890 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NOI of non-Go-Forward Portfolio Centers (2)</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(44,443)</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NOI - Go-Forward Portfolio Centers (2)</w:t>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185,303 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178,748 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358,174 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354,248 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termination income of Go-Forward Portfolio Centers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NOI - Go-Forward Portfolio Centers, excluding lease termination income</w:t>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184,821 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178,013 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357,522 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348,714 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NOI - Go-Forward Portfolio Centers percentage change, including lease termination income </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NOI - Go-Forward Portfolio Centers percentage change, excluding lease termination income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pPr>
      <w:r>
        <w:rPr>
          <w:color w:val="000000"/>
        </w:rPr>
        <w:t xml:space="preserve">     </w:t>
      </w:r>
      <w:r>
        <w:rPr>
          <w:rFonts w:ascii="Times New Roman;serif" w:hAnsi="Times New Roman;serif"/>
          <w:b w:val="false"/>
          <w:color w:val="000000"/>
          <w:sz w:val="16"/>
        </w:rPr>
        <w:t>_______________________________________________________________________________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(1)Includes (income) expense components excluded from NOI - All Centers, including legal claims settlement income, interest income, non-real estate investments, and other assets.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(2)For purposes of this calculation, the Acquisition Properties (Crabtree Mall and Annapolis Mall) are included in the non Go-Forward Portfolio Centers and excluded from the Go-Forward Portfolio Centers as they were acquired on June 23, 2025 and April 30, 2026, respectively; and were not held for the entirety of the comparable periods (See "Acquisitions" in Management's Overview and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primary market risk exposure is interest rate risk. The Company has managed and will continue to manage interest rate risk by (1) 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as of June 30, 2026 concerning the Company's long-term debt obligations, including principal cash flows by scheduled maturity, weighted average interest rates and estimated fair value (dollars in thousands):</w:t>
      </w:r>
    </w:p>
    <w:tbl>
      <w:tblPr>
        <w:tblW w:w="13822" w:type="dxa"/>
        <w:jc w:val="left"/>
        <w:tblInd w:w="0" w:type="dxa"/>
        <w:tblLayout w:type="fixed"/>
        <w:tblCellMar>
          <w:top w:w="28" w:type="dxa"/>
          <w:left w:w="28" w:type="dxa"/>
          <w:bottom w:w="28" w:type="dxa"/>
          <w:right w:w="28" w:type="dxa"/>
        </w:tblCellMar>
      </w:tblPr>
      <w:tblGrid>
        <w:gridCol w:w="767"/>
        <w:gridCol w:w="464"/>
        <w:gridCol w:w="465"/>
        <w:gridCol w:w="196"/>
        <w:gridCol w:w="736"/>
        <w:gridCol w:w="241"/>
        <w:gridCol w:w="109"/>
        <w:gridCol w:w="109"/>
        <w:gridCol w:w="109"/>
        <w:gridCol w:w="196"/>
        <w:gridCol w:w="871"/>
        <w:gridCol w:w="241"/>
        <w:gridCol w:w="109"/>
        <w:gridCol w:w="109"/>
        <w:gridCol w:w="109"/>
        <w:gridCol w:w="196"/>
        <w:gridCol w:w="736"/>
        <w:gridCol w:w="241"/>
        <w:gridCol w:w="109"/>
        <w:gridCol w:w="109"/>
        <w:gridCol w:w="109"/>
        <w:gridCol w:w="196"/>
        <w:gridCol w:w="871"/>
        <w:gridCol w:w="24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twelve months ending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CENTERS:</w:t>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1,208,804 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1,828,243 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644,024 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4,433,599 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4,316,998 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Floating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459,100 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debt—Consolidated Centers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731,490 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1,208,804 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1,987,343 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301,320 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644,024 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4,892,699 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4,774,797 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UNCONSOLIDATED JOINT VENTURE CENTERS:</w:t>
            </w:r>
          </w:p>
        </w:tc>
        <w:tc>
          <w:tcPr>
            <w:tcW w:w="117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(at Company's pro rata share):</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459,154 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1,520,884 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Floating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debt—Unconsolidated Joint Venture Centers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174,400 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357,318 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471,154 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426,362 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103,650 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1,532,884 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1,509,608 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Consolidated Centers' total fixed rate debt at June 30, 2026 and December 31, 2025 was $4.4 billion and $4.7 billion, respectively. The average interest rate on the fixed rate debt at June 30, 2026 and December 31, 2025 was 4.61% and 4.56%, respectively. The Consolidated Centers' total floating rate debt at June 30, 2026 and December 31, 2025 was $459.1 million. The average interest rate on the floating rate debt at June 30, 2026 and December 31, 2025 was 5.48% and 5.62%, respectively.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pro rata share of the Unconsolidated Joint Venture Centers' fixed rate debt at June 30, 2026 and December 31, 2025 was $1.5 billion. The average interest rate on the fixed rate debt at June 30, 2026 and December 31, 2025 was 5.44% and 5.29%, respectively. The Company's pro rata share of the Unconsolidated Joint Venture Centers' floating rate debt at June 30, 2026 and December 31, 2025 was $12.0 million. The average interest rate on the floating rate debt at June 30, 2026 and December 31, 2025 was 6.11% and 6.28%, respectively.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June 30, 2026, the Company has interest rate cap agreements in place (See Note 4—Investments in Unconsolidated Joint Ventures and Note 5—Derivative Instruments and Hedging Activities in the Company's Notes to the Consolidated Financial Statements). The respective loans require an interest rate cap agreement to be in place at all times, which limits how high the prevailing floating loan rate index (i.e., SOFR) for the loans can rise. As of the date of this Quarterly Report on Form 10-Q, SOFR for each of these loans did not exceed the strike interest rate within the required interest rate cap agreements.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the Company has assessed the market risk for its floating rate debt and believes that a 1% increase in interest rates would decrease future earnings and cash flows by approximately $4.7 million per year based on $471.1 million of floating rate debt outstanding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Securities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June 30, 2026,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there has been no change in the Company's internal control over financial reporting (as such term is defined in Rules 13a-15(f) and 15(d)-15(f) under the Exchange Act) that occurred during the Company's most recent fiscal quarter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relating to the Company set forth under the caption "Item 1A. Risk Factors" in the Company's Annual Report on Form 10-K for the year ended December 31, 2025.</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76"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On June 1, 2026, the Company, as general partner of the Operating Partnership, issued 9,500 shares of common stock of the Company, upon redemption of 9,500 common partnership units of the Operating Partnership. These shares of common stock were issued in private placements to limited partners of the Operating Partnership, each of which was an accredited investor, pursuant to Section 4(a)(2) of the Securities Act of 1933, as amended.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Not applicable.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 Issuer Purchases of Equity Securities</w:t>
      </w:r>
    </w:p>
    <w:tbl>
      <w:tblPr>
        <w:tblW w:w="10205" w:type="dxa"/>
        <w:jc w:val="left"/>
        <w:tblInd w:w="0" w:type="dxa"/>
        <w:tblLayout w:type="fixed"/>
        <w:tblCellMar>
          <w:top w:w="28" w:type="dxa"/>
          <w:left w:w="28" w:type="dxa"/>
          <w:bottom w:w="28" w:type="dxa"/>
          <w:right w:w="28" w:type="dxa"/>
        </w:tblCellMar>
      </w:tblPr>
      <w:tblGrid>
        <w:gridCol w:w="341"/>
        <w:gridCol w:w="299"/>
        <w:gridCol w:w="301"/>
        <w:gridCol w:w="109"/>
        <w:gridCol w:w="109"/>
        <w:gridCol w:w="109"/>
        <w:gridCol w:w="424"/>
        <w:gridCol w:w="424"/>
        <w:gridCol w:w="425"/>
        <w:gridCol w:w="109"/>
        <w:gridCol w:w="109"/>
        <w:gridCol w:w="109"/>
        <w:gridCol w:w="109"/>
        <w:gridCol w:w="109"/>
        <w:gridCol w:w="109"/>
        <w:gridCol w:w="300"/>
        <w:gridCol w:w="579"/>
        <w:gridCol w:w="157"/>
        <w:gridCol w:w="109"/>
        <w:gridCol w:w="109"/>
        <w:gridCol w:w="109"/>
        <w:gridCol w:w="689"/>
        <w:gridCol w:w="689"/>
        <w:gridCol w:w="691"/>
        <w:gridCol w:w="109"/>
        <w:gridCol w:w="109"/>
        <w:gridCol w:w="109"/>
        <w:gridCol w:w="109"/>
        <w:gridCol w:w="109"/>
        <w:gridCol w:w="109"/>
        <w:gridCol w:w="367"/>
        <w:gridCol w:w="1972"/>
        <w:gridCol w:w="204"/>
        <w:gridCol w:w="109"/>
        <w:gridCol w:w="109"/>
        <w:gridCol w:w="163"/>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 (1)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278,707,048 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278,707,048 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278,707,048 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630"/>
        <w:jc w:val="left"/>
        <w:rPr>
          <w:rFonts w:ascii="Times New Roman;serif" w:hAnsi="Times New Roman;serif"/>
          <w:b w:val="false"/>
          <w:color w:val="000000"/>
          <w:sz w:val="18"/>
        </w:rPr>
      </w:pPr>
      <w:r>
        <w:rPr>
          <w:rFonts w:ascii="Times New Roman;serif" w:hAnsi="Times New Roman;serif"/>
          <w:b w:val="false"/>
          <w:color w:val="000000"/>
          <w:sz w:val="18"/>
        </w:rPr>
        <w:t xml:space="preserve">(1)On February 12, 2017, the Company's Board of Directors authorized the repurchase of up to $500.0 million of the Company's outstanding common shares from time to time as market conditions warrant.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officers (as defined in Rule 16a-1(f) of the Exchange Act)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93"/>
        <w:gridCol w:w="2622"/>
        <w:gridCol w:w="375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Master Agreement, dated November 14, 2014, by and among Pacific Premier Retail LP, MACPT LLC, Macerich PPR GP LLC, Queens JV LP, Macerich Queens JV LP, Queens JV GP LLC, 1700480 Ontario Inc. and the Company (incorporated by reference as an exhibit to the Company’s Current Report on Form 8-K, event date November 14,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of Amendment and Restatement of the Company (incorporated by reference as an exhibit to the Company's Registration Statement on Form S-11, as amended (No. 33-68964)) (Filed in paper - hyperlink is not required pursuant to Rule 105 of Regulation S-T).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Supplementary of the Company (incorporated by reference as an exhibit to the Company's Current Report on Form 8-K, event date May 30, 1995) (Filed in paper - hyperlink is not required pursuant to Rule 105 of Regulation S-T).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Articles Supplementary of the Company (with respect to the first paragraph) (incorporated by reference as an exhibit to the Company's 1998 Form 10-K).</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erif" w:hAnsi="Times New Roman;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Supplementary of the Company (Series D Preferred Stock) (incorporated by reference as an exhibit to the Company's Current Report on Form 8-K, event date July 26, 2002).</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Times New Roman;serif" w:hAnsi="Times New Roman;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Articles Supplementary of the Company (incorporated by reference as an exhibit to the Company's Registration Statement on Form S-3, as amended (No. 333-88718)).</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Times New Roman;serif" w:hAnsi="Times New Roman;serif"/>
                  <w:b w:val="false"/>
                  <w:color w:val="0000FF"/>
                  <w:sz w:val="20"/>
                  <w:u w:val="single"/>
                </w:rPr>
                <w:t>3.1.5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Articles of Amendment of the Company (declassification of Board) (incorporated by reference as an exhibit to the Company's 2008 Form 10-K).</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Times New Roman;serif" w:hAnsi="Times New Roman;serif"/>
                  <w:b w:val="false"/>
                  <w:color w:val="0000FF"/>
                  <w:sz w:val="20"/>
                  <w:u w:val="single"/>
                </w:rPr>
                <w:t>3.1.6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Articles Supplementary of the Company (incorporated by reference as an exhibit to the Company's Current Report on Form 8-K, event date February 5, 2009).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Times New Roman;serif" w:hAnsi="Times New Roman;serif"/>
                  <w:b w:val="false"/>
                  <w:color w:val="0000FF"/>
                  <w:sz w:val="20"/>
                  <w:u w:val="single"/>
                </w:rPr>
                <w:t>3.1.7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Articles of Amendment of the Company (increased authorized shares) (incorporated by reference as an exhibit to the Company's Quarterly Report on Form 10-Q for the quarter ended June 30, 2009).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Times New Roman;serif" w:hAnsi="Times New Roman;serif"/>
                  <w:b w:val="false"/>
                  <w:color w:val="0000FF"/>
                  <w:sz w:val="20"/>
                  <w:u w:val="single"/>
                </w:rPr>
                <w:t>3.1.8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Articles of Amendment of the Company (to eliminate the supermajority vote requirement to amend the charter and to clarify a reference in Article NINTH) (incorporated by reference as an exhibit to the Company’s Current Report on Form 8-K, event date May 30,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Times New Roman;serif" w:hAnsi="Times New Roman;serif"/>
                  <w:b w:val="false"/>
                  <w:color w:val="0000FF"/>
                  <w:sz w:val="20"/>
                  <w:u w:val="single"/>
                </w:rPr>
                <w:t>3.1.9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Articles Supplementary of the Company (election to be subject to Section 3-803 of the Maryland General Corporation Law) (incorporated by reference as an exhibit to the Company’s Current Report on Form 8-K, event date March 17,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Times New Roman;serif" w:hAnsi="Times New Roman;serif"/>
                  <w:b w:val="false"/>
                  <w:color w:val="0000FF"/>
                  <w:sz w:val="20"/>
                  <w:u w:val="single"/>
                </w:rPr>
                <w:t>3.1.10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Articles Supplementary of the Company (Series E Preferred Stock) (incorporated by reference as an exhibit to the Company’s Current Report on Form 8-K, event date March 18,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Times New Roman;serif" w:hAnsi="Times New Roman;serif"/>
                  <w:b w:val="false"/>
                  <w:color w:val="0000FF"/>
                  <w:sz w:val="20"/>
                  <w:u w:val="single"/>
                </w:rPr>
                <w:t>3.1.11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Articles Supplementary of the Company (reclassification of Series E Preferred Stock to Preferred Stock) (incorporated by reference as an exhibit to the Company’s Current Report on Form 8-K, event date May 7,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4">
              <w:r>
                <w:rPr>
                  <w:rStyle w:val="InternetLink"/>
                  <w:rFonts w:ascii="Times New Roman;serif" w:hAnsi="Times New Roman;serif"/>
                  <w:b w:val="false"/>
                  <w:color w:val="0000FF"/>
                  <w:sz w:val="20"/>
                  <w:u w:val="single"/>
                </w:rPr>
                <w:t>3.1.12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Articles Supplementary of the Company (repeal of election to be subject to Section 3-803 of the Maryland General Corporation Law) (incorporated by reference as an exhibit to the Company’s Current Report on Form 8-K, event date May 28,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6">
              <w:r>
                <w:rPr>
                  <w:rStyle w:val="InternetLink"/>
                  <w:rFonts w:ascii="Times New Roman;serif" w:hAnsi="Times New Roman;serif"/>
                  <w:b w:val="false"/>
                  <w:color w:val="0000FF"/>
                  <w:sz w:val="20"/>
                  <w:u w:val="single"/>
                </w:rPr>
                <w:t>3.1.13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Articles Supplementary of the Company (opting out of provisions of Subtitle 8 of Title 3 of the Maryland General Corporate Law (MUTA provisions)) (incorporated by reference as an exhibit to the Company’s Current Report on Form 8-K, event date April 24,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8">
              <w:r>
                <w:rPr>
                  <w:rStyle w:val="InternetLink"/>
                  <w:rFonts w:ascii="Times New Roman;serif" w:hAnsi="Times New Roman;serif"/>
                  <w:b w:val="false"/>
                  <w:color w:val="0000FF"/>
                  <w:sz w:val="20"/>
                  <w:u w:val="single"/>
                </w:rPr>
                <w:t>3.1.14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Articles of Amendment of the Company (increased authorized shares) (incorporated by reference as an exhibit to the Company's Current Report on Form 8-K, event date May 28,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0">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Amended and Restated Bylaws of the Company (incorporated by reference as an exhibit to the Company's Current Report on Form 8-K, event date January 26, 2023).</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0"/>
        <w:gridCol w:w="264"/>
        <w:gridCol w:w="266"/>
        <w:gridCol w:w="109"/>
        <w:gridCol w:w="109"/>
        <w:gridCol w:w="109"/>
        <w:gridCol w:w="2652"/>
        <w:gridCol w:w="2634"/>
        <w:gridCol w:w="3762"/>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mac-20260630x10q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mac-20260630x10qexhibit311.htm">
              <w:r>
                <w:rPr>
                  <w:rStyle w:val="InternetLink"/>
                  <w:rFonts w:ascii="Times New Roman;serif" w:hAnsi="Times New Roman;serif"/>
                  <w:b w:val="false"/>
                  <w:color w:val="0000FF"/>
                  <w:sz w:val="20"/>
                  <w:u w:val="single"/>
                </w:rPr>
                <w:t>Section 302 Certification of Jackson Hsieh, Chief Executive Officer</w:t>
              </w:r>
            </w:hyperlink>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mac-20260630x10q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c-20260630x10qexhibit312.htm">
              <w:r>
                <w:rPr>
                  <w:rStyle w:val="InternetLink"/>
                  <w:rFonts w:ascii="Times New Roman;serif" w:hAnsi="Times New Roman;serif"/>
                  <w:b w:val="false"/>
                  <w:color w:val="0000FF"/>
                  <w:sz w:val="20"/>
                  <w:u w:val="single"/>
                </w:rPr>
                <w:t>Section 302 Certification of Daniel E. Swanstrom II, Chief Financial Officer</w:t>
              </w:r>
            </w:hyperlink>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mac-20260630x10qexhibit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c-20260630x10qexhibit321.htm">
              <w:r>
                <w:rPr>
                  <w:rStyle w:val="InternetLink"/>
                  <w:rFonts w:ascii="Times New Roman;serif" w:hAnsi="Times New Roman;serif"/>
                  <w:b w:val="false"/>
                  <w:color w:val="0000FF"/>
                  <w:sz w:val="20"/>
                  <w:u w:val="single"/>
                </w:rPr>
                <w:t>Section 906 Certifications of Jackson Hsieh and Daniel E. Swanstrom II</w:t>
              </w:r>
            </w:hyperlink>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(formatted as Inline XBRL with applicable taxonomy extension information contained in Exhibits 101.*). </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45c01093f9f49db9ede55ca64db1cd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086" w:type="dxa"/>
        <w:jc w:val="left"/>
        <w:tblInd w:w="0" w:type="dxa"/>
        <w:tblLayout w:type="fixed"/>
        <w:tblCellMar>
          <w:top w:w="28" w:type="dxa"/>
          <w:left w:w="28" w:type="dxa"/>
          <w:bottom w:w="28" w:type="dxa"/>
          <w:right w:w="28" w:type="dxa"/>
        </w:tblCellMar>
      </w:tblPr>
      <w:tblGrid>
        <w:gridCol w:w="200"/>
        <w:gridCol w:w="177"/>
        <w:gridCol w:w="178"/>
        <w:gridCol w:w="224"/>
        <w:gridCol w:w="224"/>
        <w:gridCol w:w="224"/>
        <w:gridCol w:w="224"/>
        <w:gridCol w:w="224"/>
        <w:gridCol w:w="226"/>
        <w:gridCol w:w="405"/>
        <w:gridCol w:w="405"/>
        <w:gridCol w:w="405"/>
        <w:gridCol w:w="1732"/>
        <w:gridCol w:w="1732"/>
        <w:gridCol w:w="250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MACERICH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JACKSON HSIEH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Jackson Hsieh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E. SWANSTROM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E. Swanstrom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Executive Vice President, Treasurer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J. ZECCHINI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J. Zecchini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302 CERTIFICATION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 Jackson Hsieh, certify that: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report on Form 10-Q for the quarter ended June 30, 2026 of The Macerich Company;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28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599"/>
        <w:gridCol w:w="599"/>
        <w:gridCol w:w="85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JACKSON HSIEH</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ind w:left="0" w:right="0" w:hanging="3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302 CERTIFICATION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 Daniel E. Swanstrom II, certify that: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report on Form 10-Q for the quarter ended June 30, 2026 of The Macerich Company;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731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487"/>
        <w:gridCol w:w="1487"/>
        <w:gridCol w:w="211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E. SWANSTROM II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Executive Vice President and Chief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THE MACERICH COMPANY</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WRITTEN STATEMENT</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Jackson Hsieh and Daniel E. Swanstrom II, the Chief Executive Officer and Chief Financial Officer, respectively, of The Macerich Company (the "Company"), pursuant to 18 U.S.C. §1350, each hereby certifies that, to the best of his knowledge: </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(i)the Quarterly Report on Form 10-Q for the quarter ended June 30, 2026 of the Company (the "Report") fully complies with the requirements of Section 13(a) and 15(d) of the Securities Exchange Act of 1934, as amended; and </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Company.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57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82"/>
        <w:gridCol w:w="1482"/>
        <w:gridCol w:w="21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JACKSON HSIEH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E. SWANSTROM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Executive Vice President and Chief Financial Officer</w:t>
            </w:r>
          </w:p>
        </w:tc>
      </w:tr>
    </w:tbl>
    <w:p>
      <w:pPr>
        <w:pStyle w:val="TextBody"/>
        <w:bidi w:val="0"/>
        <w:spacing w:before="100" w:after="10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2242/000110465914081468/a14-24669_1ex2d1.htm" TargetMode="External"/><Relationship Id="rId3" Type="http://schemas.openxmlformats.org/officeDocument/2006/relationships/hyperlink" Target="https://www.sec.gov/Archives/edgar/data/912242/000110465914081468/a14-24669_1ex2d1.htm" TargetMode="External"/><Relationship Id="rId4" Type="http://schemas.openxmlformats.org/officeDocument/2006/relationships/hyperlink" Target="https://www.sec.gov/Archives/edgar/data/912242/0001047469-99-012492.txt" TargetMode="External"/><Relationship Id="rId5" Type="http://schemas.openxmlformats.org/officeDocument/2006/relationships/hyperlink" Target="https://www.sec.gov/Archives/edgar/data/912242/0001047469-99-012492.txt" TargetMode="External"/><Relationship Id="rId6" Type="http://schemas.openxmlformats.org/officeDocument/2006/relationships/hyperlink" Target="https://www.sec.gov/Archives/edgar/data/912242/000091205702030706/a2086079zex-3_1.htm" TargetMode="External"/><Relationship Id="rId7" Type="http://schemas.openxmlformats.org/officeDocument/2006/relationships/hyperlink" Target="https://www.sec.gov/Archives/edgar/data/912242/000091205702030706/a2086079zex-3_1.htm" TargetMode="External"/><Relationship Id="rId8" Type="http://schemas.openxmlformats.org/officeDocument/2006/relationships/hyperlink" Target="https://www.sec.gov/Archives/edgar/data/912242/000091205702021417/a2080342zex-4_6.htm" TargetMode="External"/><Relationship Id="rId9" Type="http://schemas.openxmlformats.org/officeDocument/2006/relationships/hyperlink" Target="https://www.sec.gov/Archives/edgar/data/912242/000091205702021417/a2080342zex-4_6.htm" TargetMode="External"/><Relationship Id="rId10" Type="http://schemas.openxmlformats.org/officeDocument/2006/relationships/hyperlink" Target="https://www.sec.gov/Archives/edgar/data/912242/000104746909001981/a2189901zex-3_15.htm" TargetMode="External"/><Relationship Id="rId11" Type="http://schemas.openxmlformats.org/officeDocument/2006/relationships/hyperlink" Target="https://www.sec.gov/Archives/edgar/data/912242/000104746909001981/a2189901zex-3_15.htm" TargetMode="External"/><Relationship Id="rId12" Type="http://schemas.openxmlformats.org/officeDocument/2006/relationships/hyperlink" Target="https://www.sec.gov/Archives/edgar/data/912242/000110465909008348/a09-5253_1ex3d1.htm" TargetMode="External"/><Relationship Id="rId13" Type="http://schemas.openxmlformats.org/officeDocument/2006/relationships/hyperlink" Target="https://www.sec.gov/Archives/edgar/data/912242/000110465909008348/a09-5253_1ex3d1.htm" TargetMode="External"/><Relationship Id="rId14" Type="http://schemas.openxmlformats.org/officeDocument/2006/relationships/hyperlink" Target="https://www.sec.gov/Archives/edgar/data/912242/000104746909007391/a2193924zex-3_17.htm" TargetMode="External"/><Relationship Id="rId15" Type="http://schemas.openxmlformats.org/officeDocument/2006/relationships/hyperlink" Target="https://www.sec.gov/Archives/edgar/data/912242/000104746909007391/a2193924zex-3_17.htm" TargetMode="External"/><Relationship Id="rId16" Type="http://schemas.openxmlformats.org/officeDocument/2006/relationships/hyperlink" Target="https://www.sec.gov/Archives/edgar/data/912242/000110465914043330/a14-14485_1ex3d1.htm" TargetMode="External"/><Relationship Id="rId17" Type="http://schemas.openxmlformats.org/officeDocument/2006/relationships/hyperlink" Target="https://www.sec.gov/Archives/edgar/data/912242/000110465914043330/a14-14485_1ex3d1.htm" TargetMode="External"/><Relationship Id="rId18" Type="http://schemas.openxmlformats.org/officeDocument/2006/relationships/hyperlink" Target="https://www.sec.gov/Archives/edgar/data/912242/000110465915020412/a15-6870_1ex3d1.htm" TargetMode="External"/><Relationship Id="rId19" Type="http://schemas.openxmlformats.org/officeDocument/2006/relationships/hyperlink" Target="https://www.sec.gov/Archives/edgar/data/912242/000110465915020412/a15-6870_1ex3d1.htm" TargetMode="External"/><Relationship Id="rId20" Type="http://schemas.openxmlformats.org/officeDocument/2006/relationships/hyperlink" Target="https://www.sec.gov/Archives/edgar/data/912242/000110465915020810/a15-6873_1ex3d1.htm" TargetMode="External"/><Relationship Id="rId21" Type="http://schemas.openxmlformats.org/officeDocument/2006/relationships/hyperlink" Target="https://www.sec.gov/Archives/edgar/data/912242/000110465915020810/a15-6873_1ex3d1.htm" TargetMode="External"/><Relationship Id="rId22" Type="http://schemas.openxmlformats.org/officeDocument/2006/relationships/hyperlink" Target="https://www.sec.gov/Archives/edgar/data/912242/000110465915037228/a15-11185_1ex3d1.htm" TargetMode="External"/><Relationship Id="rId23" Type="http://schemas.openxmlformats.org/officeDocument/2006/relationships/hyperlink" Target="https://www.sec.gov/Archives/edgar/data/912242/000110465915037228/a15-11185_1ex3d1.htm" TargetMode="External"/><Relationship Id="rId24" Type="http://schemas.openxmlformats.org/officeDocument/2006/relationships/hyperlink" Target="https://www.sec.gov/Archives/edgar/data/912242/000110465915042631/a15-13305_1ex3d1.htm" TargetMode="External"/><Relationship Id="rId25" Type="http://schemas.openxmlformats.org/officeDocument/2006/relationships/hyperlink" Target="https://www.sec.gov/Archives/edgar/data/912242/000110465915042631/a15-13305_1ex3d1.htm" TargetMode="External"/><Relationship Id="rId26" Type="http://schemas.openxmlformats.org/officeDocument/2006/relationships/hyperlink" Target="https://www.sec.gov/Archives/edgar/data/912242/000119312519129272/d731295dex31.htm" TargetMode="External"/><Relationship Id="rId27" Type="http://schemas.openxmlformats.org/officeDocument/2006/relationships/hyperlink" Target="https://www.sec.gov/Archives/edgar/data/912242/000119312519129272/d731295dex31.htm" TargetMode="External"/><Relationship Id="rId28" Type="http://schemas.openxmlformats.org/officeDocument/2006/relationships/hyperlink" Target="https://www.sec.gov/Archives/edgar/data/912242/000119312521182973/d417870dex31.htm" TargetMode="External"/><Relationship Id="rId29" Type="http://schemas.openxmlformats.org/officeDocument/2006/relationships/hyperlink" Target="https://www.sec.gov/Archives/edgar/data/912242/000119312521182973/d417870dex31.htm" TargetMode="External"/><Relationship Id="rId30" Type="http://schemas.openxmlformats.org/officeDocument/2006/relationships/hyperlink" Target="https://www.sec.gov/Archives/edgar/data/912242/000119312519129272/d731295dex32.htm" TargetMode="External"/><Relationship Id="rId31" Type="http://schemas.openxmlformats.org/officeDocument/2006/relationships/hyperlink" Target="https://www.sec.gov/Archives/edgar/data/912242/000119312519129272/d731295dex32.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27583</Words>
  <Characters>151849</Characters>
  <CharactersWithSpaces>177692</CharactersWithSpaces>
  <Paragraphs>3254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