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204470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Date of Report (Date of earliest event reported):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194945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9"/>
          <w:szCs w:val="39"/>
          <w:b w:val="1"/>
          <w:bCs w:val="1"/>
          <w:color w:val="auto"/>
        </w:rPr>
        <w:t>THE MACERICH COMPANY</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220" w:type="dxa"/>
        <w:tblCellMar>
          <w:top w:w="0" w:type="dxa"/>
          <w:left w:w="0" w:type="dxa"/>
          <w:bottom w:w="0" w:type="dxa"/>
          <w:right w:w="0" w:type="dxa"/>
        </w:tblCellMar>
      </w:tblPr>
      <w:tr>
        <w:trPr>
          <w:trHeight w:val="223"/>
        </w:trPr>
        <w:tc>
          <w:tcPr>
            <w:tcW w:w="1800" w:type="dxa"/>
            <w:vAlign w:val="bottom"/>
          </w:tcPr>
          <w:p>
            <w:pPr>
              <w:jc w:val="center"/>
              <w:ind w:right="254"/>
              <w:spacing w:after="0"/>
              <w:rPr>
                <w:sz w:val="20"/>
                <w:szCs w:val="20"/>
                <w:color w:val="auto"/>
              </w:rPr>
            </w:pPr>
            <w:r>
              <w:rPr>
                <w:rFonts w:ascii="Arial" w:cs="Arial" w:eastAsia="Arial" w:hAnsi="Arial"/>
                <w:sz w:val="16"/>
                <w:szCs w:val="16"/>
                <w:b w:val="1"/>
                <w:bCs w:val="1"/>
                <w:color w:val="auto"/>
              </w:rPr>
              <w:t>Maryland</w:t>
            </w:r>
          </w:p>
        </w:tc>
        <w:tc>
          <w:tcPr>
            <w:tcW w:w="5320" w:type="dxa"/>
            <w:vAlign w:val="bottom"/>
          </w:tcPr>
          <w:p>
            <w:pPr>
              <w:jc w:val="center"/>
              <w:ind w:right="73"/>
              <w:spacing w:after="0"/>
              <w:rPr>
                <w:sz w:val="20"/>
                <w:szCs w:val="20"/>
                <w:color w:val="auto"/>
              </w:rPr>
            </w:pPr>
            <w:r>
              <w:rPr>
                <w:rFonts w:ascii="Arial" w:cs="Arial" w:eastAsia="Arial" w:hAnsi="Arial"/>
                <w:sz w:val="14"/>
                <w:szCs w:val="14"/>
                <w:b w:val="1"/>
                <w:bCs w:val="1"/>
                <w:color w:val="auto"/>
              </w:rPr>
              <w:t>1-12504</w:t>
            </w:r>
          </w:p>
        </w:tc>
        <w:tc>
          <w:tcPr>
            <w:tcW w:w="1440" w:type="dxa"/>
            <w:vAlign w:val="bottom"/>
          </w:tcPr>
          <w:p>
            <w:pPr>
              <w:jc w:val="center"/>
              <w:ind w:left="377"/>
              <w:spacing w:after="0"/>
              <w:rPr>
                <w:sz w:val="20"/>
                <w:szCs w:val="20"/>
                <w:color w:val="auto"/>
              </w:rPr>
            </w:pPr>
            <w:r>
              <w:rPr>
                <w:rFonts w:ascii="Arial" w:cs="Arial" w:eastAsia="Arial" w:hAnsi="Arial"/>
                <w:sz w:val="14"/>
                <w:szCs w:val="14"/>
                <w:b w:val="1"/>
                <w:bCs w:val="1"/>
                <w:color w:val="auto"/>
              </w:rPr>
              <w:t>95-4448705</w:t>
            </w:r>
          </w:p>
        </w:tc>
      </w:tr>
      <w:tr>
        <w:trPr>
          <w:trHeight w:val="146"/>
        </w:trPr>
        <w:tc>
          <w:tcPr>
            <w:tcW w:w="1800" w:type="dxa"/>
            <w:vAlign w:val="bottom"/>
          </w:tcPr>
          <w:p>
            <w:pPr>
              <w:jc w:val="center"/>
              <w:ind w:right="274"/>
              <w:spacing w:after="0"/>
              <w:rPr>
                <w:sz w:val="20"/>
                <w:szCs w:val="20"/>
                <w:color w:val="auto"/>
              </w:rPr>
            </w:pPr>
            <w:r>
              <w:rPr>
                <w:rFonts w:ascii="Arial" w:cs="Arial" w:eastAsia="Arial" w:hAnsi="Arial"/>
                <w:sz w:val="12"/>
                <w:szCs w:val="12"/>
                <w:b w:val="1"/>
                <w:bCs w:val="1"/>
                <w:color w:val="auto"/>
                <w:w w:val="97"/>
              </w:rPr>
              <w:t>(State or other jurisdiction</w:t>
            </w:r>
          </w:p>
        </w:tc>
        <w:tc>
          <w:tcPr>
            <w:tcW w:w="5320" w:type="dxa"/>
            <w:vAlign w:val="bottom"/>
          </w:tcPr>
          <w:p>
            <w:pPr>
              <w:ind w:left="2200"/>
              <w:spacing w:after="0"/>
              <w:rPr>
                <w:sz w:val="20"/>
                <w:szCs w:val="20"/>
                <w:color w:val="auto"/>
              </w:rPr>
            </w:pPr>
            <w:r>
              <w:rPr>
                <w:rFonts w:ascii="Arial" w:cs="Arial" w:eastAsia="Arial" w:hAnsi="Arial"/>
                <w:sz w:val="12"/>
                <w:szCs w:val="12"/>
                <w:b w:val="1"/>
                <w:bCs w:val="1"/>
                <w:color w:val="auto"/>
              </w:rPr>
              <w:t>(Commission</w:t>
            </w:r>
          </w:p>
        </w:tc>
        <w:tc>
          <w:tcPr>
            <w:tcW w:w="1440" w:type="dxa"/>
            <w:vAlign w:val="bottom"/>
          </w:tcPr>
          <w:p>
            <w:pPr>
              <w:jc w:val="center"/>
              <w:ind w:left="337"/>
              <w:spacing w:after="0"/>
              <w:rPr>
                <w:sz w:val="20"/>
                <w:szCs w:val="20"/>
                <w:color w:val="auto"/>
              </w:rPr>
            </w:pPr>
            <w:r>
              <w:rPr>
                <w:rFonts w:ascii="Arial" w:cs="Arial" w:eastAsia="Arial" w:hAnsi="Arial"/>
                <w:sz w:val="12"/>
                <w:szCs w:val="12"/>
                <w:b w:val="1"/>
                <w:bCs w:val="1"/>
                <w:color w:val="auto"/>
                <w:w w:val="97"/>
              </w:rPr>
              <w:t>(IRS Employer</w:t>
            </w:r>
          </w:p>
        </w:tc>
      </w:tr>
      <w:tr>
        <w:trPr>
          <w:trHeight w:val="160"/>
        </w:trPr>
        <w:tc>
          <w:tcPr>
            <w:tcW w:w="1800" w:type="dxa"/>
            <w:vAlign w:val="bottom"/>
          </w:tcPr>
          <w:p>
            <w:pPr>
              <w:jc w:val="center"/>
              <w:ind w:right="254"/>
              <w:spacing w:after="0"/>
              <w:rPr>
                <w:sz w:val="20"/>
                <w:szCs w:val="20"/>
                <w:color w:val="auto"/>
              </w:rPr>
            </w:pPr>
            <w:r>
              <w:rPr>
                <w:rFonts w:ascii="Arial" w:cs="Arial" w:eastAsia="Arial" w:hAnsi="Arial"/>
                <w:sz w:val="12"/>
                <w:szCs w:val="12"/>
                <w:b w:val="1"/>
                <w:bCs w:val="1"/>
                <w:color w:val="auto"/>
                <w:w w:val="95"/>
              </w:rPr>
              <w:t>of incorporation)</w:t>
            </w:r>
          </w:p>
        </w:tc>
        <w:tc>
          <w:tcPr>
            <w:tcW w:w="5320" w:type="dxa"/>
            <w:vAlign w:val="bottom"/>
          </w:tcPr>
          <w:p>
            <w:pPr>
              <w:jc w:val="center"/>
              <w:ind w:right="73"/>
              <w:spacing w:after="0"/>
              <w:rPr>
                <w:sz w:val="20"/>
                <w:szCs w:val="20"/>
                <w:color w:val="auto"/>
              </w:rPr>
            </w:pPr>
            <w:r>
              <w:rPr>
                <w:rFonts w:ascii="Arial" w:cs="Arial" w:eastAsia="Arial" w:hAnsi="Arial"/>
                <w:sz w:val="12"/>
                <w:szCs w:val="12"/>
                <w:b w:val="1"/>
                <w:bCs w:val="1"/>
                <w:color w:val="auto"/>
                <w:w w:val="95"/>
              </w:rPr>
              <w:t>File Number)</w:t>
            </w:r>
          </w:p>
        </w:tc>
        <w:tc>
          <w:tcPr>
            <w:tcW w:w="1440" w:type="dxa"/>
            <w:vAlign w:val="bottom"/>
          </w:tcPr>
          <w:p>
            <w:pPr>
              <w:jc w:val="center"/>
              <w:ind w:left="377"/>
              <w:spacing w:after="0"/>
              <w:rPr>
                <w:sz w:val="20"/>
                <w:szCs w:val="20"/>
                <w:color w:val="auto"/>
              </w:rPr>
            </w:pPr>
            <w:r>
              <w:rPr>
                <w:rFonts w:ascii="Arial" w:cs="Arial" w:eastAsia="Arial" w:hAnsi="Arial"/>
                <w:sz w:val="12"/>
                <w:szCs w:val="12"/>
                <w:b w:val="1"/>
                <w:bCs w:val="1"/>
                <w:color w:val="auto"/>
                <w:w w:val="98"/>
              </w:rPr>
              <w:t>Identification No.)</w:t>
            </w:r>
          </w:p>
        </w:tc>
      </w:tr>
      <w:tr>
        <w:trPr>
          <w:trHeight w:val="507"/>
        </w:trPr>
        <w:tc>
          <w:tcPr>
            <w:tcW w:w="1800" w:type="dxa"/>
            <w:vAlign w:val="bottom"/>
          </w:tcPr>
          <w:p>
            <w:pPr>
              <w:spacing w:after="0"/>
              <w:rPr>
                <w:sz w:val="24"/>
                <w:szCs w:val="24"/>
                <w:color w:val="auto"/>
              </w:rPr>
            </w:pPr>
          </w:p>
        </w:tc>
        <w:tc>
          <w:tcPr>
            <w:tcW w:w="5320" w:type="dxa"/>
            <w:vAlign w:val="bottom"/>
          </w:tcPr>
          <w:p>
            <w:pPr>
              <w:jc w:val="center"/>
              <w:ind w:right="53"/>
              <w:spacing w:after="0"/>
              <w:rPr>
                <w:sz w:val="20"/>
                <w:szCs w:val="20"/>
                <w:color w:val="auto"/>
              </w:rPr>
            </w:pPr>
            <w:r>
              <w:rPr>
                <w:rFonts w:ascii="Arial" w:cs="Arial" w:eastAsia="Arial" w:hAnsi="Arial"/>
                <w:sz w:val="14"/>
                <w:szCs w:val="14"/>
                <w:b w:val="1"/>
                <w:bCs w:val="1"/>
                <w:color w:val="auto"/>
              </w:rPr>
              <w:t>401 Wilshire Boulevard, Suite 700, Santa Monica, California 90401</w:t>
            </w:r>
          </w:p>
        </w:tc>
        <w:tc>
          <w:tcPr>
            <w:tcW w:w="1440" w:type="dxa"/>
            <w:vAlign w:val="bottom"/>
          </w:tcPr>
          <w:p>
            <w:pPr>
              <w:spacing w:after="0"/>
              <w:rPr>
                <w:sz w:val="24"/>
                <w:szCs w:val="24"/>
                <w:color w:val="auto"/>
              </w:rPr>
            </w:pPr>
          </w:p>
        </w:tc>
      </w:tr>
      <w:tr>
        <w:trPr>
          <w:trHeight w:val="172"/>
        </w:trPr>
        <w:tc>
          <w:tcPr>
            <w:tcW w:w="1800" w:type="dxa"/>
            <w:vAlign w:val="bottom"/>
          </w:tcPr>
          <w:p>
            <w:pPr>
              <w:spacing w:after="0"/>
              <w:rPr>
                <w:sz w:val="14"/>
                <w:szCs w:val="14"/>
                <w:color w:val="auto"/>
              </w:rPr>
            </w:pPr>
          </w:p>
        </w:tc>
        <w:tc>
          <w:tcPr>
            <w:tcW w:w="532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(Address of principal executive offices) (Zip code)</w:t>
            </w:r>
          </w:p>
        </w:tc>
        <w:tc>
          <w:tcPr>
            <w:tcW w:w="1440" w:type="dxa"/>
            <w:vAlign w:val="bottom"/>
          </w:tcPr>
          <w:p>
            <w:pPr>
              <w:spacing w:after="0"/>
              <w:rPr>
                <w:sz w:val="14"/>
                <w:szCs w:val="14"/>
                <w:color w:val="auto"/>
              </w:rPr>
            </w:pPr>
          </w:p>
        </w:tc>
      </w:tr>
      <w:tr>
        <w:trPr>
          <w:trHeight w:val="438"/>
        </w:trPr>
        <w:tc>
          <w:tcPr>
            <w:tcW w:w="1800" w:type="dxa"/>
            <w:vAlign w:val="bottom"/>
          </w:tcPr>
          <w:p>
            <w:pPr>
              <w:spacing w:after="0"/>
              <w:rPr>
                <w:sz w:val="24"/>
                <w:szCs w:val="24"/>
                <w:color w:val="auto"/>
              </w:rPr>
            </w:pPr>
          </w:p>
        </w:tc>
        <w:tc>
          <w:tcPr>
            <w:tcW w:w="5320" w:type="dxa"/>
            <w:vAlign w:val="bottom"/>
          </w:tcPr>
          <w:p>
            <w:pPr>
              <w:jc w:val="center"/>
              <w:ind w:right="53"/>
              <w:spacing w:after="0"/>
              <w:rPr>
                <w:sz w:val="20"/>
                <w:szCs w:val="20"/>
                <w:color w:val="auto"/>
              </w:rPr>
            </w:pPr>
            <w:r>
              <w:rPr>
                <w:rFonts w:ascii="Arial" w:cs="Arial" w:eastAsia="Arial" w:hAnsi="Arial"/>
                <w:sz w:val="14"/>
                <w:szCs w:val="14"/>
                <w:b w:val="1"/>
                <w:bCs w:val="1"/>
                <w:color w:val="auto"/>
              </w:rPr>
              <w:t>Registrant’s telephone number, including area code (310) 394-6000</w:t>
            </w:r>
          </w:p>
        </w:tc>
        <w:tc>
          <w:tcPr>
            <w:tcW w:w="1440" w:type="dxa"/>
            <w:vAlign w:val="bottom"/>
          </w:tcPr>
          <w:p>
            <w:pPr>
              <w:spacing w:after="0"/>
              <w:rPr>
                <w:sz w:val="24"/>
                <w:szCs w:val="24"/>
                <w:color w:val="auto"/>
              </w:rPr>
            </w:pPr>
          </w:p>
        </w:tc>
      </w:tr>
      <w:tr>
        <w:trPr>
          <w:trHeight w:val="357"/>
        </w:trPr>
        <w:tc>
          <w:tcPr>
            <w:tcW w:w="1800" w:type="dxa"/>
            <w:vAlign w:val="bottom"/>
          </w:tcPr>
          <w:p>
            <w:pPr>
              <w:spacing w:after="0"/>
              <w:rPr>
                <w:sz w:val="24"/>
                <w:szCs w:val="24"/>
                <w:color w:val="auto"/>
              </w:rPr>
            </w:pPr>
          </w:p>
        </w:tc>
        <w:tc>
          <w:tcPr>
            <w:tcW w:w="5320" w:type="dxa"/>
            <w:vAlign w:val="bottom"/>
          </w:tcPr>
          <w:p>
            <w:pPr>
              <w:jc w:val="center"/>
              <w:ind w:right="53"/>
              <w:spacing w:after="0"/>
              <w:rPr>
                <w:sz w:val="20"/>
                <w:szCs w:val="20"/>
                <w:color w:val="auto"/>
              </w:rPr>
            </w:pPr>
            <w:r>
              <w:rPr>
                <w:rFonts w:ascii="Arial" w:cs="Arial" w:eastAsia="Arial" w:hAnsi="Arial"/>
                <w:sz w:val="16"/>
                <w:szCs w:val="16"/>
                <w:b w:val="1"/>
                <w:bCs w:val="1"/>
                <w:color w:val="auto"/>
              </w:rPr>
              <w:t>N/A</w:t>
            </w:r>
          </w:p>
        </w:tc>
        <w:tc>
          <w:tcPr>
            <w:tcW w:w="1440" w:type="dxa"/>
            <w:vAlign w:val="bottom"/>
          </w:tcPr>
          <w:p>
            <w:pPr>
              <w:spacing w:after="0"/>
              <w:rPr>
                <w:sz w:val="24"/>
                <w:szCs w:val="24"/>
                <w:color w:val="auto"/>
              </w:rPr>
            </w:pPr>
          </w:p>
        </w:tc>
      </w:tr>
      <w:tr>
        <w:trPr>
          <w:trHeight w:val="160"/>
        </w:trPr>
        <w:tc>
          <w:tcPr>
            <w:tcW w:w="1800" w:type="dxa"/>
            <w:vAlign w:val="bottom"/>
          </w:tcPr>
          <w:p>
            <w:pPr>
              <w:spacing w:after="0"/>
              <w:rPr>
                <w:sz w:val="13"/>
                <w:szCs w:val="13"/>
                <w:color w:val="auto"/>
              </w:rPr>
            </w:pPr>
          </w:p>
        </w:tc>
        <w:tc>
          <w:tcPr>
            <w:tcW w:w="5320" w:type="dxa"/>
            <w:vAlign w:val="bottom"/>
          </w:tcPr>
          <w:p>
            <w:pPr>
              <w:jc w:val="center"/>
              <w:ind w:right="53"/>
              <w:spacing w:after="0"/>
              <w:rPr>
                <w:sz w:val="20"/>
                <w:szCs w:val="20"/>
                <w:color w:val="auto"/>
              </w:rPr>
            </w:pPr>
            <w:r>
              <w:rPr>
                <w:rFonts w:ascii="Arial" w:cs="Arial" w:eastAsia="Arial" w:hAnsi="Arial"/>
                <w:sz w:val="12"/>
                <w:szCs w:val="12"/>
                <w:b w:val="1"/>
                <w:bCs w:val="1"/>
                <w:color w:val="auto"/>
                <w:w w:val="97"/>
              </w:rPr>
              <w:t>(Former name or former address, if changed since last report)</w:t>
            </w:r>
          </w:p>
        </w:tc>
        <w:tc>
          <w:tcPr>
            <w:tcW w:w="14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161925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right="2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8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Trading symbol(s)</w:t>
            </w:r>
          </w:p>
        </w:tc>
        <w:tc>
          <w:tcPr>
            <w:tcW w:w="8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99"/>
        </w:trPr>
        <w:tc>
          <w:tcPr>
            <w:tcW w:w="3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Common stock of The Macerich Company, $0.01</w:t>
            </w: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8"/>
              </w:rPr>
              <w:t>MAC</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The New York Stock Exchange</w:t>
            </w:r>
          </w:p>
        </w:tc>
      </w:tr>
      <w:tr>
        <w:trPr>
          <w:trHeight w:val="223"/>
        </w:trPr>
        <w:tc>
          <w:tcPr>
            <w:tcW w:w="3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par value per share</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0" w:type="dxa"/>
            <w:vAlign w:val="bottom"/>
          </w:tcPr>
          <w:p>
            <w:pPr>
              <w:spacing w:after="0"/>
              <w:rPr>
                <w:sz w:val="19"/>
                <w:szCs w:val="19"/>
                <w:color w:val="auto"/>
              </w:rPr>
            </w:pPr>
          </w:p>
        </w:tc>
      </w:tr>
    </w:tbl>
    <w:p>
      <w:pPr>
        <w:spacing w:after="0" w:line="344" w:lineRule="exact"/>
        <w:rPr>
          <w:sz w:val="24"/>
          <w:szCs w:val="24"/>
          <w:color w:val="auto"/>
        </w:rPr>
      </w:pPr>
    </w:p>
    <w:p>
      <w:pPr>
        <w:ind w:right="18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205" w:lineRule="exact"/>
        <w:rPr>
          <w:sz w:val="24"/>
          <w:szCs w:val="24"/>
          <w:color w:val="auto"/>
        </w:rPr>
      </w:pPr>
    </w:p>
    <w:p>
      <w:pPr>
        <w:ind w:left="5360"/>
        <w:spacing w:after="0" w:line="184" w:lineRule="exact"/>
        <w:tabs>
          <w:tab w:leader="none" w:pos="74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66" w:lineRule="exact"/>
        <w:rPr>
          <w:sz w:val="24"/>
          <w:szCs w:val="24"/>
          <w:color w:val="auto"/>
        </w:rPr>
      </w:pPr>
    </w:p>
    <w:p>
      <w:pPr>
        <w:ind w:right="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1137285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189865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155575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40"/>
          </w:cols>
          <w:pgMar w:left="320" w:top="726" w:right="4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t>ITEM 2.02</w:t>
        <w:tab/>
        <w:t>RESULTS OF OPERATIONS AND FINANCIAL CONDITION.</w:t>
      </w:r>
    </w:p>
    <w:p>
      <w:pPr>
        <w:spacing w:after="0" w:line="262"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On November 3, 2022, The Macerich Company (the “Company) released its financial results for the three and nine months ended September 30, 2022 by posting to its website a financial supplement containing financial and operating information of the Company (“Earnings Results &amp; Supplemental Information”) and such Earnings Results &amp; Supplemental Information is furnished as Exhibit 99.1 hereto.</w:t>
      </w:r>
    </w:p>
    <w:p>
      <w:pPr>
        <w:spacing w:after="0" w:line="191"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The Earnings Results &amp; Supplemental Information included as an exhibit with this report is being furnished pursuant to Item 2.02 of Form 8-K and shall not be deemed to be “filed” with the SEC or incorporated by reference into any other filing with the SEC.</w:t>
      </w:r>
    </w:p>
    <w:p>
      <w:pPr>
        <w:spacing w:after="0" w:line="168"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7.01</w:t>
        <w:tab/>
        <w:t>REGULATION FD DISCLOSURE.</w:t>
      </w:r>
    </w:p>
    <w:p>
      <w:pPr>
        <w:spacing w:after="0" w:line="248"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The Earnings Results &amp; Supplemental Information included as an exhibit with this report is being furnished pursuant to Item 7.01 of Form 8-K and shall not be deemed to be “filed” with the SEC or incorporated by reference into any other filing with the SEC.</w:t>
      </w:r>
    </w:p>
    <w:p>
      <w:pPr>
        <w:spacing w:after="0" w:line="18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Listed below are the financial statements, pro forma financial information and exhibits furnished as part of this report:</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(b) and (c) Not applicable.</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 Exhibit.</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Exhibit Index attached hereto and incorporated herein by reference.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20" w:type="dxa"/>
            <w:vAlign w:val="bottom"/>
            <w:gridSpan w:val="2"/>
          </w:tcPr>
          <w:p>
            <w:pPr>
              <w:jc w:val="center"/>
              <w:ind w:right="2200"/>
              <w:spacing w:after="0"/>
              <w:rPr>
                <w:sz w:val="20"/>
                <w:szCs w:val="20"/>
                <w:color w:val="auto"/>
              </w:rPr>
            </w:pPr>
            <w:r>
              <w:rPr>
                <w:rFonts w:ascii="Arial" w:cs="Arial" w:eastAsia="Arial" w:hAnsi="Arial"/>
                <w:sz w:val="16"/>
                <w:szCs w:val="16"/>
                <w:b w:val="1"/>
                <w:bCs w:val="1"/>
                <w:color w:val="auto"/>
              </w:rPr>
              <w:t>EXHIBIT INDEX</w:t>
            </w:r>
          </w:p>
        </w:tc>
      </w:tr>
      <w:tr>
        <w:trPr>
          <w:trHeight w:val="665"/>
        </w:trPr>
        <w:tc>
          <w:tcPr>
            <w:tcW w:w="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3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39"/>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4"/>
              </w:rPr>
              <w:t>NUMBER</w:t>
            </w:r>
          </w:p>
        </w:tc>
        <w:tc>
          <w:tcPr>
            <w:tcW w:w="1260" w:type="dxa"/>
            <w:vAlign w:val="bottom"/>
          </w:tcPr>
          <w:p>
            <w:pPr>
              <w:spacing w:after="0"/>
              <w:rPr>
                <w:sz w:val="12"/>
                <w:szCs w:val="12"/>
                <w:color w:val="auto"/>
              </w:rPr>
            </w:pPr>
          </w:p>
        </w:tc>
        <w:tc>
          <w:tcPr>
            <w:tcW w:w="38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3"/>
              </w:rPr>
              <w:t>NAME</w:t>
            </w:r>
          </w:p>
        </w:tc>
        <w:tc>
          <w:tcPr>
            <w:tcW w:w="9020" w:type="dxa"/>
            <w:vAlign w:val="bottom"/>
            <w:gridSpan w:val="2"/>
          </w:tcPr>
          <w:p>
            <w:pPr>
              <w:spacing w:after="0"/>
              <w:rPr>
                <w:sz w:val="12"/>
                <w:szCs w:val="12"/>
                <w:color w:val="auto"/>
              </w:rPr>
            </w:pPr>
          </w:p>
        </w:tc>
      </w:tr>
      <w:tr>
        <w:trPr>
          <w:trHeight w:val="250"/>
        </w:trPr>
        <w:tc>
          <w:tcPr>
            <w:tcW w:w="580" w:type="dxa"/>
            <w:vAlign w:val="bottom"/>
            <w:gridSpan w:val="2"/>
          </w:tcPr>
          <w:p>
            <w:pPr>
              <w:ind w:left="20"/>
              <w:spacing w:after="0"/>
              <w:rPr>
                <w:sz w:val="20"/>
                <w:szCs w:val="20"/>
                <w:color w:val="auto"/>
              </w:rPr>
            </w:pPr>
            <w:r>
              <w:rPr>
                <w:rFonts w:ascii="Arial" w:cs="Arial" w:eastAsia="Arial" w:hAnsi="Arial"/>
                <w:sz w:val="16"/>
                <w:szCs w:val="16"/>
                <w:color w:val="auto"/>
              </w:rPr>
              <w:t>99.1</w:t>
            </w:r>
          </w:p>
        </w:tc>
        <w:tc>
          <w:tcPr>
            <w:tcW w:w="1260" w:type="dxa"/>
            <w:vAlign w:val="bottom"/>
          </w:tcPr>
          <w:p>
            <w:pPr>
              <w:spacing w:after="0"/>
              <w:rPr>
                <w:sz w:val="21"/>
                <w:szCs w:val="21"/>
                <w:color w:val="auto"/>
              </w:rPr>
            </w:pPr>
          </w:p>
        </w:tc>
        <w:tc>
          <w:tcPr>
            <w:tcW w:w="9400" w:type="dxa"/>
            <w:vAlign w:val="bottom"/>
            <w:gridSpan w:val="3"/>
          </w:tcPr>
          <w:p>
            <w:pPr>
              <w:spacing w:after="0"/>
              <w:rPr>
                <w:sz w:val="20"/>
                <w:szCs w:val="20"/>
                <w:color w:val="auto"/>
              </w:rPr>
            </w:pPr>
            <w:r>
              <w:rPr>
                <w:rFonts w:ascii="Arial" w:cs="Arial" w:eastAsia="Arial" w:hAnsi="Arial"/>
                <w:sz w:val="16"/>
                <w:szCs w:val="16"/>
                <w:color w:val="0000FF"/>
              </w:rPr>
              <w:t>Earnings Results &amp; Supplemental Information for the Three and Nine Months Ended September 30, 2022</w:t>
            </w:r>
          </w:p>
        </w:tc>
      </w:tr>
      <w:tr>
        <w:trPr>
          <w:trHeight w:val="288"/>
        </w:trPr>
        <w:tc>
          <w:tcPr>
            <w:tcW w:w="58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1260" w:type="dxa"/>
            <w:vAlign w:val="bottom"/>
          </w:tcPr>
          <w:p>
            <w:pPr>
              <w:spacing w:after="0"/>
              <w:rPr>
                <w:sz w:val="24"/>
                <w:szCs w:val="24"/>
                <w:color w:val="auto"/>
              </w:rPr>
            </w:pPr>
          </w:p>
        </w:tc>
        <w:tc>
          <w:tcPr>
            <w:tcW w:w="75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18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40" w:type="dxa"/>
            <w:vAlign w:val="bottom"/>
            <w:gridSpan w:val="2"/>
          </w:tcPr>
          <w:p>
            <w:pPr>
              <w:jc w:val="right"/>
              <w:ind w:right="3639"/>
              <w:spacing w:after="0"/>
              <w:rPr>
                <w:sz w:val="20"/>
                <w:szCs w:val="20"/>
                <w:color w:val="auto"/>
              </w:rPr>
            </w:pPr>
            <w:r>
              <w:rPr>
                <w:rFonts w:ascii="Arial" w:cs="Arial" w:eastAsia="Arial" w:hAnsi="Arial"/>
                <w:sz w:val="16"/>
                <w:szCs w:val="16"/>
                <w:color w:val="auto"/>
              </w:rPr>
              <w:t>3</w:t>
            </w:r>
          </w:p>
        </w:tc>
        <w:tc>
          <w:tcPr>
            <w:tcW w:w="1860" w:type="dxa"/>
            <w:vAlign w:val="bottom"/>
          </w:tcPr>
          <w:p>
            <w:pPr>
              <w:spacing w:after="0"/>
              <w:rPr>
                <w:sz w:val="24"/>
                <w:szCs w:val="24"/>
                <w:color w:val="auto"/>
              </w:rPr>
            </w:pPr>
          </w:p>
        </w:tc>
      </w:tr>
      <w:tr>
        <w:trPr>
          <w:trHeight w:val="1062"/>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255"/>
                    </a:xfrm>
                    <a:prstGeom prst="rect">
                      <a:avLst/>
                    </a:prstGeom>
                    <a:noFill/>
                  </pic:spPr>
                </pic:pic>
              </a:graphicData>
            </a:graphic>
          </wp:anchor>
        </w:drawing>
        <w:t>SIGNATURES</w:t>
      </w:r>
    </w:p>
    <w:p>
      <w:pPr>
        <w:spacing w:after="0" w:line="248" w:lineRule="exact"/>
        <w:rPr>
          <w:sz w:val="20"/>
          <w:szCs w:val="20"/>
          <w:color w:val="auto"/>
        </w:rPr>
      </w:pPr>
    </w:p>
    <w:p>
      <w:pPr>
        <w:ind w:right="20" w:firstLine="405"/>
        <w:spacing w:after="0" w:line="304" w:lineRule="auto"/>
        <w:rPr>
          <w:sz w:val="20"/>
          <w:szCs w:val="20"/>
          <w:color w:val="auto"/>
        </w:rPr>
      </w:pPr>
      <w:r>
        <w:rPr>
          <w:rFonts w:ascii="Arial" w:cs="Arial" w:eastAsia="Arial" w:hAnsi="Arial"/>
          <w:sz w:val="16"/>
          <w:szCs w:val="16"/>
          <w:color w:val="auto"/>
        </w:rPr>
        <w:t>Pursuant to the requirements of the Securities Exchange Act of 1934, The Macerich Company has duly caused this report to be signed on its behalf by the undersigned 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THE MACERICH COMPANY</w:t>
            </w:r>
          </w:p>
        </w:tc>
      </w:tr>
      <w:tr>
        <w:trPr>
          <w:trHeight w:val="432"/>
        </w:trPr>
        <w:tc>
          <w:tcPr>
            <w:tcW w:w="4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By: Scott W. Kingsmore</w:t>
            </w:r>
          </w:p>
        </w:tc>
      </w:tr>
      <w:tr>
        <w:trPr>
          <w:trHeight w:val="43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November 3, 2022</w:t>
            </w:r>
          </w:p>
        </w:tc>
        <w:tc>
          <w:tcPr>
            <w:tcW w:w="2540" w:type="dxa"/>
            <w:vAlign w:val="bottom"/>
          </w:tcPr>
          <w:p>
            <w:pPr>
              <w:spacing w:after="0"/>
              <w:rPr>
                <w:sz w:val="24"/>
                <w:szCs w:val="24"/>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W. Kingsmore</w:t>
            </w: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color w:val="auto"/>
              </w:rPr>
              <w:t>Date</w:t>
            </w: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Senior Executive Vice President,</w:t>
            </w:r>
          </w:p>
        </w:tc>
      </w:tr>
      <w:tr>
        <w:trPr>
          <w:trHeight w:val="215"/>
        </w:trPr>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and Treasurer</w:t>
            </w:r>
          </w:p>
        </w:tc>
      </w:tr>
      <w:tr>
        <w:trPr>
          <w:trHeight w:val="446"/>
        </w:trPr>
        <w:tc>
          <w:tcPr>
            <w:tcW w:w="4400" w:type="dxa"/>
            <w:vAlign w:val="bottom"/>
          </w:tcPr>
          <w:p>
            <w:pPr>
              <w:spacing w:after="0"/>
              <w:rPr>
                <w:sz w:val="24"/>
                <w:szCs w:val="24"/>
                <w:color w:val="auto"/>
              </w:rPr>
            </w:pPr>
          </w:p>
        </w:tc>
        <w:tc>
          <w:tcPr>
            <w:tcW w:w="2540" w:type="dxa"/>
            <w:vAlign w:val="bottom"/>
          </w:tcPr>
          <w:p>
            <w:pPr>
              <w:jc w:val="right"/>
              <w:ind w:right="1199"/>
              <w:spacing w:after="0"/>
              <w:rPr>
                <w:sz w:val="20"/>
                <w:szCs w:val="20"/>
                <w:color w:val="auto"/>
              </w:rPr>
            </w:pPr>
            <w:r>
              <w:rPr>
                <w:rFonts w:ascii="Arial" w:cs="Arial" w:eastAsia="Arial" w:hAnsi="Arial"/>
                <w:sz w:val="16"/>
                <w:szCs w:val="16"/>
                <w:color w:val="auto"/>
              </w:rPr>
              <w:t>4</w:t>
            </w:r>
          </w:p>
        </w:tc>
        <w:tc>
          <w:tcPr>
            <w:tcW w:w="4280" w:type="dxa"/>
            <w:vAlign w:val="bottom"/>
          </w:tcPr>
          <w:p>
            <w:pPr>
              <w:spacing w:after="0"/>
              <w:rPr>
                <w:sz w:val="24"/>
                <w:szCs w:val="24"/>
                <w:color w:val="auto"/>
              </w:rPr>
            </w:pPr>
          </w:p>
        </w:tc>
      </w:tr>
    </w:tbl>
    <w:p>
      <w:pPr>
        <w:sectPr>
          <w:pgSz w:w="11900" w:h="16838" w:orient="portrait"/>
          <w:cols w:equalWidth="0" w:num="1">
            <w:col w:w="11220"/>
          </w:cols>
          <w:pgMar w:left="320" w:top="530"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Earnings Results &amp; Supplemental Information</w:t>
      </w:r>
    </w:p>
    <w:p>
      <w:pPr>
        <w:spacing w:after="0" w:line="24"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For the Three and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6350</wp:posOffset>
            </wp:positionV>
            <wp:extent cx="6301105" cy="6772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1105" cy="677227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10360" w:type="dxa"/>
            <w:vAlign w:val="bottom"/>
          </w:tcPr>
          <w:p>
            <w:pPr>
              <w:jc w:val="center"/>
              <w:ind w:left="819"/>
              <w:spacing w:after="0"/>
              <w:rPr>
                <w:sz w:val="20"/>
                <w:szCs w:val="20"/>
                <w:color w:val="auto"/>
              </w:rPr>
            </w:pPr>
            <w:r>
              <w:rPr>
                <w:rFonts w:ascii="Arial" w:cs="Arial" w:eastAsia="Arial" w:hAnsi="Arial"/>
                <w:sz w:val="16"/>
                <w:szCs w:val="16"/>
                <w:b w:val="1"/>
                <w:bCs w:val="1"/>
                <w:color w:val="auto"/>
              </w:rPr>
              <w:t>The Macerich Company</w:t>
            </w:r>
          </w:p>
        </w:tc>
        <w:tc>
          <w:tcPr>
            <w:tcW w:w="740" w:type="dxa"/>
            <w:vAlign w:val="bottom"/>
          </w:tcPr>
          <w:p>
            <w:pPr>
              <w:spacing w:after="0"/>
              <w:rPr>
                <w:sz w:val="16"/>
                <w:szCs w:val="16"/>
                <w:color w:val="auto"/>
              </w:rPr>
            </w:pPr>
          </w:p>
        </w:tc>
      </w:tr>
      <w:tr>
        <w:trPr>
          <w:trHeight w:val="189"/>
        </w:trPr>
        <w:tc>
          <w:tcPr>
            <w:tcW w:w="10360" w:type="dxa"/>
            <w:vAlign w:val="bottom"/>
          </w:tcPr>
          <w:p>
            <w:pPr>
              <w:jc w:val="center"/>
              <w:ind w:left="799"/>
              <w:spacing w:after="0"/>
              <w:rPr>
                <w:sz w:val="20"/>
                <w:szCs w:val="20"/>
                <w:color w:val="auto"/>
              </w:rPr>
            </w:pPr>
            <w:r>
              <w:rPr>
                <w:rFonts w:ascii="Arial" w:cs="Arial" w:eastAsia="Arial" w:hAnsi="Arial"/>
                <w:sz w:val="16"/>
                <w:szCs w:val="16"/>
                <w:b w:val="1"/>
                <w:bCs w:val="1"/>
                <w:color w:val="auto"/>
              </w:rPr>
              <w:t>Earnings Results &amp; Supplemental Information</w:t>
            </w:r>
          </w:p>
        </w:tc>
        <w:tc>
          <w:tcPr>
            <w:tcW w:w="740" w:type="dxa"/>
            <w:vAlign w:val="bottom"/>
          </w:tcPr>
          <w:p>
            <w:pPr>
              <w:spacing w:after="0"/>
              <w:rPr>
                <w:sz w:val="16"/>
                <w:szCs w:val="16"/>
                <w:color w:val="auto"/>
              </w:rPr>
            </w:pPr>
          </w:p>
        </w:tc>
      </w:tr>
      <w:tr>
        <w:trPr>
          <w:trHeight w:val="203"/>
        </w:trPr>
        <w:tc>
          <w:tcPr>
            <w:tcW w:w="10360" w:type="dxa"/>
            <w:vAlign w:val="bottom"/>
          </w:tcPr>
          <w:p>
            <w:pPr>
              <w:jc w:val="center"/>
              <w:ind w:left="799"/>
              <w:spacing w:after="0"/>
              <w:rPr>
                <w:sz w:val="20"/>
                <w:szCs w:val="20"/>
                <w:color w:val="auto"/>
              </w:rPr>
            </w:pPr>
            <w:r>
              <w:rPr>
                <w:rFonts w:ascii="Arial" w:cs="Arial" w:eastAsia="Arial" w:hAnsi="Arial"/>
                <w:sz w:val="16"/>
                <w:szCs w:val="16"/>
                <w:b w:val="1"/>
                <w:bCs w:val="1"/>
                <w:color w:val="auto"/>
              </w:rPr>
              <w:t>For the Three and Nine Months Ended September 30, 2022</w:t>
            </w:r>
          </w:p>
        </w:tc>
        <w:tc>
          <w:tcPr>
            <w:tcW w:w="740" w:type="dxa"/>
            <w:vAlign w:val="bottom"/>
          </w:tcPr>
          <w:p>
            <w:pPr>
              <w:spacing w:after="0"/>
              <w:rPr>
                <w:sz w:val="17"/>
                <w:szCs w:val="17"/>
                <w:color w:val="auto"/>
              </w:rPr>
            </w:pPr>
          </w:p>
        </w:tc>
      </w:tr>
      <w:tr>
        <w:trPr>
          <w:trHeight w:val="223"/>
        </w:trPr>
        <w:tc>
          <w:tcPr>
            <w:tcW w:w="10360" w:type="dxa"/>
            <w:vAlign w:val="bottom"/>
          </w:tcPr>
          <w:p>
            <w:pPr>
              <w:jc w:val="center"/>
              <w:ind w:left="799"/>
              <w:spacing w:after="0"/>
              <w:rPr>
                <w:sz w:val="20"/>
                <w:szCs w:val="20"/>
                <w:color w:val="auto"/>
              </w:rPr>
            </w:pPr>
            <w:r>
              <w:rPr>
                <w:rFonts w:ascii="Arial" w:cs="Arial" w:eastAsia="Arial" w:hAnsi="Arial"/>
                <w:sz w:val="16"/>
                <w:szCs w:val="16"/>
                <w:b w:val="1"/>
                <w:bCs w:val="1"/>
                <w:color w:val="auto"/>
              </w:rPr>
              <w:t>Table of Contents</w:t>
            </w:r>
          </w:p>
        </w:tc>
        <w:tc>
          <w:tcPr>
            <w:tcW w:w="740" w:type="dxa"/>
            <w:vAlign w:val="bottom"/>
          </w:tcPr>
          <w:p>
            <w:pPr>
              <w:spacing w:after="0"/>
              <w:rPr>
                <w:sz w:val="19"/>
                <w:szCs w:val="19"/>
                <w:color w:val="auto"/>
              </w:rPr>
            </w:pPr>
          </w:p>
        </w:tc>
      </w:tr>
      <w:tr>
        <w:trPr>
          <w:trHeight w:val="599"/>
        </w:trPr>
        <w:tc>
          <w:tcPr>
            <w:tcW w:w="10360" w:type="dxa"/>
            <w:vAlign w:val="bottom"/>
          </w:tcPr>
          <w:p>
            <w:pPr>
              <w:ind w:left="500"/>
              <w:spacing w:after="0"/>
              <w:rPr>
                <w:sz w:val="20"/>
                <w:szCs w:val="20"/>
                <w:color w:val="auto"/>
              </w:rPr>
            </w:pPr>
            <w:r>
              <w:rPr>
                <w:rFonts w:ascii="Arial" w:cs="Arial" w:eastAsia="Arial" w:hAnsi="Arial"/>
                <w:sz w:val="16"/>
                <w:szCs w:val="16"/>
                <w:color w:val="auto"/>
              </w:rPr>
              <w:t>All information included in this supplemental financial package is unaudited, unless otherwise indicated.</w:t>
            </w:r>
          </w:p>
        </w:tc>
        <w:tc>
          <w:tcPr>
            <w:tcW w:w="740" w:type="dxa"/>
            <w:vAlign w:val="bottom"/>
          </w:tcPr>
          <w:p>
            <w:pPr>
              <w:spacing w:after="0"/>
              <w:rPr>
                <w:sz w:val="24"/>
                <w:szCs w:val="24"/>
                <w:color w:val="auto"/>
              </w:rPr>
            </w:pPr>
          </w:p>
        </w:tc>
      </w:tr>
      <w:tr>
        <w:trPr>
          <w:trHeight w:val="430"/>
        </w:trPr>
        <w:tc>
          <w:tcPr>
            <w:tcW w:w="1036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Page No.</w:t>
            </w:r>
          </w:p>
        </w:tc>
      </w:tr>
      <w:tr>
        <w:trPr>
          <w:trHeight w:val="213"/>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Executive Summary &amp; Financial Highlights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Executive Summary</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Highlights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10360" w:type="dxa"/>
            <w:vAlign w:val="bottom"/>
          </w:tcPr>
          <w:p>
            <w:pPr>
              <w:ind w:left="20"/>
              <w:spacing w:after="0"/>
              <w:rPr>
                <w:sz w:val="20"/>
                <w:szCs w:val="20"/>
                <w:color w:val="auto"/>
              </w:rPr>
            </w:pPr>
            <w:r>
              <w:rPr>
                <w:rFonts w:ascii="Arial" w:cs="Arial" w:eastAsia="Arial" w:hAnsi="Arial"/>
                <w:sz w:val="16"/>
                <w:szCs w:val="16"/>
                <w:b w:val="1"/>
                <w:bCs w:val="1"/>
                <w:color w:val="auto"/>
              </w:rPr>
              <w:t>Capital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Information and Market Capitalization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Changes in Total Common and Equivalent Shares/Units</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Data</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Consolidated Statements of Operations (Unaudited)</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Balance Sheet (Unaudited)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Non-GAAP Pro Rata Financial Information (Unaudited)</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Earnings Guidance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Supplemental FFO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10360" w:type="dxa"/>
            <w:vAlign w:val="bottom"/>
          </w:tcPr>
          <w:p>
            <w:pPr>
              <w:ind w:left="20"/>
              <w:spacing w:after="0"/>
              <w:rPr>
                <w:sz w:val="20"/>
                <w:szCs w:val="20"/>
                <w:color w:val="auto"/>
              </w:rPr>
            </w:pPr>
            <w:r>
              <w:rPr>
                <w:rFonts w:ascii="Arial" w:cs="Arial" w:eastAsia="Arial" w:hAnsi="Arial"/>
                <w:sz w:val="16"/>
                <w:szCs w:val="16"/>
                <w:b w:val="1"/>
                <w:bCs w:val="1"/>
                <w:color w:val="auto"/>
              </w:rPr>
              <w:t>Operational Data</w:t>
            </w: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Trailing Twelve Month Sales Per Square Foot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Portfolio Occupancy</w:t>
            </w: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Base Rent Per Square Foot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Cost of Occupancy</w:t>
            </w: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Net Operating Income by State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Property Listing</w:t>
            </w: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List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10360" w:type="dxa"/>
            <w:vAlign w:val="bottom"/>
          </w:tcPr>
          <w:p>
            <w:pPr>
              <w:ind w:left="20"/>
              <w:spacing w:after="0"/>
              <w:rPr>
                <w:sz w:val="20"/>
                <w:szCs w:val="20"/>
                <w:color w:val="auto"/>
              </w:rPr>
            </w:pPr>
            <w:r>
              <w:rPr>
                <w:rFonts w:ascii="Arial" w:cs="Arial" w:eastAsia="Arial" w:hAnsi="Arial"/>
                <w:sz w:val="16"/>
                <w:szCs w:val="16"/>
                <w:b w:val="1"/>
                <w:bCs w:val="1"/>
                <w:color w:val="auto"/>
              </w:rPr>
              <w:t>Debt Tables</w:t>
            </w: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Summary</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10360" w:type="dxa"/>
            <w:vAlign w:val="bottom"/>
          </w:tcPr>
          <w:p>
            <w:pPr>
              <w:ind w:left="20"/>
              <w:spacing w:after="0"/>
              <w:rPr>
                <w:sz w:val="20"/>
                <w:szCs w:val="20"/>
                <w:color w:val="auto"/>
              </w:rPr>
            </w:pPr>
            <w:r>
              <w:rPr>
                <w:rFonts w:ascii="Arial" w:cs="Arial" w:eastAsia="Arial" w:hAnsi="Arial"/>
                <w:sz w:val="16"/>
                <w:szCs w:val="16"/>
                <w:color w:val="auto"/>
              </w:rPr>
              <w:t>Outstanding Debt by Maturity Date</w:t>
            </w: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10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Development and Redevelopment Pipeline Forecast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3"/>
        </w:trPr>
        <w:tc>
          <w:tcPr>
            <w:tcW w:w="10360" w:type="dxa"/>
            <w:vAlign w:val="bottom"/>
          </w:tcPr>
          <w:p>
            <w:pPr>
              <w:ind w:left="20"/>
              <w:spacing w:after="0"/>
              <w:rPr>
                <w:sz w:val="20"/>
                <w:szCs w:val="20"/>
                <w:color w:val="auto"/>
              </w:rPr>
            </w:pPr>
            <w:r>
              <w:rPr>
                <w:rFonts w:ascii="Arial" w:cs="Arial" w:eastAsia="Arial" w:hAnsi="Arial"/>
                <w:sz w:val="16"/>
                <w:szCs w:val="16"/>
                <w:b w:val="1"/>
                <w:bCs w:val="1"/>
                <w:color w:val="auto"/>
              </w:rPr>
              <w:t>Corporate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r>
    </w:tbl>
    <w:p>
      <w:pPr>
        <w:jc w:val="right"/>
        <w:spacing w:after="0"/>
        <w:rPr>
          <w:sz w:val="20"/>
          <w:szCs w:val="20"/>
          <w:color w:val="auto"/>
        </w:rPr>
        <w:sectPr>
          <w:pgSz w:w="11900" w:h="16838" w:orient="portrait"/>
          <w:cols w:equalWidth="0" w:num="1">
            <w:col w:w="11100"/>
          </w:cols>
          <w:pgMar w:left="320" w:top="314" w:right="479" w:bottom="1440" w:gutter="0" w:footer="0" w:header="0"/>
        </w:sect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2837180" cy="565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71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We own 48 million square feet of real estate consisting primarily of interests in 44 regional town centers that serve as community cornerstones. </w:t>
      </w:r>
      <w:r>
        <w:rPr>
          <w:rFonts w:ascii="Arial" w:cs="Arial" w:eastAsia="Arial" w:hAnsi="Arial"/>
          <w:sz w:val="16"/>
          <w:szCs w:val="16"/>
          <w:color w:val="201F1E"/>
        </w:rPr>
        <w:t>As a leading</w:t>
      </w:r>
      <w:r>
        <w:rPr>
          <w:rFonts w:ascii="Arial" w:cs="Arial" w:eastAsia="Arial" w:hAnsi="Arial"/>
          <w:sz w:val="16"/>
          <w:szCs w:val="16"/>
          <w:color w:val="auto"/>
        </w:rPr>
        <w:t xml:space="preserve"> </w:t>
      </w:r>
      <w:r>
        <w:rPr>
          <w:rFonts w:ascii="Arial" w:cs="Arial" w:eastAsia="Arial" w:hAnsi="Arial"/>
          <w:sz w:val="16"/>
          <w:szCs w:val="16"/>
          <w:color w:val="201F1E"/>
        </w:rPr>
        <w:t xml:space="preserve">owner, operator and developer of high-quality retail real estate in densely populated and attractive U.S. markets, our portfolio is </w:t>
      </w:r>
      <w:r>
        <w:rPr>
          <w:rFonts w:ascii="Arial" w:cs="Arial" w:eastAsia="Arial" w:hAnsi="Arial"/>
          <w:sz w:val="16"/>
          <w:szCs w:val="16"/>
          <w:color w:val="000000"/>
        </w:rPr>
        <w:t>concentrated in</w:t>
      </w:r>
      <w:r>
        <w:rPr>
          <w:rFonts w:ascii="Arial" w:cs="Arial" w:eastAsia="Arial" w:hAnsi="Arial"/>
          <w:sz w:val="16"/>
          <w:szCs w:val="16"/>
          <w:color w:val="201F1E"/>
        </w:rPr>
        <w:t xml:space="preserve"> California, the Pacific Northwest, Phoenix/Scottsdale, and the Metro New York to Washington, D.C. corridor. We are firmly dedicated to advancing environmental goals, social good and sound corporate governance. As a recognized leader in sustainability, </w:t>
      </w:r>
      <w:r>
        <w:rPr>
          <w:rFonts w:ascii="Arial" w:cs="Arial" w:eastAsia="Arial" w:hAnsi="Arial"/>
          <w:sz w:val="16"/>
          <w:szCs w:val="16"/>
          <w:color w:val="000000"/>
        </w:rPr>
        <w:t>The Macerich Company (the “Company”) has</w:t>
      </w:r>
      <w:r>
        <w:rPr>
          <w:rFonts w:ascii="Arial" w:cs="Arial" w:eastAsia="Arial" w:hAnsi="Arial"/>
          <w:sz w:val="16"/>
          <w:szCs w:val="16"/>
          <w:color w:val="201F1E"/>
        </w:rPr>
        <w:t xml:space="preserve"> achieved a #1 </w:t>
      </w:r>
      <w:r>
        <w:rPr>
          <w:rFonts w:ascii="Arial" w:cs="Arial" w:eastAsia="Arial" w:hAnsi="Arial"/>
          <w:sz w:val="16"/>
          <w:szCs w:val="16"/>
          <w:color w:val="202124"/>
        </w:rPr>
        <w:t>Global</w:t>
      </w:r>
      <w:r>
        <w:rPr>
          <w:rFonts w:ascii="Arial" w:cs="Arial" w:eastAsia="Arial" w:hAnsi="Arial"/>
          <w:sz w:val="16"/>
          <w:szCs w:val="16"/>
          <w:color w:val="201F1E"/>
        </w:rPr>
        <w:t xml:space="preserve"> </w:t>
      </w:r>
      <w:r>
        <w:rPr>
          <w:rFonts w:ascii="Arial" w:cs="Arial" w:eastAsia="Arial" w:hAnsi="Arial"/>
          <w:sz w:val="16"/>
          <w:szCs w:val="16"/>
          <w:color w:val="202124"/>
        </w:rPr>
        <w:t>Real Estate Sustainability Benchmark (“</w:t>
      </w:r>
      <w:r>
        <w:rPr>
          <w:rFonts w:ascii="Arial" w:cs="Arial" w:eastAsia="Arial" w:hAnsi="Arial"/>
          <w:sz w:val="16"/>
          <w:szCs w:val="16"/>
          <w:color w:val="201F1E"/>
        </w:rPr>
        <w:t>GRESB”) ranking for the North American retail sector for eight straight years (2015-2022).</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Updates:</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fundamentals of our business generally continue to improve, despite the challenging macro-economic environment we face today. Occupancy continues to increase. Leasing spreads have trended positive this quarter, and in fact are the strongest they have been since prior to the pandemic. Tenant demand for space in our regional town centers remains strong and consistent with 2021, which was a historically high leasing volume year for Macerich. The debt markets remain challenging, but we continue to make progress addressing near-term maturities of our non-recourse mortgage debt as further described below.</w:t>
      </w:r>
    </w:p>
    <w:p>
      <w:pPr>
        <w:spacing w:after="0" w:line="200" w:lineRule="exact"/>
        <w:rPr>
          <w:sz w:val="20"/>
          <w:szCs w:val="20"/>
          <w:color w:val="auto"/>
        </w:rPr>
      </w:pP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GRESB recently announced that Macerich has earned the #1 ranking among U.S. retail centers in its 2022 GRESB Real Estate Assessment. This is the eighth consecutive year that Macerich has achieved the #1 ranking in the Retail Centers category. Macerich also earned an "A" score for disclosure, which measures the level of stakeholder engagement and communication of a company's environmental, social and governance (ESG) efforts. Further cementing Macerich's industry leadership in sustainability, these are particularly notable achievements as the participant pool grows and GRESB requirements become more stringent.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for the Quarter:</w:t>
      </w:r>
    </w:p>
    <w:p>
      <w:pPr>
        <w:spacing w:after="0" w:line="86" w:lineRule="exact"/>
        <w:rPr>
          <w:sz w:val="20"/>
          <w:szCs w:val="20"/>
          <w:color w:val="auto"/>
        </w:rPr>
      </w:pPr>
    </w:p>
    <w:p>
      <w:pPr>
        <w:ind w:left="660" w:right="120" w:hanging="328"/>
        <w:spacing w:after="0" w:line="24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6"/>
          <w:szCs w:val="16"/>
          <w:color w:val="auto"/>
        </w:rPr>
        <w:t>The net loss attributable to the Company was $15.2 million or $0.07 per share-diluted during the third quarter of 2022, compared to the net income attributable to the Company of $106.7 million or $0.50 per share-diluted attributable to the Company for the quarter ended September 30, 2021.</w:t>
      </w:r>
    </w:p>
    <w:p>
      <w:pPr>
        <w:spacing w:after="0" w:line="240" w:lineRule="exact"/>
        <w:rPr>
          <w:rFonts w:ascii="Arial" w:cs="Arial" w:eastAsia="Arial" w:hAnsi="Arial"/>
          <w:sz w:val="20"/>
          <w:szCs w:val="20"/>
          <w:color w:val="auto"/>
        </w:rPr>
      </w:pPr>
    </w:p>
    <w:p>
      <w:pPr>
        <w:ind w:left="660" w:right="80" w:hanging="328"/>
        <w:spacing w:after="0" w:line="232"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6"/>
          <w:szCs w:val="16"/>
          <w:color w:val="auto"/>
        </w:rPr>
        <w:t>Funds from Operations (“FFO”), excluding financing expense in connection with Chandler Freehold and loss on extinguishment of debt was $102.8 million or $0.46 per share-diluted during the third quarter of 2022, compared to $101.4 million or $0.45 per share-diluted for FFO excluding financing expense in connection with Chandler Freehold and loss on extinguishment of debt for the quarter ended September 30, 2021.</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16"/>
          <w:szCs w:val="16"/>
          <w:color w:val="auto"/>
        </w:rPr>
        <w:t>Same center net operating income (“NOI”), excluding lease termination income, increased 2.1% in the third quarter of 2022 compared to the third</w:t>
      </w:r>
    </w:p>
    <w:p>
      <w:pPr>
        <w:spacing w:after="0" w:line="55" w:lineRule="exact"/>
        <w:rPr>
          <w:rFonts w:ascii="Arial" w:cs="Arial" w:eastAsia="Arial" w:hAnsi="Arial"/>
          <w:sz w:val="20"/>
          <w:szCs w:val="20"/>
          <w:color w:val="auto"/>
        </w:rPr>
      </w:pPr>
    </w:p>
    <w:p>
      <w:pPr>
        <w:ind w:left="660" w:right="40"/>
        <w:spacing w:after="0" w:line="284" w:lineRule="auto"/>
        <w:rPr>
          <w:rFonts w:ascii="Arial" w:cs="Arial" w:eastAsia="Arial" w:hAnsi="Arial"/>
          <w:sz w:val="20"/>
          <w:szCs w:val="20"/>
          <w:color w:val="auto"/>
        </w:rPr>
      </w:pPr>
      <w:r>
        <w:rPr>
          <w:rFonts w:ascii="Arial" w:cs="Arial" w:eastAsia="Arial" w:hAnsi="Arial"/>
          <w:sz w:val="16"/>
          <w:szCs w:val="16"/>
          <w:color w:val="auto"/>
        </w:rPr>
        <w:t>quarter of 2021. This percentage decreased 3.5% when including lease termination income. Same center NOI, excluding lease termination income, increased 9.8% year-to-date through September 30, 2022 compared to the same timeframe in 2021. This percentage increase was 10.0% when including lease termination income.</w:t>
      </w:r>
    </w:p>
    <w:p>
      <w:pPr>
        <w:spacing w:after="0" w:line="210" w:lineRule="exact"/>
        <w:rPr>
          <w:rFonts w:ascii="Arial" w:cs="Arial" w:eastAsia="Arial" w:hAnsi="Arial"/>
          <w:sz w:val="20"/>
          <w:szCs w:val="20"/>
          <w:color w:val="auto"/>
        </w:rPr>
      </w:pPr>
    </w:p>
    <w:p>
      <w:pPr>
        <w:ind w:left="660" w:right="240" w:hanging="328"/>
        <w:spacing w:after="0" w:line="26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6"/>
          <w:szCs w:val="16"/>
          <w:color w:val="auto"/>
        </w:rPr>
        <w:t>Portfolio tenant sales per square foot for space less than 10,000 square feet for the trailing twelve months ended September 30, 2022 were $877 compared to $801 as of December 31, 2019.</w:t>
      </w:r>
    </w:p>
    <w:p>
      <w:pPr>
        <w:spacing w:after="0" w:line="224" w:lineRule="exact"/>
        <w:rPr>
          <w:rFonts w:ascii="Arial" w:cs="Arial" w:eastAsia="Arial" w:hAnsi="Arial"/>
          <w:sz w:val="20"/>
          <w:szCs w:val="20"/>
          <w:color w:val="auto"/>
        </w:rPr>
      </w:pPr>
    </w:p>
    <w:p>
      <w:pPr>
        <w:ind w:left="660" w:right="140" w:hanging="328"/>
        <w:spacing w:after="0" w:line="23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6"/>
          <w:szCs w:val="16"/>
          <w:color w:val="auto"/>
        </w:rPr>
        <w:t>Portfolio occupancy as of September 30, 2022 was 92.1%, a 1.8% increase compared to the 90.3% occupancy rate at September 30, 2021, and a 0.3% sequential increase compared to the 91.8% occupancy rate at June 30, 2022.</w:t>
      </w:r>
    </w:p>
    <w:p>
      <w:pPr>
        <w:spacing w:after="0" w:line="246" w:lineRule="exact"/>
        <w:rPr>
          <w:rFonts w:ascii="Arial" w:cs="Arial" w:eastAsia="Arial" w:hAnsi="Arial"/>
          <w:sz w:val="20"/>
          <w:szCs w:val="20"/>
          <w:color w:val="auto"/>
        </w:rPr>
      </w:pPr>
    </w:p>
    <w:p>
      <w:pPr>
        <w:ind w:left="660" w:hanging="328"/>
        <w:spacing w:after="0" w:line="23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6"/>
          <w:szCs w:val="16"/>
          <w:color w:val="auto"/>
        </w:rPr>
        <w:t>Re-leasing spreads were 6.6% greater than expiring base rent for the twelve months ended September 30, 2022, which is the strongest result since the quarter ended September 30, 2019.</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Balance Sheet: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During 2022, our mortgage refinancing and extension activity has included the following:</w:t>
      </w:r>
    </w:p>
    <w:p>
      <w:pPr>
        <w:spacing w:after="0" w:line="268" w:lineRule="exact"/>
        <w:rPr>
          <w:sz w:val="20"/>
          <w:szCs w:val="20"/>
          <w:color w:val="auto"/>
        </w:rPr>
      </w:pPr>
    </w:p>
    <w:p>
      <w:pPr>
        <w:ind w:left="5580" w:right="2840" w:hanging="5248"/>
        <w:spacing w:after="0" w:line="497" w:lineRule="auto"/>
        <w:tabs>
          <w:tab w:leader="none" w:pos="646"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February 2, we closed a $175 million refinance of FlatIron Crossing at a floating rate of SOFR plus 3.7%. 1</w:t>
      </w:r>
    </w:p>
    <w:p>
      <w:pPr>
        <w:sectPr>
          <w:pgSz w:w="11900" w:h="16838" w:orient="portrait"/>
          <w:cols w:equalWidth="0" w:num="1">
            <w:col w:w="11240"/>
          </w:cols>
          <w:pgMar w:left="320" w:top="314"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Executive Summary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September 30, 2022</w:t>
      </w:r>
    </w:p>
    <w:p>
      <w:pPr>
        <w:spacing w:after="0" w:line="36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April 29, we closed a $72 million refinance of Pacific View at a fixed rate of 5.29%.</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6, we secured a two-year extension of the $168 million loan on The Oaks at a fixed rate of 5.5%.</w:t>
      </w:r>
    </w:p>
    <w:p>
      <w:pPr>
        <w:spacing w:after="0" w:line="18" w:lineRule="exact"/>
        <w:rPr>
          <w:rFonts w:ascii="Arial" w:cs="Arial" w:eastAsia="Arial" w:hAnsi="Arial"/>
          <w:sz w:val="16"/>
          <w:szCs w:val="16"/>
          <w:color w:val="auto"/>
        </w:rPr>
      </w:pPr>
    </w:p>
    <w:p>
      <w:pPr>
        <w:ind w:left="660" w:right="10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July 1, we closed a one-year extension of the $164 million loan on Danbury Fair Mall at a fixed rate of 5.5%; $10 million of this loan was repaid at closing.</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expects to close multi-year extensions of the loans on Washington Square and Santa Monica Place during November.</w:t>
      </w:r>
    </w:p>
    <w:p>
      <w:pPr>
        <w:spacing w:after="0" w:line="249"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As of the date of this filing, we have over $615 million of liquidity, including unrestricted cash on hand totaling approximately $190 million, with the balance representing available capacity on our revolving line of credit.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2022 Earnings Guidance:</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At this time, we are narrowing the ranges of our 2022 guidance for both estimated EPS-diluted and FFO per share-diluted, excluding financing expense in connection with Chandler Freehold. We are also decreasing the guidance range midpoint for both estimated 2022 EPS-diluted and estimated 2022 FFO per share-diluted, excluding financing expense in connection with Chandler Freehold. The following is a reconciliation of estimated EPS-diluted to FFO per share-diluted, excluding financing expense in connection with Chandler Freehold: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80" w:type="dxa"/>
            <w:vAlign w:val="bottom"/>
          </w:tcPr>
          <w:p>
            <w:pPr>
              <w:spacing w:after="0"/>
              <w:rPr>
                <w:sz w:val="13"/>
                <w:szCs w:val="13"/>
                <w:color w:val="auto"/>
              </w:rPr>
            </w:pPr>
          </w:p>
        </w:tc>
        <w:tc>
          <w:tcPr>
            <w:tcW w:w="1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Fiscal Year 2022</w:t>
            </w:r>
          </w:p>
        </w:tc>
      </w:tr>
      <w:tr>
        <w:trPr>
          <w:trHeight w:val="172"/>
        </w:trPr>
        <w:tc>
          <w:tcPr>
            <w:tcW w:w="898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Guidance</w:t>
            </w:r>
          </w:p>
        </w:tc>
      </w:tr>
      <w:tr>
        <w:trPr>
          <w:trHeight w:val="22"/>
        </w:trPr>
        <w:tc>
          <w:tcPr>
            <w:tcW w:w="89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EPS-diluted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15"/>
        </w:trPr>
        <w:tc>
          <w:tcPr>
            <w:tcW w:w="8980" w:type="dxa"/>
            <w:vAlign w:val="bottom"/>
          </w:tcPr>
          <w:p>
            <w:pPr>
              <w:ind w:left="20"/>
              <w:spacing w:after="0"/>
              <w:rPr>
                <w:sz w:val="20"/>
                <w:szCs w:val="20"/>
                <w:color w:val="auto"/>
              </w:rPr>
            </w:pPr>
            <w:r>
              <w:rPr>
                <w:rFonts w:ascii="Arial" w:cs="Arial" w:eastAsia="Arial" w:hAnsi="Arial"/>
                <w:sz w:val="16"/>
                <w:szCs w:val="16"/>
                <w:color w:val="auto"/>
              </w:rPr>
              <w:t>Plus: real estate depreciation and amortization</w:t>
            </w: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1.93</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loss on sale or write-down of depreciable assets</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09"/>
        </w:trPr>
        <w:tc>
          <w:tcPr>
            <w:tcW w:w="8980" w:type="dxa"/>
            <w:vAlign w:val="bottom"/>
          </w:tcPr>
          <w:p>
            <w:pPr>
              <w:ind w:left="20"/>
              <w:spacing w:after="0"/>
              <w:rPr>
                <w:sz w:val="20"/>
                <w:szCs w:val="20"/>
                <w:color w:val="auto"/>
              </w:rPr>
            </w:pPr>
            <w:r>
              <w:rPr>
                <w:rFonts w:ascii="Arial" w:cs="Arial" w:eastAsia="Arial" w:hAnsi="Arial"/>
                <w:sz w:val="16"/>
                <w:szCs w:val="16"/>
                <w:color w:val="auto"/>
              </w:rPr>
              <w:t>FFO per share-diluted</w:t>
            </w: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1.83</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impact of financing expense in connection with Chandler Freehold</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0.10</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FFO per share – diluted, excluding financing expense in connection with Chandler Freehold</w:t>
            </w: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$1.93</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1"/>
        </w:trPr>
        <w:tc>
          <w:tcPr>
            <w:tcW w:w="8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60"/>
        <w:spacing w:after="0" w:line="284" w:lineRule="auto"/>
        <w:rPr>
          <w:sz w:val="20"/>
          <w:szCs w:val="20"/>
          <w:color w:val="auto"/>
        </w:rPr>
      </w:pPr>
      <w:r>
        <w:rPr>
          <w:rFonts w:ascii="Arial" w:cs="Arial" w:eastAsia="Arial" w:hAnsi="Arial"/>
          <w:sz w:val="16"/>
          <w:szCs w:val="16"/>
          <w:color w:val="auto"/>
        </w:rPr>
        <w:t>This guidance assumes no further government-mandated shutdowns of our properties. It does not assume any sale of common equity during 2022. These estimates do not include potential future gains or losses or the impact on operating results from possible future property acquisitions or dispositions, other than land sales. There can be no assurance that our actual results will not differ from the estimates set forth above.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More details of the guidance assumptions are included on page 16.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w:t>
      </w:r>
    </w:p>
    <w:p>
      <w:pPr>
        <w:spacing w:after="0" w:line="46"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On October 27, 2022, we declared an increased quarterly cash dividend of $0.17 per share of common stock, which represents a 13.3% increase over the prior $0.15 dividend rate. The dividend is payable on December 2, 2022 to stockholders of record at the close of business on November 9, 2022.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 Conference Call:</w:t>
      </w:r>
    </w:p>
    <w:p>
      <w:pPr>
        <w:spacing w:after="0" w:line="39"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 xml:space="preserve">We will provide an online Web simulcast and rebroadcast of our quarterly earnings conference call. The call will be available on The Macerich Company’s website at </w:t>
      </w:r>
      <w:r>
        <w:rPr>
          <w:rFonts w:ascii="Arial" w:cs="Arial" w:eastAsia="Arial" w:hAnsi="Arial"/>
          <w:sz w:val="16"/>
          <w:szCs w:val="16"/>
          <w:u w:val="single" w:color="auto"/>
          <w:color w:val="auto"/>
        </w:rPr>
        <w:t>www.macerich.com</w:t>
      </w:r>
      <w:r>
        <w:rPr>
          <w:rFonts w:ascii="Arial" w:cs="Arial" w:eastAsia="Arial" w:hAnsi="Arial"/>
          <w:sz w:val="16"/>
          <w:szCs w:val="16"/>
          <w:color w:val="auto"/>
        </w:rPr>
        <w:t xml:space="preserve"> (Investors Section). The call begins on November 3, 2022 at 10:00 a.m. Pacific Time. To listen to the call, please visit the website at least 15 minutes prior to the call in order to register and download audio software if needed. An online replay at </w:t>
      </w:r>
      <w:r>
        <w:rPr>
          <w:rFonts w:ascii="Arial" w:cs="Arial" w:eastAsia="Arial" w:hAnsi="Arial"/>
          <w:sz w:val="16"/>
          <w:szCs w:val="16"/>
          <w:u w:val="single" w:color="auto"/>
          <w:color w:val="auto"/>
        </w:rPr>
        <w:t>www.macerich.com</w:t>
      </w:r>
      <w:r>
        <w:rPr>
          <w:rFonts w:ascii="Arial" w:cs="Arial" w:eastAsia="Arial" w:hAnsi="Arial"/>
          <w:sz w:val="16"/>
          <w:szCs w:val="16"/>
          <w:color w:val="auto"/>
        </w:rPr>
        <w:t xml:space="preserve"> (Investors Section) will be available for one year after the call.</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Macerich and this Document:</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is a fully integrated, self-managed and self-administered real estate investment trust, which focuses on the acquisition, leasing, management, development and redevelopment of regional town centers throughout the United States. The Company is the sole general partner of, and owns a majority of</w:t>
      </w:r>
    </w:p>
    <w:p>
      <w:pPr>
        <w:ind w:right="220"/>
        <w:spacing w:after="0" w:line="289" w:lineRule="auto"/>
        <w:rPr>
          <w:sz w:val="20"/>
          <w:szCs w:val="20"/>
          <w:color w:val="auto"/>
        </w:rPr>
      </w:pPr>
      <w:r>
        <w:rPr>
          <w:rFonts w:ascii="Arial" w:cs="Arial" w:eastAsia="Arial" w:hAnsi="Arial"/>
          <w:sz w:val="16"/>
          <w:szCs w:val="16"/>
          <w:color w:val="auto"/>
        </w:rPr>
        <w:t>the ownership interests in, The Macerich Partnership, L.P., a Delaware limited partnership (the “Operating Partnership”</w:t>
      </w:r>
      <w:r>
        <w:rPr>
          <w:rFonts w:ascii="Arial" w:cs="Arial" w:eastAsia="Arial" w:hAnsi="Arial"/>
          <w:sz w:val="21"/>
          <w:szCs w:val="21"/>
          <w:color w:val="auto"/>
        </w:rPr>
        <w:t>)</w:t>
      </w:r>
      <w:r>
        <w:rPr>
          <w:rFonts w:ascii="Arial" w:cs="Arial" w:eastAsia="Arial" w:hAnsi="Arial"/>
          <w:sz w:val="16"/>
          <w:szCs w:val="16"/>
          <w:color w:val="auto"/>
        </w:rPr>
        <w:t xml:space="preserve"> and conducts all of its operations through the Operating Partnership and the Company’s management companies.</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September 30, 2022, the Operating Partnership owned or had an ownership interest in 48 million square feet of gross leasable area (“GLA”) consisting primarily of interests in 44 regional town centers, five community/power shopping centers, one office property and one redevelopment property. These 51 centers (which include any adjoining mixed-use improvements) are referred to hereinafter as the “Centers” unless the context requires otherwise.</w:t>
      </w:r>
    </w:p>
    <w:p>
      <w:pPr>
        <w:spacing w:after="0" w:line="205"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All references to the Company in this document include the Company, those entities owned or controlled by the Company and predecessors of the Company, unless the context indicates otherwise.</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presents certain measures in this document on a pro rata basis which represents (i) the measure on a consolidated basis, minus the Company’s partners’ share of the measure from its consolidated joint ventures (calculated based upon the partners’ percentage ownership interest); plus (ii) the Company’s share of the measure from its unconsolidated joint ventures (calculated based upon the</w:t>
      </w:r>
    </w:p>
    <w:p>
      <w:pPr>
        <w:sectPr>
          <w:pgSz w:w="11900" w:h="16838" w:orient="portrait"/>
          <w:cols w:equalWidth="0" w:num="1">
            <w:col w:w="11200"/>
          </w:cols>
          <w:pgMar w:left="320" w:top="314" w:right="3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320" w:top="314" w:right="37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2022</w:t>
      </w:r>
    </w:p>
    <w:p>
      <w:pPr>
        <w:spacing w:after="0" w:line="3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Company’s percentage ownership interest). Management believes that these measures provide useful information to investors regarding its financial condition and/or results of operations because they include the Company’s share of the applicable amount from unconsolidated joint ventures and exclude the Company’s partners’ share from consolidated joint ventures, in each case presented on the same basis. The Company has several significant joint ventures and the Company believes that presenting various measures in this manner can help investors better understand the Company’s financial condition and/or results of operations after taking into account its economic interest in these joint ventures. Management also uses these measures to evaluate regional property level performance and to make decisions about resource allocations. The Company’s economic interest (as distinct from its legal ownership interest) in certain of its joint ventures could fluctuate from time to time and may not wholly align with its legal ownership interests because of provisions in certain joint venture agreements regarding distributions of cash flow based on capital account balances, allocations of profits and losses, payments of preferred returns and control over major decisions. Additionally, the Company does not control its unconsolidated joint ventures and the presentation of certain items, such as assets, liabilities, revenues and expenses, from these unconsolidated joint ventures does not represent the Company’s legal claim to such items.</w:t>
      </w: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This document contains statements that constitute forward-looking statements which can be identified by the use of words, such as “will,” “expects,”</w:t>
      </w:r>
      <w:r>
        <w:rPr>
          <w:rFonts w:ascii="Arial" w:cs="Arial" w:eastAsia="Arial" w:hAnsi="Arial"/>
          <w:sz w:val="16"/>
          <w:szCs w:val="16"/>
          <w:b w:val="1"/>
          <w:bCs w:val="1"/>
          <w:color w:val="auto"/>
        </w:rPr>
        <w:t xml:space="preserve"> </w:t>
      </w:r>
      <w:r>
        <w:rPr>
          <w:rFonts w:ascii="Arial" w:cs="Arial" w:eastAsia="Arial" w:hAnsi="Arial"/>
          <w:sz w:val="16"/>
          <w:szCs w:val="16"/>
          <w:color w:val="auto"/>
        </w:rPr>
        <w:t>“anticipates,” “assumes,” “believes,” “estimated,” “guidance,” “projects,” “scheduled” and similar expressions that do not relate to historical matters, and includes expectations regarding the Company’s future operational results as well as development, redevelopment and expansion activities. Stockholders are cautioned that any such forward-looking statements are not guarantees of future performance and involve risks, uncertainties and other factors that may cause actual results, performance or achievements of the Company to vary materially from those anticipated, expected or projected. Such factors include, among others, general industry, as well as global, national, regional and local economic and business conditions, including the impact of rising interest rates and inflation,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cost of operating and capital expenses; adverse changes in the real estate markets including, among other things, competition from other companies, retail formats and technology, risks of real estate development and redevelopment (including rising inflation, supply chain disruptions and construction delays), and acquisitions and dispositions; the continuing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The reader is directed to the Company’s various filings with the Securities and Exchange Commission, including the Annual Report on Form 10-K for the year ended December 31, 2021 for a discussion of such risks and uncertainties, which discussion is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 tables)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31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HIGHLIGHTS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w w:val="97"/>
              </w:rPr>
              <w:t>For the Three Months Ended</w:t>
            </w:r>
          </w:p>
        </w:tc>
        <w:tc>
          <w:tcPr>
            <w:tcW w:w="180" w:type="dxa"/>
            <w:vAlign w:val="bottom"/>
          </w:tcPr>
          <w:p>
            <w:pPr>
              <w:spacing w:after="0"/>
              <w:rPr>
                <w:sz w:val="13"/>
                <w:szCs w:val="13"/>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For the Nine Months Ended</w:t>
            </w:r>
          </w:p>
        </w:tc>
        <w:tc>
          <w:tcPr>
            <w:tcW w:w="0" w:type="dxa"/>
            <w:vAlign w:val="bottom"/>
          </w:tcPr>
          <w:p>
            <w:pPr>
              <w:spacing w:after="0"/>
              <w:rPr>
                <w:sz w:val="1"/>
                <w:szCs w:val="1"/>
                <w:color w:val="auto"/>
              </w:rPr>
            </w:pPr>
          </w:p>
        </w:tc>
      </w:tr>
      <w:tr>
        <w:trPr>
          <w:trHeight w:val="176"/>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6"/>
              </w:rPr>
              <w:t>September 30,</w:t>
            </w:r>
          </w:p>
        </w:tc>
        <w:tc>
          <w:tcPr>
            <w:tcW w:w="180" w:type="dxa"/>
            <w:vAlign w:val="bottom"/>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gridSpan w:val="3"/>
          </w:tcPr>
          <w:p>
            <w:pPr>
              <w:jc w:val="center"/>
              <w:ind w:left="481"/>
              <w:spacing w:after="0"/>
              <w:rPr>
                <w:sz w:val="20"/>
                <w:szCs w:val="20"/>
                <w:color w:val="auto"/>
              </w:rPr>
            </w:pPr>
            <w:r>
              <w:rPr>
                <w:rFonts w:ascii="Arial" w:cs="Arial" w:eastAsia="Arial" w:hAnsi="Arial"/>
                <w:sz w:val="13"/>
                <w:szCs w:val="13"/>
                <w:b w:val="1"/>
                <w:bCs w:val="1"/>
                <w:color w:val="auto"/>
                <w:w w:val="97"/>
              </w:rPr>
              <w:t>Unaudited</w:t>
            </w:r>
          </w:p>
        </w:tc>
        <w:tc>
          <w:tcPr>
            <w:tcW w:w="72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gridSpan w:val="3"/>
          </w:tcPr>
          <w:p>
            <w:pPr>
              <w:jc w:val="center"/>
              <w:ind w:left="441"/>
              <w:spacing w:after="0"/>
              <w:rPr>
                <w:sz w:val="20"/>
                <w:szCs w:val="20"/>
                <w:color w:val="auto"/>
              </w:rPr>
            </w:pPr>
            <w:r>
              <w:rPr>
                <w:rFonts w:ascii="Arial" w:cs="Arial" w:eastAsia="Arial" w:hAnsi="Arial"/>
                <w:sz w:val="13"/>
                <w:szCs w:val="13"/>
                <w:b w:val="1"/>
                <w:bCs w:val="1"/>
                <w:color w:val="auto"/>
                <w:w w:val="97"/>
              </w:rPr>
              <w:t>Unaudited</w:t>
            </w:r>
          </w:p>
        </w:tc>
        <w:tc>
          <w:tcPr>
            <w:tcW w:w="7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Leasing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195,594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197,135</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587,596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573,657</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25,391</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Management Companies’ revenues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6,787</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21,432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18,986</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210,704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212,137</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630,939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618,034</w:t>
            </w:r>
          </w:p>
        </w:tc>
        <w:tc>
          <w:tcPr>
            <w:tcW w:w="0" w:type="dxa"/>
            <w:vAlign w:val="bottom"/>
          </w:tcPr>
          <w:p>
            <w:pPr>
              <w:spacing w:after="0"/>
              <w:rPr>
                <w:sz w:val="1"/>
                <w:szCs w:val="1"/>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Shopping center and operating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217,342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214,506</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Management Companies’ operating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51,242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44,465</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Leasing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REIT general and administrative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7,599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20,082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22,365</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231,491</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Interest expense (a)</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40,336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157,680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149,146</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232,099</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215,904</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688,862</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680,983</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income (loss) of unconsolidated joint ventures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20,212</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or write down of assets, net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118,566</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6,767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93,356</w:t>
            </w:r>
          </w:p>
        </w:tc>
        <w:tc>
          <w:tcPr>
            <w:tcW w:w="0" w:type="dxa"/>
            <w:vAlign w:val="bottom"/>
          </w:tcPr>
          <w:p>
            <w:pPr>
              <w:spacing w:after="0"/>
              <w:rPr>
                <w:sz w:val="1"/>
                <w:szCs w:val="1"/>
                <w:color w:val="auto"/>
              </w:rPr>
            </w:pPr>
          </w:p>
        </w:tc>
      </w:tr>
      <w:tr>
        <w:trPr>
          <w:trHeight w:val="209"/>
        </w:trPr>
        <w:tc>
          <w:tcPr>
            <w:tcW w:w="6580" w:type="dxa"/>
            <w:vAlign w:val="bottom"/>
          </w:tcPr>
          <w:p>
            <w:pPr>
              <w:ind w:left="340"/>
              <w:spacing w:after="0"/>
              <w:rPr>
                <w:sz w:val="20"/>
                <w:szCs w:val="20"/>
                <w:color w:val="auto"/>
              </w:rPr>
            </w:pPr>
            <w:r>
              <w:rPr>
                <w:rFonts w:ascii="Arial" w:cs="Arial" w:eastAsia="Arial" w:hAnsi="Arial"/>
                <w:sz w:val="16"/>
                <w:szCs w:val="16"/>
                <w:color w:val="auto"/>
              </w:rPr>
              <w:t>Net loss (income)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112,959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(68,541)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41,167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6,257</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210"/>
        </w:trPr>
        <w:tc>
          <w:tcPr>
            <w:tcW w:w="6580" w:type="dxa"/>
            <w:vAlign w:val="bottom"/>
          </w:tcPr>
          <w:p>
            <w:pPr>
              <w:ind w:left="340"/>
              <w:spacing w:after="0"/>
              <w:rPr>
                <w:sz w:val="20"/>
                <w:szCs w:val="20"/>
                <w:color w:val="auto"/>
              </w:rPr>
            </w:pPr>
            <w:r>
              <w:rPr>
                <w:rFonts w:ascii="Arial" w:cs="Arial" w:eastAsia="Arial" w:hAnsi="Arial"/>
                <w:sz w:val="16"/>
                <w:szCs w:val="16"/>
                <w:color w:val="auto"/>
              </w:rPr>
              <w:t>Net (loss) income attributable to the Company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106,702</w:t>
            </w: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(67,757)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31,333</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outstanding—basic</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215,134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213,214</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214,982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192,717</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assuming full conversion of OP Units (b)</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223,754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223,033</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223,636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202,877</w:t>
            </w: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Weighted average shares outstanding—Funds From Operations (“FFO”)—</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223,754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223,033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223,636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202,877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(b)</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Earnings per share (“EPS”)—basic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 paid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FFO—basic and diluted (b) (c)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96,126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107,098</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294,703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303,548</w:t>
            </w: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line="142" w:lineRule="exact"/>
              <w:rPr>
                <w:sz w:val="20"/>
                <w:szCs w:val="20"/>
                <w:color w:val="auto"/>
              </w:rPr>
            </w:pPr>
            <w:r>
              <w:rPr>
                <w:rFonts w:ascii="Arial" w:cs="Arial" w:eastAsia="Arial" w:hAnsi="Arial"/>
                <w:sz w:val="16"/>
                <w:szCs w:val="16"/>
                <w:color w:val="auto"/>
              </w:rPr>
              <w:t>FFO—basic and diluted, excluding financing expense in connection with Chandler Freehold</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102,810</w:t>
            </w:r>
          </w:p>
        </w:tc>
        <w:tc>
          <w:tcPr>
            <w:tcW w:w="80" w:type="dxa"/>
            <w:vAlign w:val="bottom"/>
          </w:tcPr>
          <w:p>
            <w:pPr>
              <w:spacing w:after="0"/>
              <w:rPr>
                <w:sz w:val="12"/>
                <w:szCs w:val="12"/>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100,375</w:t>
            </w:r>
          </w:p>
        </w:tc>
        <w:tc>
          <w:tcPr>
            <w:tcW w:w="3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318,032</w:t>
            </w:r>
          </w:p>
        </w:tc>
        <w:tc>
          <w:tcPr>
            <w:tcW w:w="8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303,523</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 (c)</w:t>
            </w:r>
          </w:p>
        </w:tc>
        <w:tc>
          <w:tcPr>
            <w:tcW w:w="1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FFO—basic and diluted, excluding financing expense in connection with Chandler Freehold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102,810</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101,382</w:t>
            </w:r>
          </w:p>
        </w:tc>
        <w:tc>
          <w:tcPr>
            <w:tcW w:w="3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318,032</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304,530</w:t>
            </w:r>
          </w:p>
        </w:tc>
        <w:tc>
          <w:tcPr>
            <w:tcW w:w="0" w:type="dxa"/>
            <w:vAlign w:val="bottom"/>
          </w:tcPr>
          <w:p>
            <w:pPr>
              <w:spacing w:after="0"/>
              <w:rPr>
                <w:sz w:val="1"/>
                <w:szCs w:val="1"/>
                <w:color w:val="auto"/>
              </w:rPr>
            </w:pPr>
          </w:p>
        </w:tc>
      </w:tr>
      <w:tr>
        <w:trPr>
          <w:trHeight w:val="22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loss on extinguishment of debt (b) (c)</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FFO per share—basic and diluted (b) (c)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FFO per share—basic and diluted, excluding financing expense in connection with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3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Chandler Freehold (b) (c)</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line="142" w:lineRule="exact"/>
              <w:rPr>
                <w:sz w:val="20"/>
                <w:szCs w:val="20"/>
                <w:color w:val="auto"/>
              </w:rPr>
            </w:pPr>
            <w:r>
              <w:rPr>
                <w:rFonts w:ascii="Arial" w:cs="Arial" w:eastAsia="Arial" w:hAnsi="Arial"/>
                <w:sz w:val="16"/>
                <w:szCs w:val="16"/>
                <w:color w:val="auto"/>
              </w:rPr>
              <w:t>FFO per share—basic and diluted, excluding financing expense in connection with</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0.46</w:t>
            </w:r>
          </w:p>
        </w:tc>
        <w:tc>
          <w:tcPr>
            <w:tcW w:w="80" w:type="dxa"/>
            <w:vAlign w:val="bottom"/>
          </w:tcPr>
          <w:p>
            <w:pPr>
              <w:spacing w:after="0"/>
              <w:rPr>
                <w:sz w:val="12"/>
                <w:szCs w:val="12"/>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0.45</w:t>
            </w:r>
          </w:p>
        </w:tc>
        <w:tc>
          <w:tcPr>
            <w:tcW w:w="3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0"/>
        </w:trPr>
        <w:tc>
          <w:tcPr>
            <w:tcW w:w="6580" w:type="dxa"/>
            <w:vAlign w:val="bottom"/>
          </w:tcPr>
          <w:p>
            <w:pPr>
              <w:ind w:left="20"/>
              <w:spacing w:after="0"/>
              <w:rPr>
                <w:sz w:val="20"/>
                <w:szCs w:val="20"/>
                <w:color w:val="auto"/>
              </w:rPr>
            </w:pPr>
            <w:r>
              <w:rPr>
                <w:rFonts w:ascii="Arial" w:cs="Arial" w:eastAsia="Arial" w:hAnsi="Arial"/>
                <w:sz w:val="16"/>
                <w:szCs w:val="16"/>
                <w:color w:val="auto"/>
              </w:rPr>
              <w:t>Chandler Freehold and loss on extinguishment of debt (b) (c)</w:t>
            </w:r>
          </w:p>
        </w:tc>
        <w:tc>
          <w:tcPr>
            <w:tcW w:w="1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314" w:right="33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FINANCIAL HIGHLIGHTS</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72" w:lineRule="exact"/>
        <w:rPr>
          <w:sz w:val="20"/>
          <w:szCs w:val="20"/>
          <w:color w:val="auto"/>
        </w:rPr>
      </w:pPr>
    </w:p>
    <w:p>
      <w:pPr>
        <w:ind w:left="412" w:right="20" w:hanging="412"/>
        <w:spacing w:after="0" w:line="264" w:lineRule="auto"/>
        <w:tabs>
          <w:tab w:leader="none" w:pos="399"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accounts for its investment in the Chandler Fashion Center and Freehold Raceway Mall ("Chandler Freehold") joint venture as a financing arrangement. As a result, the Company has included in interest expense (i) an expense of $5,053 and $14,837 to adjust for the change in the fair value of the financing arrangement obligation during the three and nine months ended September 30, 2022, respectively; and a credit of $10,306 and $12,608 to adjust for the change in the fair value of the financing arrangement obligation during the three and nine months ended September 30, 2021, respectively; (ii) distributions of ($211) and $39 to its partner representing the partner's share of net (loss) income for the three and nine months ended September 30, 2022, respectively; and ($985) and ($3,410) to its partner representing the partner's share of net loss for the three and nine months ended September 30, 2021, respectively; and (iii) distributions of $1,631 and $8,492 to its partner in excess of the partner's share of net income for the three and nine months ended September 30, 2022, respectively; and $3,583 and $12,583 to its partner in excess of the partner's share of net income for the three and nine months ended September 30, 2021, respectively.</w:t>
      </w:r>
    </w:p>
    <w:p>
      <w:pPr>
        <w:spacing w:after="0" w:line="203" w:lineRule="exact"/>
        <w:rPr>
          <w:rFonts w:ascii="Arial" w:cs="Arial" w:eastAsia="Arial" w:hAnsi="Arial"/>
          <w:sz w:val="14"/>
          <w:szCs w:val="14"/>
          <w:color w:val="auto"/>
        </w:rPr>
      </w:pPr>
    </w:p>
    <w:p>
      <w:pPr>
        <w:ind w:left="412" w:right="160" w:hanging="412"/>
        <w:spacing w:after="0" w:line="276" w:lineRule="auto"/>
        <w:tabs>
          <w:tab w:leader="none" w:pos="399"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Operating Partnership has operating partnership units (“OP units”). OP units can be converted into shares of Company common stock. Conversion of the OP units not owned by the Company has been assumed for purposes of calculating FFO per share and the weighted average number of shares outstanding. The computation of average shares for FFO—diluted includes the effect of share and unit-based compensation plans, stock warrants and convertible senior notes using the treasury stock method. It also assumes conversion of MACWH, LP preferred and common units to the extent they are dilutive to the calculation.</w:t>
      </w:r>
    </w:p>
    <w:p>
      <w:pPr>
        <w:spacing w:after="0" w:line="204" w:lineRule="exact"/>
        <w:rPr>
          <w:rFonts w:ascii="Arial" w:cs="Arial" w:eastAsia="Arial" w:hAnsi="Arial"/>
          <w:sz w:val="14"/>
          <w:szCs w:val="14"/>
          <w:color w:val="auto"/>
        </w:rPr>
      </w:pPr>
    </w:p>
    <w:p>
      <w:pPr>
        <w:ind w:left="412" w:right="80" w:hanging="412"/>
        <w:spacing w:after="0" w:line="266" w:lineRule="auto"/>
        <w:tabs>
          <w:tab w:leader="none" w:pos="40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uses FFO in addition to net income to report its operating and financial results and considers FFO and FFO-diluted as supplemental measures for the real estate industry and a supplement to Generally Accepted Accounting Principles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98" w:lineRule="exact"/>
        <w:rPr>
          <w:rFonts w:ascii="Arial" w:cs="Arial" w:eastAsia="Arial" w:hAnsi="Arial"/>
          <w:sz w:val="14"/>
          <w:szCs w:val="14"/>
          <w:color w:val="auto"/>
        </w:rPr>
      </w:pPr>
    </w:p>
    <w:p>
      <w:pPr>
        <w:ind w:left="412"/>
        <w:spacing w:after="0" w:line="276" w:lineRule="auto"/>
        <w:rPr>
          <w:rFonts w:ascii="Arial" w:cs="Arial" w:eastAsia="Arial" w:hAnsi="Arial"/>
          <w:sz w:val="14"/>
          <w:szCs w:val="14"/>
          <w:color w:val="auto"/>
        </w:rPr>
      </w:pPr>
      <w:r>
        <w:rPr>
          <w:rFonts w:ascii="Arial" w:cs="Arial" w:eastAsia="Arial" w:hAnsi="Arial"/>
          <w:sz w:val="14"/>
          <w:szCs w:val="14"/>
          <w:color w:val="auto"/>
        </w:rPr>
        <w:t>The Company accounts for its joint venture in Chandler Freehold as a financing arrangement. In connection with this treatment, the Company recognizes financing expense on (i) the changes in fair value of the financing arrangement, (ii) any payments to such joint venture partner equal to their pro rata share of net income and (iii) any payments to such joint venture partner less than or in excess of their pro rata share of net income. The Company excludes the noted expenses related to the changes in fair value and for the payments to such joint venture partner less than or in excess of their pro rata share of net income.</w:t>
      </w:r>
    </w:p>
    <w:p>
      <w:pPr>
        <w:spacing w:after="0" w:line="204" w:lineRule="exact"/>
        <w:rPr>
          <w:rFonts w:ascii="Arial" w:cs="Arial" w:eastAsia="Arial" w:hAnsi="Arial"/>
          <w:sz w:val="14"/>
          <w:szCs w:val="14"/>
          <w:color w:val="auto"/>
        </w:rPr>
      </w:pPr>
    </w:p>
    <w:p>
      <w:pPr>
        <w:ind w:left="412"/>
        <w:spacing w:after="0"/>
        <w:rPr>
          <w:rFonts w:ascii="Arial" w:cs="Arial" w:eastAsia="Arial" w:hAnsi="Arial"/>
          <w:sz w:val="14"/>
          <w:szCs w:val="14"/>
          <w:color w:val="auto"/>
        </w:rPr>
      </w:pPr>
      <w:r>
        <w:rPr>
          <w:rFonts w:ascii="Arial" w:cs="Arial" w:eastAsia="Arial" w:hAnsi="Arial"/>
          <w:sz w:val="14"/>
          <w:szCs w:val="14"/>
          <w:color w:val="auto"/>
        </w:rPr>
        <w:t>The Company also presents FFO excluding financing expense in connection with Chandler Freehold and loss on extinguishment of debt.</w:t>
      </w:r>
    </w:p>
    <w:p>
      <w:pPr>
        <w:spacing w:after="0" w:line="244" w:lineRule="exact"/>
        <w:rPr>
          <w:rFonts w:ascii="Arial" w:cs="Arial" w:eastAsia="Arial" w:hAnsi="Arial"/>
          <w:sz w:val="14"/>
          <w:szCs w:val="14"/>
          <w:color w:val="auto"/>
        </w:rPr>
      </w:pPr>
    </w:p>
    <w:p>
      <w:pPr>
        <w:ind w:left="412" w:right="140"/>
        <w:spacing w:after="0" w:line="265" w:lineRule="auto"/>
        <w:rPr>
          <w:rFonts w:ascii="Arial" w:cs="Arial" w:eastAsia="Arial" w:hAnsi="Arial"/>
          <w:sz w:val="14"/>
          <w:szCs w:val="14"/>
          <w:color w:val="auto"/>
        </w:rPr>
      </w:pPr>
      <w:r>
        <w:rPr>
          <w:rFonts w:ascii="Arial" w:cs="Arial" w:eastAsia="Arial" w:hAnsi="Arial"/>
          <w:sz w:val="14"/>
          <w:szCs w:val="14"/>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it shows a more meaningful and consistent comparison of the Company's operating performance and allows investors to more easily compare the Company's results. The Company believes that FFO on a diluted basis is a measure investors find most useful in measuring the dilutive impact of convertible securities.</w:t>
      </w:r>
    </w:p>
    <w:p>
      <w:pPr>
        <w:spacing w:after="0" w:line="213" w:lineRule="exact"/>
        <w:rPr>
          <w:rFonts w:ascii="Arial" w:cs="Arial" w:eastAsia="Arial" w:hAnsi="Arial"/>
          <w:sz w:val="14"/>
          <w:szCs w:val="14"/>
          <w:color w:val="auto"/>
        </w:rPr>
      </w:pPr>
    </w:p>
    <w:p>
      <w:pPr>
        <w:ind w:left="412" w:right="20"/>
        <w:spacing w:after="0" w:line="283" w:lineRule="auto"/>
        <w:rPr>
          <w:rFonts w:ascii="Arial" w:cs="Arial" w:eastAsia="Arial" w:hAnsi="Arial"/>
          <w:sz w:val="14"/>
          <w:szCs w:val="14"/>
          <w:color w:val="auto"/>
        </w:rPr>
      </w:pPr>
      <w:r>
        <w:rPr>
          <w:rFonts w:ascii="Arial" w:cs="Arial" w:eastAsia="Arial" w:hAnsi="Arial"/>
          <w:sz w:val="14"/>
          <w:szCs w:val="14"/>
          <w:color w:val="auto"/>
        </w:rPr>
        <w:t>The Company further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REITs.</w:t>
      </w:r>
    </w:p>
    <w:p>
      <w:pPr>
        <w:spacing w:after="0" w:line="330"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12"/>
          </w:cols>
          <w:pgMar w:left="328" w:top="31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HIGHLIGHTS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color w:val="auto"/>
        </w:rPr>
        <w:t>Reconciliation of net (loss) income attributable to the Company to FFO attributable to common stockholders and unit holders - basic and diluted, excluding financing expense in connection with Chandler Freehold and loss on extinguishment of debt (c):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w w:val="97"/>
              </w:rPr>
              <w:t>For the Three Months Ended</w:t>
            </w:r>
          </w:p>
        </w:tc>
        <w:tc>
          <w:tcPr>
            <w:tcW w:w="180" w:type="dxa"/>
            <w:vAlign w:val="bottom"/>
          </w:tcPr>
          <w:p>
            <w:pPr>
              <w:spacing w:after="0"/>
              <w:rPr>
                <w:sz w:val="13"/>
                <w:szCs w:val="13"/>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For the Nine Months Ended</w:t>
            </w:r>
          </w:p>
        </w:tc>
        <w:tc>
          <w:tcPr>
            <w:tcW w:w="0" w:type="dxa"/>
            <w:vAlign w:val="bottom"/>
          </w:tcPr>
          <w:p>
            <w:pPr>
              <w:spacing w:after="0"/>
              <w:rPr>
                <w:sz w:val="1"/>
                <w:szCs w:val="1"/>
                <w:color w:val="auto"/>
              </w:rPr>
            </w:pPr>
          </w:p>
        </w:tc>
      </w:tr>
      <w:tr>
        <w:trPr>
          <w:trHeight w:val="183"/>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6"/>
              </w:rPr>
              <w:t>September 30,</w:t>
            </w:r>
          </w:p>
        </w:tc>
        <w:tc>
          <w:tcPr>
            <w:tcW w:w="180" w:type="dxa"/>
            <w:vAlign w:val="bottom"/>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3"/>
          </w:tcPr>
          <w:p>
            <w:pPr>
              <w:jc w:val="center"/>
              <w:ind w:left="522"/>
              <w:spacing w:after="0"/>
              <w:rPr>
                <w:sz w:val="20"/>
                <w:szCs w:val="20"/>
                <w:color w:val="auto"/>
              </w:rPr>
            </w:pPr>
            <w:r>
              <w:rPr>
                <w:rFonts w:ascii="Arial" w:cs="Arial" w:eastAsia="Arial" w:hAnsi="Arial"/>
                <w:sz w:val="13"/>
                <w:szCs w:val="13"/>
                <w:b w:val="1"/>
                <w:bCs w:val="1"/>
                <w:color w:val="auto"/>
                <w:w w:val="97"/>
              </w:rPr>
              <w:t>Unaudited</w:t>
            </w:r>
          </w:p>
        </w:tc>
        <w:tc>
          <w:tcPr>
            <w:tcW w:w="760" w:type="dxa"/>
            <w:vAlign w:val="bottom"/>
            <w:tcBorders>
              <w:top w:val="single" w:sz="8" w:color="auto"/>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3"/>
          </w:tcPr>
          <w:p>
            <w:pPr>
              <w:jc w:val="center"/>
              <w:ind w:left="442"/>
              <w:spacing w:after="0"/>
              <w:rPr>
                <w:sz w:val="20"/>
                <w:szCs w:val="20"/>
                <w:color w:val="auto"/>
              </w:rPr>
            </w:pPr>
            <w:r>
              <w:rPr>
                <w:rFonts w:ascii="Arial" w:cs="Arial" w:eastAsia="Arial" w:hAnsi="Arial"/>
                <w:sz w:val="13"/>
                <w:szCs w:val="13"/>
                <w:b w:val="1"/>
                <w:bCs w:val="1"/>
                <w:color w:val="auto"/>
                <w:w w:val="97"/>
              </w:rPr>
              <w:t>Unaudited</w:t>
            </w:r>
          </w:p>
        </w:tc>
        <w:tc>
          <w:tcPr>
            <w:tcW w:w="7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the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$31,333</w:t>
            </w: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line="162" w:lineRule="exact"/>
              <w:rPr>
                <w:sz w:val="20"/>
                <w:szCs w:val="20"/>
                <w:color w:val="auto"/>
              </w:rPr>
            </w:pPr>
            <w:r>
              <w:rPr>
                <w:rFonts w:ascii="Arial" w:cs="Arial" w:eastAsia="Arial" w:hAnsi="Arial"/>
                <w:sz w:val="16"/>
                <w:szCs w:val="16"/>
                <w:color w:val="auto"/>
              </w:rPr>
              <w:t>Adjustments to reconcile net (loss) income attributable to the Company to FFO attributable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to common stockholders and unit holders—basic and diluted: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interests in the OP</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rPr>
                <w:sz w:val="20"/>
                <w:szCs w:val="20"/>
                <w:color w:val="auto"/>
              </w:rPr>
            </w:pPr>
            <w:r>
              <w:rPr>
                <w:rFonts w:ascii="Arial" w:cs="Arial" w:eastAsia="Arial" w:hAnsi="Arial"/>
                <w:sz w:val="16"/>
                <w:szCs w:val="16"/>
                <w:color w:val="auto"/>
              </w:rPr>
              <w:t>Gain on sale or write down of consolidated assets,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(118,566)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(93,356)</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 gain on undepreciated asset sales from consolidated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13,824</w:t>
            </w: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rPr>
                <w:sz w:val="20"/>
                <w:szCs w:val="20"/>
                <w:color w:val="auto"/>
              </w:rPr>
            </w:pPr>
            <w:r>
              <w:rPr>
                <w:rFonts w:ascii="Arial" w:cs="Arial" w:eastAsia="Arial" w:hAnsi="Arial"/>
                <w:sz w:val="16"/>
                <w:szCs w:val="16"/>
                <w:color w:val="auto"/>
              </w:rPr>
              <w:t>Loss on write down of consolidated non-real estate assets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Noncontrolling interests share of gain (loss) on sale or write-down of consolidated joint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5,816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ventures, net</w:t>
            </w: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120"/>
              <w:spacing w:after="0" w:line="162" w:lineRule="exact"/>
              <w:rPr>
                <w:sz w:val="20"/>
                <w:szCs w:val="20"/>
                <w:color w:val="auto"/>
              </w:rPr>
            </w:pPr>
            <w:r>
              <w:rPr>
                <w:rFonts w:ascii="Arial" w:cs="Arial" w:eastAsia="Arial" w:hAnsi="Arial"/>
                <w:sz w:val="16"/>
                <w:szCs w:val="16"/>
                <w:color w:val="auto"/>
              </w:rPr>
              <w:t>(Gain) loss on sale or write down of assets from unconsolidated joint ventures (pro rata),</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(8,922)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20,060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 gain on undepreciated asset sales from unconsolidated joint ventures (pro rata)</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rPr>
                <w:sz w:val="20"/>
                <w:szCs w:val="20"/>
                <w:color w:val="auto"/>
              </w:rPr>
            </w:pPr>
            <w:r>
              <w:rPr>
                <w:rFonts w:ascii="Arial" w:cs="Arial" w:eastAsia="Arial" w:hAnsi="Arial"/>
                <w:sz w:val="16"/>
                <w:szCs w:val="16"/>
                <w:color w:val="auto"/>
              </w:rPr>
              <w:t>Depreciation and amortization on consolidated assets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75,465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218,053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231,491</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Less depreciation and amortization allocable to noncontrolling interests in consolidated</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(17,976)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(13,333)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joint ventures</w:t>
            </w: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rPr>
                <w:sz w:val="20"/>
                <w:szCs w:val="20"/>
                <w:color w:val="auto"/>
              </w:rPr>
            </w:pPr>
            <w:r>
              <w:rPr>
                <w:rFonts w:ascii="Arial" w:cs="Arial" w:eastAsia="Arial" w:hAnsi="Arial"/>
                <w:sz w:val="16"/>
                <w:szCs w:val="16"/>
                <w:color w:val="auto"/>
              </w:rPr>
              <w:t>Depreciation and amortization on unconsolidated joint ventures (pro rata)</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44,905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133,591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138,137</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depreciation on personal property</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(9,933)</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 - basic and diluted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96,126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107,098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294,703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303,548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expense in connection with Chandler Freehold</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(6,723)</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23,329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line="142" w:lineRule="exact"/>
              <w:rPr>
                <w:sz w:val="20"/>
                <w:szCs w:val="20"/>
                <w:color w:val="auto"/>
              </w:rPr>
            </w:pPr>
            <w:r>
              <w:rPr>
                <w:rFonts w:ascii="Arial" w:cs="Arial" w:eastAsia="Arial" w:hAnsi="Arial"/>
                <w:sz w:val="16"/>
                <w:szCs w:val="16"/>
                <w:color w:val="auto"/>
              </w:rPr>
              <w:t>FFO attributable to common stockholders and unit holders, excluding financing expense in</w:t>
            </w: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102,810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100,375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318,032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303,523</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connection with Chandler Freehold—basic and diluted</w:t>
            </w: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line="142" w:lineRule="exact"/>
              <w:rPr>
                <w:sz w:val="20"/>
                <w:szCs w:val="20"/>
                <w:color w:val="auto"/>
              </w:rPr>
            </w:pPr>
            <w:r>
              <w:rPr>
                <w:rFonts w:ascii="Arial" w:cs="Arial" w:eastAsia="Arial" w:hAnsi="Arial"/>
                <w:sz w:val="16"/>
                <w:szCs w:val="16"/>
                <w:color w:val="auto"/>
              </w:rPr>
              <w:t>FFO attributable to common stockholders and unit holders, excluding financing expense in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102,810</w:t>
            </w:r>
          </w:p>
        </w:tc>
        <w:tc>
          <w:tcPr>
            <w:tcW w:w="8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101,382</w:t>
            </w:r>
          </w:p>
        </w:tc>
        <w:tc>
          <w:tcPr>
            <w:tcW w:w="3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318,032</w:t>
            </w:r>
          </w:p>
        </w:tc>
        <w:tc>
          <w:tcPr>
            <w:tcW w:w="8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304,530</w:t>
            </w:r>
          </w:p>
        </w:tc>
        <w:tc>
          <w:tcPr>
            <w:tcW w:w="0" w:type="dxa"/>
            <w:vAlign w:val="bottom"/>
          </w:tcPr>
          <w:p>
            <w:pPr>
              <w:spacing w:after="0"/>
              <w:rPr>
                <w:sz w:val="1"/>
                <w:szCs w:val="1"/>
                <w:color w:val="auto"/>
              </w:rPr>
            </w:pPr>
          </w:p>
        </w:tc>
      </w:tr>
      <w:tr>
        <w:trPr>
          <w:trHeight w:val="194"/>
        </w:trPr>
        <w:tc>
          <w:tcPr>
            <w:tcW w:w="6580" w:type="dxa"/>
            <w:vAlign w:val="bottom"/>
          </w:tcPr>
          <w:p>
            <w:pPr>
              <w:ind w:left="20"/>
              <w:spacing w:after="0"/>
              <w:rPr>
                <w:sz w:val="20"/>
                <w:szCs w:val="20"/>
                <w:color w:val="auto"/>
              </w:rPr>
            </w:pPr>
            <w:r>
              <w:rPr>
                <w:rFonts w:ascii="Arial" w:cs="Arial" w:eastAsia="Arial" w:hAnsi="Arial"/>
                <w:sz w:val="16"/>
                <w:szCs w:val="16"/>
                <w:color w:val="auto"/>
              </w:rPr>
              <w:t>connection with Chandler Freehold and loss on extinguishment of debt—basic and diluted</w:t>
            </w: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5560"/>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6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1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HIGHLIGHTS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EPS to FFO per share—diluted (c):</w:t>
      </w: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5"/>
          </w:tcPr>
          <w:p>
            <w:pPr>
              <w:jc w:val="center"/>
              <w:ind w:right="740"/>
              <w:spacing w:after="0"/>
              <w:rPr>
                <w:sz w:val="20"/>
                <w:szCs w:val="20"/>
                <w:color w:val="auto"/>
              </w:rPr>
            </w:pPr>
            <w:r>
              <w:rPr>
                <w:rFonts w:ascii="Arial" w:cs="Arial" w:eastAsia="Arial" w:hAnsi="Arial"/>
                <w:sz w:val="13"/>
                <w:szCs w:val="13"/>
                <w:b w:val="1"/>
                <w:bCs w:val="1"/>
                <w:color w:val="auto"/>
                <w:w w:val="97"/>
              </w:rPr>
              <w:t>For the Three Months</w:t>
            </w:r>
          </w:p>
        </w:tc>
        <w:tc>
          <w:tcPr>
            <w:tcW w:w="17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7"/>
              </w:rPr>
              <w:t>For the Nine Months Ended</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96"/>
              </w:rPr>
              <w:t>Ended September 30,</w:t>
            </w:r>
          </w:p>
        </w:tc>
        <w:tc>
          <w:tcPr>
            <w:tcW w:w="180" w:type="dxa"/>
            <w:vAlign w:val="bottom"/>
          </w:tcPr>
          <w:p>
            <w:pPr>
              <w:spacing w:after="0"/>
              <w:rPr>
                <w:sz w:val="15"/>
                <w:szCs w:val="15"/>
                <w:color w:val="auto"/>
              </w:rPr>
            </w:pPr>
          </w:p>
        </w:tc>
        <w:tc>
          <w:tcPr>
            <w:tcW w:w="1540" w:type="dxa"/>
            <w:vAlign w:val="bottom"/>
            <w:gridSpan w:val="4"/>
          </w:tcPr>
          <w:p>
            <w:pPr>
              <w:jc w:val="center"/>
              <w:ind w:right="121"/>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center"/>
              <w:ind w:left="325"/>
              <w:spacing w:after="0"/>
              <w:rPr>
                <w:sz w:val="20"/>
                <w:szCs w:val="20"/>
                <w:color w:val="auto"/>
              </w:rPr>
            </w:pPr>
            <w:r>
              <w:rPr>
                <w:rFonts w:ascii="Arial" w:cs="Arial" w:eastAsia="Arial" w:hAnsi="Arial"/>
                <w:sz w:val="13"/>
                <w:szCs w:val="13"/>
                <w:b w:val="1"/>
                <w:bCs w:val="1"/>
                <w:color w:val="auto"/>
                <w:w w:val="97"/>
              </w:rPr>
              <w:t>Unaudited</w:t>
            </w:r>
          </w:p>
        </w:tc>
        <w:tc>
          <w:tcPr>
            <w:tcW w:w="560" w:type="dxa"/>
            <w:vAlign w:val="bottom"/>
            <w:tcBorders>
              <w:top w:val="single" w:sz="8" w:color="auto"/>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3"/>
          </w:tcPr>
          <w:p>
            <w:pPr>
              <w:jc w:val="center"/>
              <w:ind w:left="284"/>
              <w:spacing w:after="0"/>
              <w:rPr>
                <w:sz w:val="20"/>
                <w:szCs w:val="20"/>
                <w:color w:val="auto"/>
              </w:rPr>
            </w:pPr>
            <w:r>
              <w:rPr>
                <w:rFonts w:ascii="Arial" w:cs="Arial" w:eastAsia="Arial" w:hAnsi="Arial"/>
                <w:sz w:val="13"/>
                <w:szCs w:val="13"/>
                <w:b w:val="1"/>
                <w:bCs w:val="1"/>
                <w:color w:val="auto"/>
                <w:w w:val="97"/>
              </w:rPr>
              <w:t>Unaudited</w:t>
            </w:r>
          </w:p>
        </w:tc>
        <w:tc>
          <w:tcPr>
            <w:tcW w:w="5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9"/>
              </w:rPr>
              <w:t>2021</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Per share impact of depreciation and amortization of real estate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0.52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impact of loss (gain) on sale or write down of assets,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0.18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9"/>
        </w:trPr>
        <w:tc>
          <w:tcPr>
            <w:tcW w:w="7040" w:type="dxa"/>
            <w:vAlign w:val="bottom"/>
          </w:tcPr>
          <w:p>
            <w:pPr>
              <w:ind w:left="20"/>
              <w:spacing w:after="0"/>
              <w:rPr>
                <w:sz w:val="20"/>
                <w:szCs w:val="20"/>
                <w:color w:val="auto"/>
              </w:rPr>
            </w:pPr>
            <w:r>
              <w:rPr>
                <w:rFonts w:ascii="Arial" w:cs="Arial" w:eastAsia="Arial" w:hAnsi="Arial"/>
                <w:sz w:val="16"/>
                <w:szCs w:val="16"/>
                <w:color w:val="auto"/>
              </w:rPr>
              <w:t>FFO per share - basic and diluted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0.48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impact of financing expense in connection with Chandler Freehold</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7040" w:type="dxa"/>
            <w:vAlign w:val="bottom"/>
          </w:tcPr>
          <w:p>
            <w:pPr>
              <w:ind w:left="20"/>
              <w:spacing w:after="0" w:line="142" w:lineRule="exact"/>
              <w:rPr>
                <w:sz w:val="20"/>
                <w:szCs w:val="20"/>
                <w:color w:val="auto"/>
              </w:rPr>
            </w:pPr>
            <w:r>
              <w:rPr>
                <w:rFonts w:ascii="Arial" w:cs="Arial" w:eastAsia="Arial" w:hAnsi="Arial"/>
                <w:sz w:val="16"/>
                <w:szCs w:val="16"/>
                <w:color w:val="auto"/>
              </w:rPr>
              <w:t>FFO per share - basic and diluted, excluding financing expense in connection with Chandler</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0.46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6"/>
                <w:szCs w:val="16"/>
                <w:color w:val="auto"/>
              </w:rPr>
              <w:t>0.45</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Freehold</w:t>
            </w: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impact of loss on extinguishment of debt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7040" w:type="dxa"/>
            <w:vAlign w:val="bottom"/>
          </w:tcPr>
          <w:p>
            <w:pPr>
              <w:ind w:left="20"/>
              <w:spacing w:after="0" w:line="142" w:lineRule="exact"/>
              <w:rPr>
                <w:sz w:val="20"/>
                <w:szCs w:val="20"/>
                <w:color w:val="auto"/>
              </w:rPr>
            </w:pPr>
            <w:r>
              <w:rPr>
                <w:rFonts w:ascii="Arial" w:cs="Arial" w:eastAsia="Arial" w:hAnsi="Arial"/>
                <w:sz w:val="16"/>
                <w:szCs w:val="16"/>
                <w:color w:val="auto"/>
              </w:rPr>
              <w:t>FFO per share - basic and diluted, excluding financing expense in connection with Chandler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0.46</w:t>
            </w:r>
          </w:p>
        </w:tc>
        <w:tc>
          <w:tcPr>
            <w:tcW w:w="8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0.45</w:t>
            </w:r>
          </w:p>
        </w:tc>
        <w:tc>
          <w:tcPr>
            <w:tcW w:w="58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5"/>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4"/>
        </w:trPr>
        <w:tc>
          <w:tcPr>
            <w:tcW w:w="7040" w:type="dxa"/>
            <w:vAlign w:val="bottom"/>
          </w:tcPr>
          <w:p>
            <w:pPr>
              <w:ind w:left="20"/>
              <w:spacing w:after="0"/>
              <w:rPr>
                <w:sz w:val="20"/>
                <w:szCs w:val="20"/>
                <w:color w:val="auto"/>
              </w:rPr>
            </w:pPr>
            <w:r>
              <w:rPr>
                <w:rFonts w:ascii="Arial" w:cs="Arial" w:eastAsia="Arial" w:hAnsi="Arial"/>
                <w:sz w:val="16"/>
                <w:szCs w:val="16"/>
                <w:color w:val="auto"/>
              </w:rPr>
              <w:t>Freehold and loss on extinguishment of debt</w:t>
            </w: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Net (loss) income attributable to the Company to Adjusted EBITDA:</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5"/>
          </w:tcPr>
          <w:p>
            <w:pPr>
              <w:jc w:val="center"/>
              <w:ind w:right="540"/>
              <w:spacing w:after="0"/>
              <w:rPr>
                <w:sz w:val="20"/>
                <w:szCs w:val="20"/>
                <w:color w:val="auto"/>
              </w:rPr>
            </w:pPr>
            <w:r>
              <w:rPr>
                <w:rFonts w:ascii="Arial" w:cs="Arial" w:eastAsia="Arial" w:hAnsi="Arial"/>
                <w:sz w:val="13"/>
                <w:szCs w:val="13"/>
                <w:b w:val="1"/>
                <w:bCs w:val="1"/>
                <w:color w:val="auto"/>
                <w:w w:val="96"/>
              </w:rPr>
              <w:t>For the Three Months Ended</w:t>
            </w:r>
          </w:p>
        </w:tc>
        <w:tc>
          <w:tcPr>
            <w:tcW w:w="21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For the Nine Months Ended</w:t>
            </w:r>
          </w:p>
        </w:tc>
        <w:tc>
          <w:tcPr>
            <w:tcW w:w="0" w:type="dxa"/>
            <w:vAlign w:val="bottom"/>
          </w:tcPr>
          <w:p>
            <w:pPr>
              <w:spacing w:after="0"/>
              <w:rPr>
                <w:sz w:val="1"/>
                <w:szCs w:val="1"/>
                <w:color w:val="auto"/>
              </w:rPr>
            </w:pPr>
          </w:p>
        </w:tc>
      </w:tr>
      <w:tr>
        <w:trPr>
          <w:trHeight w:val="176"/>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jc w:val="center"/>
              <w:ind w:right="540"/>
              <w:spacing w:after="0"/>
              <w:rPr>
                <w:sz w:val="20"/>
                <w:szCs w:val="20"/>
                <w:color w:val="auto"/>
              </w:rPr>
            </w:pPr>
            <w:r>
              <w:rPr>
                <w:rFonts w:ascii="Arial" w:cs="Arial" w:eastAsia="Arial" w:hAnsi="Arial"/>
                <w:sz w:val="13"/>
                <w:szCs w:val="13"/>
                <w:b w:val="1"/>
                <w:bCs w:val="1"/>
                <w:color w:val="auto"/>
                <w:w w:val="96"/>
              </w:rPr>
              <w:t>September 30,</w:t>
            </w:r>
          </w:p>
        </w:tc>
        <w:tc>
          <w:tcPr>
            <w:tcW w:w="21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jc w:val="center"/>
              <w:ind w:left="503"/>
              <w:spacing w:after="0"/>
              <w:rPr>
                <w:sz w:val="20"/>
                <w:szCs w:val="20"/>
                <w:color w:val="auto"/>
              </w:rPr>
            </w:pPr>
            <w:r>
              <w:rPr>
                <w:rFonts w:ascii="Arial" w:cs="Arial" w:eastAsia="Arial" w:hAnsi="Arial"/>
                <w:sz w:val="13"/>
                <w:szCs w:val="13"/>
                <w:b w:val="1"/>
                <w:bCs w:val="1"/>
                <w:color w:val="auto"/>
                <w:w w:val="97"/>
              </w:rPr>
              <w:t>Unaudited</w:t>
            </w:r>
          </w:p>
        </w:tc>
        <w:tc>
          <w:tcPr>
            <w:tcW w:w="740" w:type="dxa"/>
            <w:vAlign w:val="bottom"/>
            <w:tcBorders>
              <w:top w:val="single" w:sz="8" w:color="auto"/>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Borders>
              <w:top w:val="single" w:sz="8" w:color="auto"/>
              <w:bottom w:val="single" w:sz="8" w:color="auto"/>
            </w:tcBorders>
            <w:gridSpan w:val="3"/>
          </w:tcPr>
          <w:p>
            <w:pPr>
              <w:jc w:val="center"/>
              <w:ind w:left="623"/>
              <w:spacing w:after="0"/>
              <w:rPr>
                <w:sz w:val="20"/>
                <w:szCs w:val="20"/>
                <w:color w:val="auto"/>
              </w:rPr>
            </w:pPr>
            <w:r>
              <w:rPr>
                <w:rFonts w:ascii="Arial" w:cs="Arial" w:eastAsia="Arial" w:hAnsi="Arial"/>
                <w:sz w:val="13"/>
                <w:szCs w:val="13"/>
                <w:b w:val="1"/>
                <w:bCs w:val="1"/>
                <w:color w:val="auto"/>
                <w:w w:val="94"/>
              </w:rPr>
              <w:t>Unaudited</w:t>
            </w:r>
          </w:p>
        </w:tc>
        <w:tc>
          <w:tcPr>
            <w:tcW w:w="7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the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$31,333</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Interest expense - consolidated assets</w:t>
            </w:r>
          </w:p>
        </w:tc>
        <w:tc>
          <w:tcPr>
            <w:tcW w:w="1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52,630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40,336</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157,680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149,146</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 unconsolidated joint ventures (pro rata)</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76,866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79,540</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Depreciation and amortization - consolidated assets</w:t>
            </w:r>
          </w:p>
        </w:tc>
        <w:tc>
          <w:tcPr>
            <w:tcW w:w="1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72,739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75,465</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218,053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231,491</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 unconsolidated joint ventures (pro rata)</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44,905</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133,591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138,137</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Noncontrolling interests in the OP</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5,922</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Interest expense and depreciation and amortization allocable to noncontrolling</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(7,098)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(7,111)</w:t>
            </w: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(29,239)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(21,760)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 in consolidated joint ventures</w:t>
            </w: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1,007</w:t>
            </w:r>
          </w:p>
        </w:tc>
        <w:tc>
          <w:tcPr>
            <w:tcW w:w="3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or write down of assets, net - consolidated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(93,356)</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(Gain) loss on sale or write down of assets, net - unconsolidated joint ventures (pro rata)</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20,060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Add: Noncontrolling interests share of gain (loss) on sale or write-down of consolidated</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1,373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5,816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ventures, net</w:t>
            </w: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963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on preferred units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color w:val="auto"/>
              </w:rPr>
              <w:t>Adjusted EBITDA (d)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163,694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174,688</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   506,798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532,808</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5560"/>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6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1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HIGHLIGHTS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Adjusted EBITDA to Net Operating Income (“NOI”) and to NOI—Same Centers: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For the Three Months Ended</w:t>
            </w:r>
          </w:p>
        </w:tc>
        <w:tc>
          <w:tcPr>
            <w:tcW w:w="2400" w:type="dxa"/>
            <w:vAlign w:val="bottom"/>
            <w:gridSpan w:val="5"/>
          </w:tcPr>
          <w:p>
            <w:pPr>
              <w:ind w:left="40"/>
              <w:spacing w:after="0"/>
              <w:rPr>
                <w:sz w:val="20"/>
                <w:szCs w:val="20"/>
                <w:color w:val="auto"/>
              </w:rPr>
            </w:pPr>
            <w:r>
              <w:rPr>
                <w:rFonts w:ascii="Arial" w:cs="Arial" w:eastAsia="Arial" w:hAnsi="Arial"/>
                <w:sz w:val="13"/>
                <w:szCs w:val="13"/>
                <w:b w:val="1"/>
                <w:bCs w:val="1"/>
                <w:color w:val="auto"/>
                <w:w w:val="97"/>
              </w:rPr>
              <w:t>For the Nine Months Ended September</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3"/>
                <w:szCs w:val="13"/>
                <w:b w:val="1"/>
                <w:bCs w:val="1"/>
                <w:color w:val="auto"/>
                <w:w w:val="96"/>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30,</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3"/>
                <w:szCs w:val="13"/>
                <w:b w:val="1"/>
                <w:bCs w:val="1"/>
                <w:color w:val="auto"/>
                <w:w w:val="97"/>
              </w:rPr>
              <w:t>Unaudited</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3"/>
                <w:szCs w:val="13"/>
                <w:b w:val="1"/>
                <w:bCs w:val="1"/>
                <w:color w:val="auto"/>
                <w:w w:val="97"/>
              </w:rPr>
              <w:t>Unaudited</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163,694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174,688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506,798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532,808</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REIT general and administrative expenses</w:t>
            </w:r>
          </w:p>
        </w:tc>
        <w:tc>
          <w:tcPr>
            <w:tcW w:w="220" w:type="dxa"/>
            <w:vAlign w:val="bottom"/>
          </w:tcPr>
          <w:p>
            <w:pPr>
              <w:spacing w:after="0"/>
              <w:rPr>
                <w:sz w:val="18"/>
                <w:szCs w:val="18"/>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6,779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7,599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20,082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22,365</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Companies’ revenues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(7,607)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(21,432)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Management Companies’ operating expenses</w:t>
            </w:r>
          </w:p>
        </w:tc>
        <w:tc>
          <w:tcPr>
            <w:tcW w:w="220" w:type="dxa"/>
            <w:vAlign w:val="bottom"/>
          </w:tcPr>
          <w:p>
            <w:pPr>
              <w:spacing w:after="0"/>
              <w:rPr>
                <w:sz w:val="18"/>
                <w:szCs w:val="18"/>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16,553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51,242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44,465</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Leasing expenses, including joint ventures at pro rata</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9,423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26,528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19,861</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Straight-line and above/below market adjustments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(3,441)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(6,766)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(20,342)</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NOI—All Centers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185,401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198,372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576,452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580,171</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NOI of non-Same Centers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1,474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(3,282)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(58,995)</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NOI—Same Centers (e)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186,875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193,670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573,170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521,176</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 termination income of Same Centers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(1,467)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(24,876)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(21,854)</w:t>
            </w:r>
          </w:p>
        </w:tc>
        <w:tc>
          <w:tcPr>
            <w:tcW w:w="0" w:type="dxa"/>
            <w:vAlign w:val="bottom"/>
          </w:tcPr>
          <w:p>
            <w:pPr>
              <w:spacing w:after="0"/>
              <w:rPr>
                <w:sz w:val="1"/>
                <w:szCs w:val="1"/>
                <w:color w:val="auto"/>
              </w:rPr>
            </w:pPr>
          </w:p>
        </w:tc>
      </w:tr>
      <w:tr>
        <w:trPr>
          <w:trHeight w:val="23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NOI—Same Centers, excluding lease termination income (e)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185,408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181,527</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548,294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499,322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NOI—Same Centers percentage change, including lease termination income (e)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9.98 %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NOI—Same Centers percentage change, excluding lease termination income (e)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20" w:right="80" w:hanging="412"/>
        <w:spacing w:after="0" w:line="302" w:lineRule="auto"/>
        <w:tabs>
          <w:tab w:leader="none" w:pos="407"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represents earnings before interest, income taxes, depreciation, amortization, noncontrolling interests in the OP, extraordinary items, loss (gain) on remeasurement, sale or write down of assets, loss (gain) on extinguishment of debt and preferred dividends and includes joint ventures at their pro rata share. Management considers Adjusted EBITDA to be an appropriate supplemental measure to net income because it helps investors understand the ability of the Company to incur and service debt and make capital expenditures. The Company believes that Adjusted EBITDA should not be construed as an alternative to operating income as an indicator of the Company’s operating performance, or to cash flows from operating activities (as determined in accordance with GAAP) or as a measure of liquidity. The Company also cautions that Adjusted EBITDA, as presented, may not be comparable to similarly titled measurements reported by other companies.</w:t>
      </w:r>
    </w:p>
    <w:p>
      <w:pPr>
        <w:spacing w:after="0" w:line="188" w:lineRule="exact"/>
        <w:rPr>
          <w:rFonts w:ascii="Arial" w:cs="Arial" w:eastAsia="Arial" w:hAnsi="Arial"/>
          <w:sz w:val="14"/>
          <w:szCs w:val="14"/>
          <w:color w:val="auto"/>
        </w:rPr>
      </w:pPr>
    </w:p>
    <w:p>
      <w:pPr>
        <w:jc w:val="both"/>
        <w:ind w:left="420" w:right="220" w:hanging="412"/>
        <w:spacing w:after="0" w:line="292" w:lineRule="auto"/>
        <w:tabs>
          <w:tab w:leader="none" w:pos="40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presents Same Center NOI because the Company believes it is useful for investors to evaluate the operating performance of comparable centers. Same Center NOI is calculated using total Adjusted EBITDA and eliminating the impact of the Management Companies’ revenues and operating expenses, leasing expenses (including joint ventures at pro rata), the Company’s REIT general and administrative expenses and the straight-line and above/below market adjustments to minimum rents and subtracting out NOI from non-Same Centers. The Company also presents Same Center NOI, excluding lease termination income, as the Company believes that it is useful for investors to evaluate operating performance without the impact of lease termination income.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31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 Information and Market Capitalization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5"/>
              </w:rPr>
              <w:t>Period Ended</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9/30/2022</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8"/>
              </w:rPr>
              <w:t>12/31/2021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12/31/2020</w:t>
            </w: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gridSpan w:val="7"/>
          </w:tcPr>
          <w:p>
            <w:pPr>
              <w:jc w:val="center"/>
              <w:ind w:right="161"/>
              <w:spacing w:after="0"/>
              <w:rPr>
                <w:sz w:val="20"/>
                <w:szCs w:val="20"/>
                <w:color w:val="auto"/>
              </w:rPr>
            </w:pPr>
            <w:r>
              <w:rPr>
                <w:rFonts w:ascii="Arial" w:cs="Arial" w:eastAsia="Arial" w:hAnsi="Arial"/>
                <w:sz w:val="13"/>
                <w:szCs w:val="13"/>
                <w:b w:val="1"/>
                <w:bCs w:val="1"/>
                <w:color w:val="auto"/>
                <w:w w:val="96"/>
              </w:rPr>
              <w:t>(dollars in thousands, except per share data)</w:t>
            </w: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Closing common stock price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17.28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52 week high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25.99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 week low</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Shares outstanding at end of period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non participating convertible preferred units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99,565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99,565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103,235</w:t>
            </w:r>
          </w:p>
        </w:tc>
        <w:tc>
          <w:tcPr>
            <w:tcW w:w="0" w:type="dxa"/>
            <w:vAlign w:val="bottom"/>
          </w:tcPr>
          <w:p>
            <w:pPr>
              <w:spacing w:after="0"/>
              <w:rPr>
                <w:sz w:val="1"/>
                <w:szCs w:val="1"/>
                <w:color w:val="auto"/>
              </w:rPr>
            </w:pPr>
          </w:p>
        </w:tc>
      </w:tr>
      <w:tr>
        <w:trPr>
          <w:trHeight w:val="21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Common shares and partnership units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223,767,040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223,474,639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160,751,189</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common and equivalent shares/units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223,866,605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223,574,204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160,854,424</w:t>
            </w:r>
          </w:p>
        </w:tc>
        <w:tc>
          <w:tcPr>
            <w:tcW w:w="0" w:type="dxa"/>
            <w:vAlign w:val="bottom"/>
          </w:tcPr>
          <w:p>
            <w:pPr>
              <w:spacing w:after="0"/>
              <w:rPr>
                <w:sz w:val="1"/>
                <w:szCs w:val="1"/>
                <w:color w:val="auto"/>
              </w:rPr>
            </w:pPr>
          </w:p>
        </w:tc>
      </w:tr>
      <w:tr>
        <w:trPr>
          <w:trHeight w:val="196"/>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Portfolio capitalization data</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portfolio debt, including joint ventures at pro rata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6,768,994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6,977,458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8,675,076</w:t>
            </w:r>
          </w:p>
        </w:tc>
        <w:tc>
          <w:tcPr>
            <w:tcW w:w="0" w:type="dxa"/>
            <w:vAlign w:val="bottom"/>
          </w:tcPr>
          <w:p>
            <w:pPr>
              <w:spacing w:after="0"/>
              <w:rPr>
                <w:sz w:val="1"/>
                <w:szCs w:val="1"/>
                <w:color w:val="auto"/>
              </w:rPr>
            </w:pPr>
          </w:p>
        </w:tc>
      </w:tr>
      <w:tr>
        <w:trPr>
          <w:trHeight w:val="21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 capitalization</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1,777,501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3,863,362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1,716,317</w:t>
            </w:r>
          </w:p>
        </w:tc>
        <w:tc>
          <w:tcPr>
            <w:tcW w:w="0" w:type="dxa"/>
            <w:vAlign w:val="bottom"/>
          </w:tcPr>
          <w:p>
            <w:pPr>
              <w:spacing w:after="0"/>
              <w:rPr>
                <w:sz w:val="1"/>
                <w:szCs w:val="1"/>
                <w:color w:val="auto"/>
              </w:rPr>
            </w:pPr>
          </w:p>
        </w:tc>
      </w:tr>
      <w:tr>
        <w:trPr>
          <w:trHeight w:val="23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market capitalization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8,546,495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10,840,820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10,391,393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Debt as a percentage of total market capitalization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64.4 %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369570</wp:posOffset>
            </wp:positionV>
            <wp:extent cx="5254625" cy="3257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40" w:top="314" w:right="3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Changes in Total Common and Equivalent Shares/Units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Class A</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Common</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Non-Participating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Company Common</w:t>
            </w: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Convertible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Equivalent Shares/</w:t>
            </w: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Partnership Units</w:t>
            </w: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Shares</w:t>
            </w: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Preferred Units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8,677,582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214,797,057</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223,574,204</w:t>
            </w:r>
          </w:p>
        </w:tc>
        <w:tc>
          <w:tcPr>
            <w:tcW w:w="0" w:type="dxa"/>
            <w:vAlign w:val="bottom"/>
          </w:tcPr>
          <w:p>
            <w:pPr>
              <w:spacing w:after="0"/>
              <w:rPr>
                <w:sz w:val="1"/>
                <w:szCs w:val="1"/>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Conversion of partnership units to cash</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(2,901)</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163"/>
        </w:trPr>
        <w:tc>
          <w:tcPr>
            <w:tcW w:w="54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stock/partnership units from restricted stock issuance or other</w:t>
            </w:r>
          </w:p>
        </w:tc>
        <w:tc>
          <w:tcPr>
            <w:tcW w:w="1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16,467</w:t>
            </w:r>
          </w:p>
        </w:tc>
        <w:tc>
          <w:tcPr>
            <w:tcW w:w="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104,320</w:t>
            </w:r>
          </w:p>
        </w:tc>
        <w:tc>
          <w:tcPr>
            <w:tcW w:w="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120,787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or unit-based plans</w:t>
            </w:r>
          </w:p>
        </w:tc>
        <w:tc>
          <w:tcPr>
            <w:tcW w:w="1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Balance as of March 31, 2022</w:t>
            </w:r>
          </w:p>
        </w:tc>
        <w:tc>
          <w:tcPr>
            <w:tcW w:w="6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8,691,148</w:t>
            </w:r>
          </w:p>
        </w:tc>
        <w:tc>
          <w:tcPr>
            <w:tcW w:w="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214,901,377</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99,565</w:t>
            </w:r>
          </w:p>
        </w:tc>
        <w:tc>
          <w:tcPr>
            <w:tcW w:w="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223,692,090</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partnership units to cash</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(26,136)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w:t>
            </w:r>
          </w:p>
        </w:tc>
        <w:tc>
          <w:tcPr>
            <w:tcW w:w="0" w:type="dxa"/>
            <w:vAlign w:val="bottom"/>
          </w:tcPr>
          <w:p>
            <w:pPr>
              <w:spacing w:after="0"/>
              <w:rPr>
                <w:sz w:val="1"/>
                <w:szCs w:val="1"/>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Conversion of partnership units to common shares</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(34,551)</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34,551</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54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stock/partnership units from restricted stock issuance or other</w:t>
            </w:r>
          </w:p>
        </w:tc>
        <w:tc>
          <w:tcPr>
            <w:tcW w:w="6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177,414</w:t>
            </w:r>
          </w:p>
        </w:tc>
        <w:tc>
          <w:tcPr>
            <w:tcW w:w="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177,414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or unit-based plans</w:t>
            </w:r>
          </w:p>
        </w:tc>
        <w:tc>
          <w:tcPr>
            <w:tcW w:w="6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Balance as of June 30, 2022</w:t>
            </w:r>
          </w:p>
        </w:tc>
        <w:tc>
          <w:tcPr>
            <w:tcW w:w="6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8,630,461</w:t>
            </w:r>
          </w:p>
        </w:tc>
        <w:tc>
          <w:tcPr>
            <w:tcW w:w="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215,113,342</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99,565</w:t>
            </w:r>
          </w:p>
        </w:tc>
        <w:tc>
          <w:tcPr>
            <w:tcW w:w="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223,843,368</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partnership units to common shares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(11,027)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420" w:type="dxa"/>
            <w:vAlign w:val="bottom"/>
          </w:tcPr>
          <w:p>
            <w:pPr>
              <w:ind w:left="20"/>
              <w:spacing w:after="0" w:line="162" w:lineRule="exact"/>
              <w:rPr>
                <w:sz w:val="20"/>
                <w:szCs w:val="20"/>
                <w:color w:val="auto"/>
              </w:rPr>
            </w:pPr>
            <w:r>
              <w:rPr>
                <w:rFonts w:ascii="Arial" w:cs="Arial" w:eastAsia="Arial" w:hAnsi="Arial"/>
                <w:sz w:val="16"/>
                <w:szCs w:val="16"/>
                <w:color w:val="auto"/>
              </w:rPr>
              <w:t>Issuance of stock/partnership units from restricted stock issuance or other</w:t>
            </w:r>
          </w:p>
        </w:tc>
        <w:tc>
          <w:tcPr>
            <w:tcW w:w="1840" w:type="dxa"/>
            <w:vAlign w:val="bottom"/>
            <w:gridSpan w:val="2"/>
            <w:vMerge w:val="restart"/>
          </w:tcPr>
          <w:p>
            <w:pPr>
              <w:jc w:val="right"/>
              <w:spacing w:after="0"/>
              <w:rPr>
                <w:sz w:val="20"/>
                <w:szCs w:val="20"/>
                <w:color w:val="auto"/>
              </w:rPr>
            </w:pPr>
            <w:r>
              <w:rPr>
                <w:rFonts w:ascii="Arial" w:cs="Arial" w:eastAsia="Arial" w:hAnsi="Arial"/>
                <w:sz w:val="16"/>
                <w:szCs w:val="16"/>
                <w:color w:val="auto"/>
              </w:rPr>
              <w:t>1,465</w:t>
            </w:r>
          </w:p>
        </w:tc>
        <w:tc>
          <w:tcPr>
            <w:tcW w:w="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21,772</w:t>
            </w:r>
          </w:p>
        </w:tc>
        <w:tc>
          <w:tcPr>
            <w:tcW w:w="80" w:type="dxa"/>
            <w:vAlign w:val="bottom"/>
          </w:tcPr>
          <w:p>
            <w:pPr>
              <w:spacing w:after="0"/>
              <w:rPr>
                <w:sz w:val="14"/>
                <w:szCs w:val="14"/>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23,237</w:t>
            </w:r>
          </w:p>
        </w:tc>
        <w:tc>
          <w:tcPr>
            <w:tcW w:w="0" w:type="dxa"/>
            <w:vAlign w:val="bottom"/>
          </w:tcPr>
          <w:p>
            <w:pPr>
              <w:spacing w:after="0"/>
              <w:rPr>
                <w:sz w:val="1"/>
                <w:szCs w:val="1"/>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share or unit-based plans</w:t>
            </w:r>
          </w:p>
        </w:tc>
        <w:tc>
          <w:tcPr>
            <w:tcW w:w="1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2022</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8,620,899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215,146,141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223,866,605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219"/>
              <w:spacing w:after="0"/>
              <w:rPr>
                <w:sz w:val="20"/>
                <w:szCs w:val="20"/>
                <w:color w:val="auto"/>
              </w:rPr>
            </w:pPr>
            <w:r>
              <w:rPr>
                <w:rFonts w:ascii="Arial" w:cs="Arial" w:eastAsia="Arial" w:hAnsi="Arial"/>
                <w:sz w:val="16"/>
                <w:szCs w:val="16"/>
                <w:color w:val="auto"/>
              </w:rPr>
              <w:t>10</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4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314" w:right="39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8"/>
              </w:rPr>
              <w:t>For the Three</w:t>
            </w: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For the Nine Months</w:t>
            </w: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440"/>
              <w:spacing w:after="0" w:line="131" w:lineRule="exact"/>
              <w:rPr>
                <w:sz w:val="20"/>
                <w:szCs w:val="20"/>
                <w:color w:val="auto"/>
              </w:rPr>
            </w:pPr>
            <w:r>
              <w:rPr>
                <w:rFonts w:ascii="Arial" w:cs="Arial" w:eastAsia="Arial" w:hAnsi="Arial"/>
                <w:sz w:val="13"/>
                <w:szCs w:val="13"/>
                <w:b w:val="1"/>
                <w:bCs w:val="1"/>
                <w:color w:val="auto"/>
                <w:w w:val="95"/>
              </w:rPr>
              <w:t>Months Ended</w:t>
            </w:r>
          </w:p>
        </w:tc>
        <w:tc>
          <w:tcPr>
            <w:tcW w:w="1260" w:type="dxa"/>
            <w:vAlign w:val="bottom"/>
            <w:gridSpan w:val="2"/>
          </w:tcPr>
          <w:p>
            <w:pPr>
              <w:jc w:val="right"/>
              <w:ind w:right="21"/>
              <w:spacing w:after="0" w:line="131" w:lineRule="exact"/>
              <w:rPr>
                <w:sz w:val="20"/>
                <w:szCs w:val="20"/>
                <w:color w:val="auto"/>
              </w:rPr>
            </w:pPr>
            <w:r>
              <w:rPr>
                <w:rFonts w:ascii="Arial" w:cs="Arial" w:eastAsia="Arial" w:hAnsi="Arial"/>
                <w:sz w:val="13"/>
                <w:szCs w:val="13"/>
                <w:b w:val="1"/>
                <w:bCs w:val="1"/>
                <w:color w:val="auto"/>
              </w:rPr>
              <w:t>Ended September</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6"/>
              </w:rPr>
              <w:t>September 30,</w:t>
            </w:r>
          </w:p>
        </w:tc>
        <w:tc>
          <w:tcPr>
            <w:tcW w:w="300" w:type="dxa"/>
            <w:vAlign w:val="bottom"/>
          </w:tcPr>
          <w:p>
            <w:pPr>
              <w:spacing w:after="0"/>
              <w:rPr>
                <w:sz w:val="14"/>
                <w:szCs w:val="14"/>
                <w:color w:val="auto"/>
              </w:rPr>
            </w:pPr>
          </w:p>
        </w:tc>
        <w:tc>
          <w:tcPr>
            <w:tcW w:w="960" w:type="dxa"/>
            <w:vAlign w:val="bottom"/>
          </w:tcPr>
          <w:p>
            <w:pPr>
              <w:jc w:val="right"/>
              <w:ind w:right="461"/>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79"/>
        </w:trPr>
        <w:tc>
          <w:tcPr>
            <w:tcW w:w="456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6"/>
              </w:rPr>
              <w:t>2022</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340"/>
              <w:spacing w:after="0"/>
              <w:rPr>
                <w:sz w:val="20"/>
                <w:szCs w:val="20"/>
                <w:color w:val="auto"/>
              </w:rPr>
            </w:pPr>
            <w:r>
              <w:rPr>
                <w:rFonts w:ascii="Arial" w:cs="Arial" w:eastAsia="Arial" w:hAnsi="Arial"/>
                <w:sz w:val="16"/>
                <w:szCs w:val="16"/>
                <w:color w:val="auto"/>
              </w:rPr>
              <w:t>Leasing revenue</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195,594</w:t>
            </w:r>
          </w:p>
        </w:tc>
        <w:tc>
          <w:tcPr>
            <w:tcW w:w="2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587,596</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7,503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21,911</w:t>
            </w: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Management Companies' revenues</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7,607</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21,432</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210,704</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630,939</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Arial" w:cs="Arial" w:eastAsia="Arial" w:hAnsi="Arial"/>
                <w:sz w:val="16"/>
                <w:szCs w:val="16"/>
                <w:color w:val="auto"/>
              </w:rPr>
              <w:t>Expenses:</w:t>
            </w: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Shopping center and operating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74,694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217,342</w:t>
            </w:r>
          </w:p>
        </w:tc>
        <w:tc>
          <w:tcPr>
            <w:tcW w:w="0" w:type="dxa"/>
            <w:vAlign w:val="bottom"/>
          </w:tcPr>
          <w:p>
            <w:pPr>
              <w:spacing w:after="0"/>
              <w:rPr>
                <w:sz w:val="1"/>
                <w:szCs w:val="1"/>
                <w:color w:val="auto"/>
              </w:rPr>
            </w:pPr>
          </w:p>
        </w:tc>
      </w:tr>
      <w:tr>
        <w:trPr>
          <w:trHeight w:val="215"/>
        </w:trPr>
        <w:tc>
          <w:tcPr>
            <w:tcW w:w="4560" w:type="dxa"/>
            <w:vAlign w:val="bottom"/>
          </w:tcPr>
          <w:p>
            <w:pPr>
              <w:ind w:left="340"/>
              <w:spacing w:after="0"/>
              <w:rPr>
                <w:sz w:val="20"/>
                <w:szCs w:val="20"/>
                <w:color w:val="auto"/>
              </w:rPr>
            </w:pPr>
            <w:r>
              <w:rPr>
                <w:rFonts w:ascii="Arial" w:cs="Arial" w:eastAsia="Arial" w:hAnsi="Arial"/>
                <w:sz w:val="16"/>
                <w:szCs w:val="16"/>
                <w:color w:val="auto"/>
              </w:rPr>
              <w:t>Management Companies' operating expenses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16,553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51,242</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Leasing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8,704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24,463</w:t>
            </w:r>
          </w:p>
        </w:tc>
        <w:tc>
          <w:tcPr>
            <w:tcW w:w="0" w:type="dxa"/>
            <w:vAlign w:val="bottom"/>
          </w:tcPr>
          <w:p>
            <w:pPr>
              <w:spacing w:after="0"/>
              <w:rPr>
                <w:sz w:val="1"/>
                <w:szCs w:val="1"/>
                <w:color w:val="auto"/>
              </w:rPr>
            </w:pPr>
          </w:p>
        </w:tc>
      </w:tr>
      <w:tr>
        <w:trPr>
          <w:trHeight w:val="215"/>
        </w:trPr>
        <w:tc>
          <w:tcPr>
            <w:tcW w:w="4560" w:type="dxa"/>
            <w:vAlign w:val="bottom"/>
          </w:tcPr>
          <w:p>
            <w:pPr>
              <w:ind w:left="340"/>
              <w:spacing w:after="0"/>
              <w:rPr>
                <w:sz w:val="20"/>
                <w:szCs w:val="20"/>
                <w:color w:val="auto"/>
              </w:rPr>
            </w:pPr>
            <w:r>
              <w:rPr>
                <w:rFonts w:ascii="Arial" w:cs="Arial" w:eastAsia="Arial" w:hAnsi="Arial"/>
                <w:sz w:val="16"/>
                <w:szCs w:val="16"/>
                <w:color w:val="auto"/>
              </w:rPr>
              <w:t>REIT general and administrative expenses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6,779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20,082</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72,739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218,053</w:t>
            </w: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52,630</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157,680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232,099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688,862</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Equity in income (loss) of unconsolidated joint ventures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6,322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(16,422)</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on sale or write down of assets, net</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1,405</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6,767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(68,541)</w:t>
            </w: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1,691</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5"/>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the Company</w:t>
            </w:r>
          </w:p>
        </w:tc>
        <w:tc>
          <w:tcPr>
            <w:tcW w:w="2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(15,193)</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(67,757)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899"/>
              <w:spacing w:after="0"/>
              <w:rPr>
                <w:sz w:val="20"/>
                <w:szCs w:val="20"/>
                <w:color w:val="auto"/>
              </w:rPr>
            </w:pPr>
            <w:r>
              <w:rPr>
                <w:rFonts w:ascii="Arial" w:cs="Arial" w:eastAsia="Arial" w:hAnsi="Arial"/>
                <w:sz w:val="16"/>
                <w:szCs w:val="16"/>
                <w:color w:val="auto"/>
              </w:rPr>
              <w:t>11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5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100" w:top="314" w:right="109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net (a)</w:t>
      </w:r>
    </w:p>
    <w:p>
      <w:pPr>
        <w:spacing w:after="0" w:line="32" w:lineRule="exact"/>
        <w:rPr>
          <w:sz w:val="20"/>
          <w:szCs w:val="20"/>
          <w:color w:val="auto"/>
        </w:rPr>
      </w:pPr>
    </w:p>
    <w:p>
      <w:pPr>
        <w:ind w:left="20" w:right="1240"/>
        <w:spacing w:after="0" w:line="281" w:lineRule="auto"/>
        <w:rPr>
          <w:sz w:val="20"/>
          <w:szCs w:val="20"/>
          <w:color w:val="auto"/>
        </w:rPr>
      </w:pPr>
      <w:r>
        <w:rPr>
          <w:rFonts w:ascii="Arial" w:cs="Arial" w:eastAsia="Arial" w:hAnsi="Arial"/>
          <w:sz w:val="16"/>
          <w:szCs w:val="16"/>
          <w:color w:val="auto"/>
        </w:rPr>
        <w:t>Cash and cash equivalents Restricted cash</w:t>
      </w:r>
    </w:p>
    <w:p>
      <w:pPr>
        <w:spacing w:after="0" w:line="1" w:lineRule="exact"/>
        <w:rPr>
          <w:sz w:val="20"/>
          <w:szCs w:val="20"/>
          <w:color w:val="auto"/>
        </w:rPr>
      </w:pPr>
    </w:p>
    <w:p>
      <w:pPr>
        <w:ind w:left="20" w:right="800"/>
        <w:spacing w:after="0" w:line="281" w:lineRule="auto"/>
        <w:rPr>
          <w:sz w:val="20"/>
          <w:szCs w:val="20"/>
          <w:color w:val="auto"/>
        </w:rPr>
      </w:pPr>
      <w:r>
        <w:rPr>
          <w:rFonts w:ascii="Arial" w:cs="Arial" w:eastAsia="Arial" w:hAnsi="Arial"/>
          <w:sz w:val="16"/>
          <w:szCs w:val="16"/>
          <w:color w:val="auto"/>
        </w:rPr>
        <w:t>Tenant and other receivables, net Right-of-use assets, net</w:t>
      </w:r>
    </w:p>
    <w:p>
      <w:pPr>
        <w:spacing w:after="0" w:line="1" w:lineRule="exact"/>
        <w:rPr>
          <w:sz w:val="20"/>
          <w:szCs w:val="20"/>
          <w:color w:val="auto"/>
        </w:rPr>
      </w:pPr>
    </w:p>
    <w:p>
      <w:pPr>
        <w:ind w:left="20" w:right="380"/>
        <w:spacing w:after="0" w:line="281" w:lineRule="auto"/>
        <w:rPr>
          <w:sz w:val="20"/>
          <w:szCs w:val="20"/>
          <w:color w:val="auto"/>
        </w:rPr>
      </w:pPr>
      <w:r>
        <w:rPr>
          <w:rFonts w:ascii="Arial" w:cs="Arial" w:eastAsia="Arial" w:hAnsi="Arial"/>
          <w:sz w:val="16"/>
          <w:szCs w:val="16"/>
          <w:color w:val="auto"/>
        </w:rPr>
        <w:t>Deferred charges and other assets, net Due from affiliates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unconsolidated joint ventures</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6"/>
          <w:szCs w:val="16"/>
          <w:b w:val="1"/>
          <w:bCs w:val="1"/>
          <w:color w:val="auto"/>
        </w:rPr>
        <w:t>THE MACERICH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-175895</wp:posOffset>
            </wp:positionV>
            <wp:extent cx="7123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-210185</wp:posOffset>
            </wp:positionV>
            <wp:extent cx="712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 w:lineRule="exact"/>
        <w:rPr>
          <w:sz w:val="20"/>
          <w:szCs w:val="20"/>
          <w:color w:val="auto"/>
        </w:rPr>
      </w:pPr>
    </w:p>
    <w:p>
      <w:pPr>
        <w:jc w:val="center"/>
        <w:ind w:right="3680"/>
        <w:spacing w:after="0"/>
        <w:rPr>
          <w:sz w:val="20"/>
          <w:szCs w:val="20"/>
          <w:color w:val="auto"/>
        </w:rPr>
      </w:pPr>
      <w:r>
        <w:rPr>
          <w:rFonts w:ascii="Arial" w:cs="Arial" w:eastAsia="Arial" w:hAnsi="Arial"/>
          <w:sz w:val="16"/>
          <w:szCs w:val="16"/>
          <w:b w:val="1"/>
          <w:bCs w:val="1"/>
          <w:color w:val="auto"/>
        </w:rPr>
        <w:t>CONSOLIDATED BALANCE SHEET (UNAUDITED)</w:t>
      </w:r>
    </w:p>
    <w:p>
      <w:pPr>
        <w:spacing w:after="0" w:line="5" w:lineRule="exact"/>
        <w:rPr>
          <w:sz w:val="20"/>
          <w:szCs w:val="20"/>
          <w:color w:val="auto"/>
        </w:rPr>
      </w:pPr>
    </w:p>
    <w:p>
      <w:pPr>
        <w:jc w:val="center"/>
        <w:ind w:right="3680"/>
        <w:spacing w:after="0"/>
        <w:rPr>
          <w:sz w:val="20"/>
          <w:szCs w:val="20"/>
          <w:color w:val="auto"/>
        </w:rPr>
      </w:pPr>
      <w:r>
        <w:rPr>
          <w:rFonts w:ascii="Arial" w:cs="Arial" w:eastAsia="Arial" w:hAnsi="Arial"/>
          <w:sz w:val="16"/>
          <w:szCs w:val="16"/>
          <w:b w:val="1"/>
          <w:bCs w:val="1"/>
          <w:color w:val="auto"/>
        </w:rPr>
        <w:t>As of September 30, 2022</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130810</wp:posOffset>
            </wp:positionV>
            <wp:extent cx="71234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6080"/>
        <w:spacing w:after="0"/>
        <w:tabs>
          <w:tab w:leader="none" w:pos="6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6,164,795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109,991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-115570</wp:posOffset>
            </wp:positionV>
            <wp:extent cx="71234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54,984</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170,353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-115570</wp:posOffset>
            </wp:positionV>
            <wp:extent cx="71234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129,025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226,341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-115570</wp:posOffset>
            </wp:positionV>
            <wp:extent cx="71234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9,168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1,204,153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-115570</wp:posOffset>
            </wp:positionV>
            <wp:extent cx="712343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26" w:lineRule="exact"/>
        <w:rPr>
          <w:sz w:val="20"/>
          <w:szCs w:val="20"/>
          <w:color w:val="auto"/>
        </w:rPr>
      </w:pPr>
    </w:p>
    <w:p>
      <w:pPr>
        <w:jc w:val="both"/>
        <w:ind w:left="6080"/>
        <w:spacing w:after="0"/>
        <w:tabs>
          <w:tab w:leader="none" w:pos="6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8,068,810</w:t>
      </w:r>
    </w:p>
    <w:p>
      <w:pPr>
        <w:spacing w:after="0" w:line="32" w:lineRule="exact"/>
        <w:rPr>
          <w:sz w:val="20"/>
          <w:szCs w:val="20"/>
          <w:color w:val="auto"/>
        </w:rPr>
      </w:pPr>
    </w:p>
    <w:p>
      <w:pPr>
        <w:sectPr>
          <w:pgSz w:w="11900" w:h="16838" w:orient="portrait"/>
          <w:cols w:equalWidth="0" w:num="2">
            <w:col w:w="3220" w:space="500"/>
            <w:col w:w="7500"/>
          </w:cols>
          <w:pgMar w:left="320" w:top="314" w:right="359" w:bottom="1440" w:gutter="0" w:footer="0" w:header="0"/>
        </w:sectPr>
      </w:pPr>
    </w:p>
    <w:tbl>
      <w:tblPr>
        <w:tblLayout w:type="fixed"/>
        <w:tblInd w:w="0" w:type="dxa"/>
        <w:tblCellMar>
          <w:top w:w="0" w:type="dxa"/>
          <w:left w:w="0" w:type="dxa"/>
          <w:bottom w:w="0" w:type="dxa"/>
          <w:right w:w="0" w:type="dxa"/>
        </w:tblCellMar>
      </w:tblPr>
      <w:tr>
        <w:trPr>
          <w:trHeight w:val="223"/>
        </w:trPr>
        <w:tc>
          <w:tcPr>
            <w:tcW w:w="97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15"/>
        </w:trPr>
        <w:tc>
          <w:tcPr>
            <w:tcW w:w="978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notes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4,259,503</w:t>
            </w:r>
          </w:p>
        </w:tc>
      </w:tr>
      <w:tr>
        <w:trPr>
          <w:trHeight w:val="215"/>
        </w:trPr>
        <w:tc>
          <w:tcPr>
            <w:tcW w:w="9780" w:type="dxa"/>
            <w:vAlign w:val="bottom"/>
          </w:tcPr>
          <w:p>
            <w:pPr>
              <w:ind w:left="20"/>
              <w:spacing w:after="0"/>
              <w:rPr>
                <w:sz w:val="20"/>
                <w:szCs w:val="20"/>
                <w:color w:val="auto"/>
              </w:rPr>
            </w:pPr>
            <w:r>
              <w:rPr>
                <w:rFonts w:ascii="Arial" w:cs="Arial" w:eastAsia="Arial" w:hAnsi="Arial"/>
                <w:sz w:val="16"/>
                <w:szCs w:val="16"/>
                <w:color w:val="auto"/>
              </w:rPr>
              <w:t>Bank and other notes payable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91,541</w:t>
            </w: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65,929</w:t>
            </w:r>
          </w:p>
        </w:tc>
      </w:tr>
      <w:tr>
        <w:trPr>
          <w:trHeight w:val="215"/>
        </w:trPr>
        <w:tc>
          <w:tcPr>
            <w:tcW w:w="978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97,679</w:t>
            </w: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315,393</w:t>
            </w:r>
          </w:p>
        </w:tc>
      </w:tr>
      <w:tr>
        <w:trPr>
          <w:trHeight w:val="215"/>
        </w:trPr>
        <w:tc>
          <w:tcPr>
            <w:tcW w:w="9780" w:type="dxa"/>
            <w:vAlign w:val="bottom"/>
          </w:tcPr>
          <w:p>
            <w:pPr>
              <w:ind w:left="20"/>
              <w:spacing w:after="0"/>
              <w:rPr>
                <w:sz w:val="20"/>
                <w:szCs w:val="20"/>
                <w:color w:val="auto"/>
              </w:rPr>
            </w:pPr>
            <w:r>
              <w:rPr>
                <w:rFonts w:ascii="Arial" w:cs="Arial" w:eastAsia="Arial" w:hAnsi="Arial"/>
                <w:sz w:val="16"/>
                <w:szCs w:val="16"/>
                <w:color w:val="auto"/>
              </w:rPr>
              <w:t>Distributions in excess of investments in unconsolidated joint ventures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126,795</w:t>
            </w: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arrangement obligation</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133,825</w:t>
            </w:r>
          </w:p>
        </w:tc>
      </w:tr>
      <w:tr>
        <w:trPr>
          <w:trHeight w:val="209"/>
        </w:trPr>
        <w:tc>
          <w:tcPr>
            <w:tcW w:w="978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5,090,665</w:t>
            </w:r>
          </w:p>
        </w:tc>
      </w:tr>
      <w:tr>
        <w:trPr>
          <w:trHeight w:val="197"/>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9780" w:type="dxa"/>
            <w:vAlign w:val="bottom"/>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9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9780" w:type="dxa"/>
            <w:vAlign w:val="bottom"/>
          </w:tcPr>
          <w:p>
            <w:pPr>
              <w:ind w:left="68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2,150</w:t>
            </w:r>
          </w:p>
        </w:tc>
      </w:tr>
      <w:tr>
        <w:trPr>
          <w:trHeight w:val="217"/>
        </w:trPr>
        <w:tc>
          <w:tcPr>
            <w:tcW w:w="9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5,505,307</w:t>
            </w:r>
          </w:p>
        </w:tc>
      </w:tr>
      <w:tr>
        <w:trPr>
          <w:trHeight w:val="215"/>
        </w:trPr>
        <w:tc>
          <w:tcPr>
            <w:tcW w:w="9780" w:type="dxa"/>
            <w:vAlign w:val="bottom"/>
          </w:tcPr>
          <w:p>
            <w:pPr>
              <w:ind w:left="68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(2,608,239)</w:t>
            </w:r>
          </w:p>
        </w:tc>
      </w:tr>
      <w:tr>
        <w:trPr>
          <w:trHeight w:val="217"/>
        </w:trPr>
        <w:tc>
          <w:tcPr>
            <w:tcW w:w="9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9780" w:type="dxa"/>
            <w:vAlign w:val="bottom"/>
          </w:tcPr>
          <w:p>
            <w:pPr>
              <w:ind w:left="1000"/>
              <w:spacing w:after="0"/>
              <w:rPr>
                <w:sz w:val="20"/>
                <w:szCs w:val="20"/>
                <w:color w:val="auto"/>
              </w:rPr>
            </w:pPr>
            <w:r>
              <w:rPr>
                <w:rFonts w:ascii="Arial" w:cs="Arial" w:eastAsia="Arial" w:hAnsi="Arial"/>
                <w:sz w:val="16"/>
                <w:szCs w:val="16"/>
                <w:color w:val="auto"/>
              </w:rPr>
              <w:t>Total stockholders' equity</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2,899,231</w:t>
            </w:r>
          </w:p>
        </w:tc>
      </w:tr>
      <w:tr>
        <w:trPr>
          <w:trHeight w:val="217"/>
        </w:trPr>
        <w:tc>
          <w:tcPr>
            <w:tcW w:w="9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78,914</w:t>
            </w:r>
          </w:p>
        </w:tc>
      </w:tr>
      <w:tr>
        <w:trPr>
          <w:trHeight w:val="209"/>
        </w:trPr>
        <w:tc>
          <w:tcPr>
            <w:tcW w:w="978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2,978,145</w:t>
            </w:r>
          </w:p>
        </w:tc>
      </w:tr>
      <w:tr>
        <w:trPr>
          <w:trHeight w:val="235"/>
        </w:trPr>
        <w:tc>
          <w:tcPr>
            <w:tcW w:w="97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8,068,810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(a)</w:t>
        <w:tab/>
        <w:t>Includes construction in progress of $219,183.</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20" w:top="314" w:right="359" w:bottom="1440" w:gutter="0" w:footer="0" w:header="0"/>
          <w:type w:val="continuous"/>
        </w:sectPr>
      </w:pPr>
    </w:p>
    <w:bookmarkStart w:id="18" w:name="page19"/>
    <w:bookmarkEnd w:id="18"/>
    <w:p>
      <w:pPr>
        <w:jc w:val="center"/>
        <w:ind w:right="-4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NON-GAAP PRO RATA FINANCIAL INFORMATION (UNAUDITED)</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(DOLLARS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7"/>
              </w:rPr>
              <w:t>For the Three Months Ended September 30,</w:t>
            </w:r>
          </w:p>
        </w:tc>
        <w:tc>
          <w:tcPr>
            <w:tcW w:w="120" w:type="dxa"/>
            <w:vAlign w:val="bottom"/>
          </w:tcPr>
          <w:p>
            <w:pPr>
              <w:spacing w:after="0"/>
              <w:rPr>
                <w:sz w:val="13"/>
                <w:szCs w:val="13"/>
                <w:color w:val="auto"/>
              </w:rPr>
            </w:pPr>
          </w:p>
        </w:tc>
        <w:tc>
          <w:tcPr>
            <w:tcW w:w="274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For the Nine Months Ended</w:t>
            </w:r>
          </w:p>
        </w:tc>
      </w:tr>
      <w:tr>
        <w:trPr>
          <w:trHeight w:val="182"/>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2022</w:t>
            </w:r>
          </w:p>
        </w:tc>
        <w:tc>
          <w:tcPr>
            <w:tcW w:w="11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3"/>
                <w:szCs w:val="13"/>
                <w:b w:val="1"/>
                <w:bCs w:val="1"/>
                <w:color w:val="auto"/>
              </w:rPr>
              <w:t>September 30, 2022</w:t>
            </w:r>
          </w:p>
        </w:tc>
      </w:tr>
      <w:tr>
        <w:trPr>
          <w:trHeight w:val="158"/>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Noncontrolling</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Noncontrolling</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Interests of</w:t>
            </w:r>
          </w:p>
        </w:tc>
        <w:tc>
          <w:tcPr>
            <w:tcW w:w="17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7"/>
              </w:rPr>
              <w:t>Company's Share of</w:t>
            </w:r>
          </w:p>
        </w:tc>
        <w:tc>
          <w:tcPr>
            <w:tcW w:w="120" w:type="dxa"/>
            <w:vAlign w:val="bottom"/>
          </w:tcPr>
          <w:p>
            <w:pPr>
              <w:spacing w:after="0"/>
              <w:rPr>
                <w:sz w:val="12"/>
                <w:szCs w:val="1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Interests of</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Company's Share of</w:t>
            </w: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Consolidated</w:t>
            </w: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rPr>
              <w:t>Unconsolidated Joint</w:t>
            </w:r>
          </w:p>
        </w:tc>
        <w:tc>
          <w:tcPr>
            <w:tcW w:w="1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Consolidated</w:t>
            </w: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Unconsolidated Joint</w:t>
            </w:r>
          </w:p>
        </w:tc>
      </w:tr>
      <w:tr>
        <w:trPr>
          <w:trHeight w:val="185"/>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Joint Ventures (a)</w:t>
            </w:r>
          </w:p>
        </w:tc>
        <w:tc>
          <w:tcPr>
            <w:tcW w:w="24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Ventures</w:t>
            </w:r>
          </w:p>
        </w:tc>
        <w:tc>
          <w:tcPr>
            <w:tcW w:w="12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Joint Ventures (a)</w:t>
            </w:r>
          </w:p>
        </w:tc>
        <w:tc>
          <w:tcPr>
            <w:tcW w:w="260" w:type="dxa"/>
            <w:vAlign w:val="bottom"/>
          </w:tcPr>
          <w:p>
            <w:pPr>
              <w:spacing w:after="0"/>
              <w:rPr>
                <w:sz w:val="16"/>
                <w:szCs w:val="16"/>
                <w:color w:val="auto"/>
              </w:rPr>
            </w:pPr>
          </w:p>
        </w:tc>
        <w:tc>
          <w:tcPr>
            <w:tcW w:w="1100" w:type="dxa"/>
            <w:vAlign w:val="bottom"/>
          </w:tcPr>
          <w:p>
            <w:pPr>
              <w:jc w:val="right"/>
              <w:ind w:right="340"/>
              <w:spacing w:after="0"/>
              <w:rPr>
                <w:sz w:val="20"/>
                <w:szCs w:val="20"/>
                <w:color w:val="auto"/>
              </w:rPr>
            </w:pPr>
            <w:r>
              <w:rPr>
                <w:rFonts w:ascii="Arial" w:cs="Arial" w:eastAsia="Arial" w:hAnsi="Arial"/>
                <w:sz w:val="13"/>
                <w:szCs w:val="13"/>
                <w:b w:val="1"/>
                <w:bCs w:val="1"/>
                <w:color w:val="auto"/>
              </w:rPr>
              <w:t>Ventures</w:t>
            </w:r>
          </w:p>
        </w:tc>
      </w:tr>
      <w:tr>
        <w:trPr>
          <w:trHeight w:val="22"/>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Leasing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(10,469)</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105,311</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(33,758)</w:t>
            </w:r>
          </w:p>
        </w:tc>
        <w:tc>
          <w:tcPr>
            <w:tcW w:w="1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316,609</w:t>
            </w: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r>
      <w:tr>
        <w:trPr>
          <w:trHeight w:val="20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103,411</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(37,055)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318,287</w:t>
            </w:r>
          </w:p>
        </w:tc>
      </w:tr>
      <w:tr>
        <w:trPr>
          <w:trHeight w:val="19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Shopping center and operating expenses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34,888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101,537</w:t>
            </w: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Leasing expenses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44,028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133,591</w:t>
            </w: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26,228</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76,866</w:t>
            </w:r>
          </w:p>
        </w:tc>
      </w:tr>
      <w:tr>
        <w:trPr>
          <w:trHeight w:val="209"/>
        </w:trPr>
        <w:tc>
          <w:tcPr>
            <w:tcW w:w="468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106,011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(40,926)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314,649</w:t>
            </w: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(income) loss of unconsolidated joint ventures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w:t>
            </w: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Gain/loss on sale or write down of assets, net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8,922</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(20,060)</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the Company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Company’s partners’ share of consolidated joint ventures.</w:t>
      </w: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760"/>
          </w:cols>
          <w:pgMar w:left="320" w:top="314" w:right="8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PRO RATA FINANCIAL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3"/>
                <w:szCs w:val="13"/>
                <w:b w:val="1"/>
                <w:bCs w:val="1"/>
                <w:color w:val="auto"/>
              </w:rPr>
              <w:t>As of September 30, 2022</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Noncontrolling</w:t>
            </w:r>
          </w:p>
        </w:tc>
        <w:tc>
          <w:tcPr>
            <w:tcW w:w="100" w:type="dxa"/>
            <w:vAlign w:val="bottom"/>
          </w:tcPr>
          <w:p>
            <w:pPr>
              <w:spacing w:after="0"/>
              <w:rPr>
                <w:sz w:val="10"/>
                <w:szCs w:val="10"/>
                <w:color w:val="auto"/>
              </w:rPr>
            </w:pPr>
          </w:p>
        </w:tc>
        <w:tc>
          <w:tcPr>
            <w:tcW w:w="1340" w:type="dxa"/>
            <w:vAlign w:val="bottom"/>
            <w:vMerge w:val="restart"/>
          </w:tcPr>
          <w:p>
            <w:pPr>
              <w:jc w:val="center"/>
              <w:ind w:right="41"/>
              <w:spacing w:after="0"/>
              <w:rPr>
                <w:sz w:val="20"/>
                <w:szCs w:val="20"/>
                <w:color w:val="auto"/>
              </w:rPr>
            </w:pPr>
            <w:r>
              <w:rPr>
                <w:rFonts w:ascii="Arial" w:cs="Arial" w:eastAsia="Arial" w:hAnsi="Arial"/>
                <w:sz w:val="13"/>
                <w:szCs w:val="13"/>
                <w:b w:val="1"/>
                <w:bCs w:val="1"/>
                <w:color w:val="auto"/>
                <w:w w:val="97"/>
              </w:rPr>
              <w:t>Company's Share of</w:t>
            </w:r>
          </w:p>
        </w:tc>
        <w:tc>
          <w:tcPr>
            <w:tcW w:w="0" w:type="dxa"/>
            <w:vAlign w:val="bottom"/>
          </w:tcPr>
          <w:p>
            <w:pPr>
              <w:spacing w:after="0"/>
              <w:rPr>
                <w:sz w:val="1"/>
                <w:szCs w:val="1"/>
                <w:color w:val="auto"/>
              </w:rPr>
            </w:pPr>
          </w:p>
        </w:tc>
      </w:tr>
      <w:tr>
        <w:trPr>
          <w:trHeight w:val="122"/>
        </w:trPr>
        <w:tc>
          <w:tcPr>
            <w:tcW w:w="8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Interests of</w:t>
            </w: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14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Unconsolidated Joint</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Joint Ventures (a)</w:t>
            </w:r>
          </w:p>
        </w:tc>
        <w:tc>
          <w:tcPr>
            <w:tcW w:w="100" w:type="dxa"/>
            <w:vAlign w:val="bottom"/>
          </w:tcPr>
          <w:p>
            <w:pPr>
              <w:spacing w:after="0"/>
              <w:rPr>
                <w:sz w:val="15"/>
                <w:szCs w:val="15"/>
                <w:color w:val="auto"/>
              </w:rPr>
            </w:pPr>
          </w:p>
        </w:tc>
        <w:tc>
          <w:tcPr>
            <w:tcW w:w="1340" w:type="dxa"/>
            <w:vAlign w:val="bottom"/>
          </w:tcPr>
          <w:p>
            <w:pPr>
              <w:jc w:val="center"/>
              <w:ind w:right="41"/>
              <w:spacing w:after="0"/>
              <w:rPr>
                <w:sz w:val="20"/>
                <w:szCs w:val="20"/>
                <w:color w:val="auto"/>
              </w:rPr>
            </w:pPr>
            <w:r>
              <w:rPr>
                <w:rFonts w:ascii="Arial" w:cs="Arial" w:eastAsia="Arial" w:hAnsi="Arial"/>
                <w:sz w:val="13"/>
                <w:szCs w:val="13"/>
                <w:b w:val="1"/>
                <w:bCs w:val="1"/>
                <w:color w:val="auto"/>
                <w:w w:val="96"/>
              </w:rPr>
              <w:t>Ventures</w:t>
            </w:r>
          </w:p>
        </w:tc>
        <w:tc>
          <w:tcPr>
            <w:tcW w:w="0" w:type="dxa"/>
            <w:vAlign w:val="bottom"/>
          </w:tcPr>
          <w:p>
            <w:pPr>
              <w:spacing w:after="0"/>
              <w:rPr>
                <w:sz w:val="1"/>
                <w:szCs w:val="1"/>
                <w:color w:val="auto"/>
              </w:rPr>
            </w:pPr>
          </w:p>
        </w:tc>
      </w:tr>
      <w:tr>
        <w:trPr>
          <w:trHeight w:val="198"/>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Property, net (b)</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(462,830)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3,827,522</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97,409</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9,689</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and other receivables, net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82,274</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Right-of-use assets,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69,326</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 net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47,931</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Due from affiliates</w:t>
            </w:r>
          </w:p>
        </w:tc>
        <w:tc>
          <w:tcPr>
            <w:tcW w:w="16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1,075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(4,562)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 at equity</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(1,204,153)</w:t>
            </w:r>
          </w:p>
        </w:tc>
        <w:tc>
          <w:tcPr>
            <w:tcW w:w="0" w:type="dxa"/>
            <w:vAlign w:val="bottom"/>
          </w:tcPr>
          <w:p>
            <w:pPr>
              <w:spacing w:after="0"/>
              <w:rPr>
                <w:sz w:val="1"/>
                <w:szCs w:val="1"/>
                <w:color w:val="auto"/>
              </w:rPr>
            </w:pPr>
          </w:p>
        </w:tc>
      </w:tr>
      <w:tr>
        <w:trPr>
          <w:trHeight w:val="210"/>
        </w:trPr>
        <w:tc>
          <w:tcPr>
            <w:tcW w:w="824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(515,818)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2,925,436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2,833,370</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53,952</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68,083</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96,826</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in excess of investments in unconsolidated joint ventures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(126,795)</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arrangement obligation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(133,825)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(607,509)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2,925,436</w:t>
            </w: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37,177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91,691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66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(515,818)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2,925,436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Company's partners' share of consolidated joint ventures.</w:t>
      </w:r>
    </w:p>
    <w:p>
      <w:pPr>
        <w:spacing w:after="0" w:line="230" w:lineRule="exact"/>
        <w:rPr>
          <w:rFonts w:ascii="Arial" w:cs="Arial" w:eastAsia="Arial" w:hAnsi="Arial"/>
          <w:sz w:val="14"/>
          <w:szCs w:val="14"/>
          <w:color w:val="auto"/>
        </w:rPr>
      </w:pPr>
    </w:p>
    <w:p>
      <w:pPr>
        <w:ind w:left="420" w:right="420" w:hanging="412"/>
        <w:spacing w:after="0" w:line="285" w:lineRule="auto"/>
        <w:tabs>
          <w:tab w:leader="none" w:pos="40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includes $8,496 of construction in progress relating to the Company's partners' share from consolidated joint ventures and $276,029 of construction in progress relating to the Company's share from unconsolidated joint ventures.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31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NON-GAAP PRO RATA SCHEDULE OF LEASING REVENUE (UNAUDITED)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96"/>
              </w:rPr>
              <w:t>For the Three Months Ended September 30, 2022</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5"/>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Company's Share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Controlling</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Company's</w:t>
            </w: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of Unconsolidated</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Company's Total</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8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Interests (a)</w:t>
            </w:r>
          </w:p>
        </w:tc>
        <w:tc>
          <w:tcPr>
            <w:tcW w:w="1320" w:type="dxa"/>
            <w:vAlign w:val="bottom"/>
            <w:gridSpan w:val="3"/>
          </w:tcPr>
          <w:p>
            <w:pPr>
              <w:ind w:left="20"/>
              <w:spacing w:after="0"/>
              <w:rPr>
                <w:sz w:val="20"/>
                <w:szCs w:val="20"/>
                <w:color w:val="auto"/>
              </w:rPr>
            </w:pPr>
            <w:r>
              <w:rPr>
                <w:rFonts w:ascii="Arial" w:cs="Arial" w:eastAsia="Arial" w:hAnsi="Arial"/>
                <w:sz w:val="13"/>
                <w:szCs w:val="13"/>
                <w:b w:val="1"/>
                <w:bCs w:val="1"/>
                <w:color w:val="auto"/>
              </w:rPr>
              <w:t>Consolidated Share</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Joint Ventures</w:t>
            </w:r>
          </w:p>
        </w:tc>
        <w:tc>
          <w:tcPr>
            <w:tcW w:w="280" w:type="dxa"/>
            <w:vAlign w:val="bottom"/>
          </w:tcPr>
          <w:p>
            <w:pPr>
              <w:spacing w:after="0"/>
              <w:rPr>
                <w:sz w:val="17"/>
                <w:szCs w:val="17"/>
                <w:color w:val="auto"/>
              </w:rPr>
            </w:pPr>
          </w:p>
        </w:tc>
        <w:tc>
          <w:tcPr>
            <w:tcW w:w="940" w:type="dxa"/>
            <w:vAlign w:val="bottom"/>
          </w:tcPr>
          <w:p>
            <w:pPr>
              <w:jc w:val="center"/>
              <w:ind w:right="202"/>
              <w:spacing w:after="0"/>
              <w:rPr>
                <w:sz w:val="20"/>
                <w:szCs w:val="20"/>
                <w:color w:val="auto"/>
              </w:rPr>
            </w:pPr>
            <w:r>
              <w:rPr>
                <w:rFonts w:ascii="Arial" w:cs="Arial" w:eastAsia="Arial" w:hAnsi="Arial"/>
                <w:sz w:val="13"/>
                <w:szCs w:val="13"/>
                <w:b w:val="1"/>
                <w:bCs w:val="1"/>
                <w:color w:val="auto"/>
                <w:w w:val="93"/>
              </w:rPr>
              <w:t>Share</w:t>
            </w:r>
          </w:p>
        </w:tc>
      </w:tr>
      <w:tr>
        <w:trPr>
          <w:trHeight w:val="20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5"/>
        </w:trPr>
        <w:tc>
          <w:tcPr>
            <w:tcW w:w="4740" w:type="dxa"/>
            <w:vAlign w:val="bottom"/>
          </w:tcPr>
          <w:p>
            <w:pPr>
              <w:ind w:left="440"/>
              <w:spacing w:after="0"/>
              <w:rPr>
                <w:sz w:val="20"/>
                <w:szCs w:val="20"/>
                <w:color w:val="auto"/>
              </w:rPr>
            </w:pPr>
            <w:r>
              <w:rPr>
                <w:rFonts w:ascii="Arial" w:cs="Arial" w:eastAsia="Arial" w:hAnsi="Arial"/>
                <w:sz w:val="16"/>
                <w:szCs w:val="16"/>
                <w:color w:val="auto"/>
              </w:rPr>
              <w:t>Minimum rents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121,228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(6,432)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114,796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70,275</w:t>
            </w:r>
          </w:p>
        </w:tc>
        <w:tc>
          <w:tcPr>
            <w:tcW w:w="80" w:type="dxa"/>
            <w:vAlign w:val="bottom"/>
          </w:tcPr>
          <w:p>
            <w:pPr>
              <w:spacing w:after="0"/>
              <w:rPr>
                <w:sz w:val="18"/>
                <w:szCs w:val="18"/>
                <w:color w:val="auto"/>
              </w:rPr>
            </w:pPr>
          </w:p>
        </w:tc>
        <w:tc>
          <w:tcPr>
            <w:tcW w:w="280" w:type="dxa"/>
            <w:vAlign w:val="bottom"/>
          </w:tcPr>
          <w:p>
            <w:pPr>
              <w:jc w:val="right"/>
              <w:ind w:right="105"/>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185,071</w:t>
            </w: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Percentage rents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15,897</w:t>
            </w:r>
          </w:p>
        </w:tc>
      </w:tr>
      <w:tr>
        <w:trPr>
          <w:trHeight w:val="215"/>
        </w:trPr>
        <w:tc>
          <w:tcPr>
            <w:tcW w:w="4740" w:type="dxa"/>
            <w:vAlign w:val="bottom"/>
          </w:tcPr>
          <w:p>
            <w:pPr>
              <w:ind w:left="440"/>
              <w:spacing w:after="0"/>
              <w:rPr>
                <w:sz w:val="20"/>
                <w:szCs w:val="20"/>
                <w:color w:val="auto"/>
              </w:rPr>
            </w:pPr>
            <w:r>
              <w:rPr>
                <w:rFonts w:ascii="Arial" w:cs="Arial" w:eastAsia="Arial" w:hAnsi="Arial"/>
                <w:sz w:val="16"/>
                <w:szCs w:val="16"/>
                <w:color w:val="auto"/>
              </w:rPr>
              <w:t>Tenant recoveries</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56,714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53,827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26,242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80,069</w:t>
            </w: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w:t>
            </w:r>
          </w:p>
        </w:tc>
      </w:tr>
      <w:tr>
        <w:trPr>
          <w:trHeight w:val="215"/>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Bad debt income (expense)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r>
      <w:tr>
        <w:trPr>
          <w:trHeight w:val="235"/>
        </w:trPr>
        <w:tc>
          <w:tcPr>
            <w:tcW w:w="4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leasing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195,594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185,125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105,311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290,436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34"/>
        </w:trPr>
        <w:tc>
          <w:tcPr>
            <w:tcW w:w="4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96"/>
              </w:rPr>
              <w:t>For the Nine Months Ended September 30, 2022</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Company's Share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Controlling</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Company's</w:t>
            </w: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of Unconsolidated</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Company's Total</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8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Interests (a)</w:t>
            </w:r>
          </w:p>
        </w:tc>
        <w:tc>
          <w:tcPr>
            <w:tcW w:w="1320" w:type="dxa"/>
            <w:vAlign w:val="bottom"/>
            <w:gridSpan w:val="3"/>
          </w:tcPr>
          <w:p>
            <w:pPr>
              <w:ind w:left="20"/>
              <w:spacing w:after="0"/>
              <w:rPr>
                <w:sz w:val="20"/>
                <w:szCs w:val="20"/>
                <w:color w:val="auto"/>
              </w:rPr>
            </w:pPr>
            <w:r>
              <w:rPr>
                <w:rFonts w:ascii="Arial" w:cs="Arial" w:eastAsia="Arial" w:hAnsi="Arial"/>
                <w:sz w:val="13"/>
                <w:szCs w:val="13"/>
                <w:b w:val="1"/>
                <w:bCs w:val="1"/>
                <w:color w:val="auto"/>
              </w:rPr>
              <w:t>Consolidated Share</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Joint Ventures</w:t>
            </w:r>
          </w:p>
        </w:tc>
        <w:tc>
          <w:tcPr>
            <w:tcW w:w="280" w:type="dxa"/>
            <w:vAlign w:val="bottom"/>
          </w:tcPr>
          <w:p>
            <w:pPr>
              <w:spacing w:after="0"/>
              <w:rPr>
                <w:sz w:val="17"/>
                <w:szCs w:val="17"/>
                <w:color w:val="auto"/>
              </w:rPr>
            </w:pPr>
          </w:p>
        </w:tc>
        <w:tc>
          <w:tcPr>
            <w:tcW w:w="940" w:type="dxa"/>
            <w:vAlign w:val="bottom"/>
          </w:tcPr>
          <w:p>
            <w:pPr>
              <w:jc w:val="center"/>
              <w:ind w:right="202"/>
              <w:spacing w:after="0"/>
              <w:rPr>
                <w:sz w:val="20"/>
                <w:szCs w:val="20"/>
                <w:color w:val="auto"/>
              </w:rPr>
            </w:pPr>
            <w:r>
              <w:rPr>
                <w:rFonts w:ascii="Arial" w:cs="Arial" w:eastAsia="Arial" w:hAnsi="Arial"/>
                <w:sz w:val="13"/>
                <w:szCs w:val="13"/>
                <w:b w:val="1"/>
                <w:bCs w:val="1"/>
                <w:color w:val="auto"/>
                <w:w w:val="93"/>
              </w:rPr>
              <w:t>Share</w:t>
            </w:r>
          </w:p>
        </w:tc>
      </w:tr>
      <w:tr>
        <w:trPr>
          <w:trHeight w:val="20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5"/>
        </w:trPr>
        <w:tc>
          <w:tcPr>
            <w:tcW w:w="4740" w:type="dxa"/>
            <w:vAlign w:val="bottom"/>
          </w:tcPr>
          <w:p>
            <w:pPr>
              <w:ind w:left="440"/>
              <w:spacing w:after="0"/>
              <w:rPr>
                <w:sz w:val="20"/>
                <w:szCs w:val="20"/>
                <w:color w:val="auto"/>
              </w:rPr>
            </w:pPr>
            <w:r>
              <w:rPr>
                <w:rFonts w:ascii="Arial" w:cs="Arial" w:eastAsia="Arial" w:hAnsi="Arial"/>
                <w:sz w:val="16"/>
                <w:szCs w:val="16"/>
                <w:color w:val="auto"/>
              </w:rPr>
              <w:t>Minimum rents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371,844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(20,764)</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351,080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218,765</w:t>
            </w:r>
          </w:p>
        </w:tc>
        <w:tc>
          <w:tcPr>
            <w:tcW w:w="80" w:type="dxa"/>
            <w:vAlign w:val="bottom"/>
          </w:tcPr>
          <w:p>
            <w:pPr>
              <w:spacing w:after="0"/>
              <w:rPr>
                <w:sz w:val="18"/>
                <w:szCs w:val="18"/>
                <w:color w:val="auto"/>
              </w:rPr>
            </w:pPr>
          </w:p>
        </w:tc>
        <w:tc>
          <w:tcPr>
            <w:tcW w:w="280" w:type="dxa"/>
            <w:vAlign w:val="bottom"/>
          </w:tcPr>
          <w:p>
            <w:pPr>
              <w:jc w:val="right"/>
              <w:ind w:right="105"/>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569,845</w:t>
            </w: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Percentage rents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38,194</w:t>
            </w:r>
          </w:p>
        </w:tc>
      </w:tr>
      <w:tr>
        <w:trPr>
          <w:trHeight w:val="215"/>
        </w:trPr>
        <w:tc>
          <w:tcPr>
            <w:tcW w:w="4740" w:type="dxa"/>
            <w:vAlign w:val="bottom"/>
          </w:tcPr>
          <w:p>
            <w:pPr>
              <w:ind w:left="440"/>
              <w:spacing w:after="0"/>
              <w:rPr>
                <w:sz w:val="20"/>
                <w:szCs w:val="20"/>
                <w:color w:val="auto"/>
              </w:rPr>
            </w:pPr>
            <w:r>
              <w:rPr>
                <w:rFonts w:ascii="Arial" w:cs="Arial" w:eastAsia="Arial" w:hAnsi="Arial"/>
                <w:sz w:val="16"/>
                <w:szCs w:val="16"/>
                <w:color w:val="auto"/>
              </w:rPr>
              <w:t>Tenant recoveries</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165,750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156,416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75,682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232,098</w:t>
            </w: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21,391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28,605</w:t>
            </w:r>
          </w:p>
        </w:tc>
      </w:tr>
      <w:tr>
        <w:trPr>
          <w:trHeight w:val="215"/>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Bad debt income (expense)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302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1,887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w:t>
            </w:r>
          </w:p>
        </w:tc>
      </w:tr>
      <w:tr>
        <w:trPr>
          <w:trHeight w:val="235"/>
        </w:trPr>
        <w:tc>
          <w:tcPr>
            <w:tcW w:w="4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leasing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587,596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553,838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316,609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870,447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Company’s partners’ share of consolidated joint ventures.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314" w:right="3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140335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2022 Earnings Guidance (unaudited)</w:t>
      </w:r>
    </w:p>
    <w:p>
      <w:pPr>
        <w:spacing w:after="0" w:line="200" w:lineRule="exact"/>
        <w:rPr>
          <w:sz w:val="20"/>
          <w:szCs w:val="20"/>
          <w:color w:val="auto"/>
        </w:rPr>
      </w:pPr>
    </w:p>
    <w:p>
      <w:pPr>
        <w:spacing w:after="0" w:line="343" w:lineRule="exact"/>
        <w:rPr>
          <w:sz w:val="20"/>
          <w:szCs w:val="20"/>
          <w:color w:val="auto"/>
        </w:rPr>
      </w:pPr>
    </w:p>
    <w:p>
      <w:pPr>
        <w:ind w:firstLine="486"/>
        <w:spacing w:after="0" w:line="248" w:lineRule="auto"/>
        <w:rPr>
          <w:sz w:val="20"/>
          <w:szCs w:val="20"/>
          <w:color w:val="auto"/>
        </w:rPr>
      </w:pPr>
      <w:r>
        <w:rPr>
          <w:rFonts w:ascii="Arial" w:cs="Arial" w:eastAsia="Arial" w:hAnsi="Arial"/>
          <w:sz w:val="16"/>
          <w:szCs w:val="16"/>
          <w:color w:val="auto"/>
        </w:rPr>
        <w:t>At this time, we are narrowing the ranges of our 2022 guidance for both estimated EPS-diluted and FFO per share-diluted, excluding financing expense in connection with Chandler Freehold. We are also decreasing the guidance range midpoint for both estimated 2022 EPS-diluted and estimated 2022 FFO per share-diluted, excluding financing expense in connection with Chandler Freehold. The following is a reconciliation of estimated EPS-diluted to FFO per share-diluted, excluding financing expense in connection with Chandler Freehold:</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9240" w:type="dxa"/>
            <w:vAlign w:val="bottom"/>
          </w:tcPr>
          <w:p>
            <w:pPr>
              <w:spacing w:after="0"/>
              <w:rPr>
                <w:sz w:val="13"/>
                <w:szCs w:val="13"/>
                <w:color w:val="auto"/>
              </w:rPr>
            </w:pPr>
          </w:p>
        </w:tc>
        <w:tc>
          <w:tcPr>
            <w:tcW w:w="1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Fiscal Year 2022</w:t>
            </w:r>
          </w:p>
        </w:tc>
      </w:tr>
      <w:tr>
        <w:trPr>
          <w:trHeight w:val="172"/>
        </w:trPr>
        <w:tc>
          <w:tcPr>
            <w:tcW w:w="9240" w:type="dxa"/>
            <w:vAlign w:val="bottom"/>
          </w:tcPr>
          <w:p>
            <w:pPr>
              <w:spacing w:after="0"/>
              <w:rPr>
                <w:sz w:val="14"/>
                <w:szCs w:val="14"/>
                <w:color w:val="auto"/>
              </w:rPr>
            </w:pPr>
          </w:p>
        </w:tc>
        <w:tc>
          <w:tcPr>
            <w:tcW w:w="1260" w:type="dxa"/>
            <w:vAlign w:val="bottom"/>
            <w:gridSpan w:val="2"/>
          </w:tcPr>
          <w:p>
            <w:pPr>
              <w:jc w:val="center"/>
              <w:ind w:left="524"/>
              <w:spacing w:after="0"/>
              <w:rPr>
                <w:sz w:val="20"/>
                <w:szCs w:val="20"/>
                <w:color w:val="auto"/>
              </w:rPr>
            </w:pPr>
            <w:r>
              <w:rPr>
                <w:rFonts w:ascii="Arial" w:cs="Arial" w:eastAsia="Arial" w:hAnsi="Arial"/>
                <w:sz w:val="13"/>
                <w:szCs w:val="13"/>
                <w:b w:val="1"/>
                <w:bCs w:val="1"/>
                <w:color w:val="auto"/>
                <w:w w:val="97"/>
              </w:rPr>
              <w:t>Guidance</w:t>
            </w:r>
          </w:p>
        </w:tc>
        <w:tc>
          <w:tcPr>
            <w:tcW w:w="600" w:type="dxa"/>
            <w:vAlign w:val="bottom"/>
          </w:tcPr>
          <w:p>
            <w:pPr>
              <w:spacing w:after="0"/>
              <w:rPr>
                <w:sz w:val="14"/>
                <w:szCs w:val="14"/>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9"/>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EPS-diluted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42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15"/>
        </w:trPr>
        <w:tc>
          <w:tcPr>
            <w:tcW w:w="9240" w:type="dxa"/>
            <w:vAlign w:val="bottom"/>
          </w:tcPr>
          <w:p>
            <w:pPr>
              <w:ind w:left="20"/>
              <w:spacing w:after="0"/>
              <w:rPr>
                <w:sz w:val="20"/>
                <w:szCs w:val="20"/>
                <w:color w:val="auto"/>
              </w:rPr>
            </w:pPr>
            <w:r>
              <w:rPr>
                <w:rFonts w:ascii="Arial" w:cs="Arial" w:eastAsia="Arial" w:hAnsi="Arial"/>
                <w:sz w:val="16"/>
                <w:szCs w:val="16"/>
                <w:color w:val="auto"/>
              </w:rPr>
              <w:t>Plus: real estate depreciation and amortization</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1.93</w:t>
            </w:r>
          </w:p>
        </w:tc>
        <w:tc>
          <w:tcPr>
            <w:tcW w:w="42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loss on sale or write-down of depreciable assets</w:t>
            </w: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0.18</w:t>
            </w:r>
          </w:p>
        </w:tc>
        <w:tc>
          <w:tcPr>
            <w:tcW w:w="42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09"/>
        </w:trPr>
        <w:tc>
          <w:tcPr>
            <w:tcW w:w="9240" w:type="dxa"/>
            <w:vAlign w:val="bottom"/>
          </w:tcPr>
          <w:p>
            <w:pPr>
              <w:ind w:left="20"/>
              <w:spacing w:after="0"/>
              <w:rPr>
                <w:sz w:val="20"/>
                <w:szCs w:val="20"/>
                <w:color w:val="auto"/>
              </w:rPr>
            </w:pPr>
            <w:r>
              <w:rPr>
                <w:rFonts w:ascii="Arial" w:cs="Arial" w:eastAsia="Arial" w:hAnsi="Arial"/>
                <w:sz w:val="16"/>
                <w:szCs w:val="16"/>
                <w:color w:val="auto"/>
              </w:rPr>
              <w:t>FFO per share-diluted</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1.83</w:t>
            </w:r>
          </w:p>
        </w:tc>
        <w:tc>
          <w:tcPr>
            <w:tcW w:w="420" w:type="dxa"/>
            <w:vAlign w:val="bottom"/>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impact of financing expense in connection with Chandler Freehold</w:t>
            </w: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0.10</w:t>
            </w:r>
          </w:p>
        </w:tc>
        <w:tc>
          <w:tcPr>
            <w:tcW w:w="42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10"/>
        </w:trPr>
        <w:tc>
          <w:tcPr>
            <w:tcW w:w="9240" w:type="dxa"/>
            <w:vAlign w:val="bottom"/>
          </w:tcPr>
          <w:p>
            <w:pPr>
              <w:ind w:left="20"/>
              <w:spacing w:after="0"/>
              <w:rPr>
                <w:sz w:val="20"/>
                <w:szCs w:val="20"/>
                <w:color w:val="auto"/>
              </w:rPr>
            </w:pPr>
            <w:r>
              <w:rPr>
                <w:rFonts w:ascii="Arial" w:cs="Arial" w:eastAsia="Arial" w:hAnsi="Arial"/>
                <w:sz w:val="16"/>
                <w:szCs w:val="16"/>
                <w:color w:val="auto"/>
              </w:rPr>
              <w:t>FFO per share – diluted, excluding financing expense in connection with Chandler Freehold</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$1.93</w:t>
            </w:r>
          </w:p>
        </w:tc>
        <w:tc>
          <w:tcPr>
            <w:tcW w:w="4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1"/>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firstLine="486"/>
        <w:spacing w:after="0" w:line="336" w:lineRule="auto"/>
        <w:rPr>
          <w:sz w:val="20"/>
          <w:szCs w:val="20"/>
          <w:color w:val="auto"/>
        </w:rPr>
      </w:pPr>
      <w:r>
        <w:rPr>
          <w:rFonts w:ascii="Arial" w:cs="Arial" w:eastAsia="Arial" w:hAnsi="Arial"/>
          <w:sz w:val="16"/>
          <w:szCs w:val="16"/>
          <w:color w:val="auto"/>
        </w:rPr>
        <w:t>This guidance assumes no further government-mandated shutdowns of our properties. It does not assume any sale of common equity during 2022. These estimates do not include possible future gains or losses or the impact on operating results from possible future property acquisitions or dispositions, other than land sales. There can be no assurance that our actual results will not differ from the estimates set forth above.</w:t>
      </w:r>
    </w:p>
    <w:p>
      <w:pPr>
        <w:spacing w:after="0" w:line="200" w:lineRule="exact"/>
        <w:rPr>
          <w:sz w:val="20"/>
          <w:szCs w:val="20"/>
          <w:color w:val="auto"/>
        </w:r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8420" w:type="dxa"/>
            <w:vAlign w:val="bottom"/>
            <w:gridSpan w:val="2"/>
          </w:tcPr>
          <w:p>
            <w:pPr>
              <w:ind w:left="260"/>
              <w:spacing w:after="0"/>
              <w:rPr>
                <w:sz w:val="20"/>
                <w:szCs w:val="20"/>
                <w:color w:val="auto"/>
              </w:rPr>
            </w:pPr>
            <w:r>
              <w:rPr>
                <w:rFonts w:ascii="Arial" w:cs="Arial" w:eastAsia="Arial" w:hAnsi="Arial"/>
                <w:sz w:val="16"/>
                <w:szCs w:val="16"/>
                <w:b w:val="1"/>
                <w:bCs w:val="1"/>
                <w:i w:val="1"/>
                <w:iCs w:val="1"/>
                <w:color w:val="auto"/>
              </w:rPr>
              <w:t>Underlying Assumptions to 2022 Guidance: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29"/>
        </w:trPr>
        <w:tc>
          <w:tcPr>
            <w:tcW w:w="68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68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Cash Same Center Net Operating Income (“NOI”) Growth, excluding Lease Termination Income (a)</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7.00 % -</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7.50%</w:t>
            </w:r>
          </w:p>
        </w:tc>
        <w:tc>
          <w:tcPr>
            <w:tcW w:w="660" w:type="dxa"/>
            <w:vAlign w:val="bottom"/>
          </w:tcPr>
          <w:p>
            <w:pPr>
              <w:spacing w:after="0"/>
              <w:rPr>
                <w:sz w:val="18"/>
                <w:szCs w:val="18"/>
                <w:color w:val="auto"/>
              </w:rPr>
            </w:pPr>
          </w:p>
        </w:tc>
      </w:tr>
      <w:tr>
        <w:trPr>
          <w:trHeight w:val="522"/>
        </w:trPr>
        <w:tc>
          <w:tcPr>
            <w:tcW w:w="6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Year 2022</w:t>
            </w:r>
          </w:p>
        </w:tc>
        <w:tc>
          <w:tcPr>
            <w:tcW w:w="13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Year 2022</w:t>
            </w:r>
          </w:p>
        </w:tc>
      </w:tr>
      <w:tr>
        <w:trPr>
          <w:trHeight w:val="176"/>
        </w:trPr>
        <w:tc>
          <w:tcPr>
            <w:tcW w:w="68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 millions)(b)</w:t>
            </w:r>
          </w:p>
        </w:tc>
        <w:tc>
          <w:tcPr>
            <w:tcW w:w="13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FFO / Share Impact</w:t>
            </w:r>
          </w:p>
        </w:tc>
      </w:tr>
      <w:tr>
        <w:trPr>
          <w:trHeight w:val="213"/>
        </w:trPr>
        <w:tc>
          <w:tcPr>
            <w:tcW w:w="8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Lease termination income</w:t>
            </w:r>
          </w:p>
        </w:tc>
        <w:tc>
          <w:tcPr>
            <w:tcW w:w="12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$0.12</w:t>
            </w:r>
          </w:p>
        </w:tc>
      </w:tr>
      <w:tr>
        <w:trPr>
          <w:trHeight w:val="215"/>
        </w:trPr>
        <w:tc>
          <w:tcPr>
            <w:tcW w:w="8420" w:type="dxa"/>
            <w:vAlign w:val="bottom"/>
            <w:gridSpan w:val="2"/>
          </w:tcPr>
          <w:p>
            <w:pPr>
              <w:ind w:left="20"/>
              <w:spacing w:after="0"/>
              <w:rPr>
                <w:sz w:val="20"/>
                <w:szCs w:val="20"/>
                <w:color w:val="auto"/>
              </w:rPr>
            </w:pPr>
            <w:r>
              <w:rPr>
                <w:rFonts w:ascii="Arial" w:cs="Arial" w:eastAsia="Arial" w:hAnsi="Arial"/>
                <w:sz w:val="16"/>
                <w:szCs w:val="16"/>
                <w:color w:val="auto"/>
              </w:rPr>
              <w:t>Bad debt (income) expense</w:t>
            </w:r>
          </w:p>
        </w:tc>
        <w:tc>
          <w:tcPr>
            <w:tcW w:w="1220" w:type="dxa"/>
            <w:vAlign w:val="bottom"/>
          </w:tcPr>
          <w:p>
            <w:pPr>
              <w:jc w:val="right"/>
              <w:ind w:right="263"/>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6"/>
                <w:szCs w:val="16"/>
                <w:color w:val="auto"/>
              </w:rPr>
              <w:t>$0.00</w:t>
            </w:r>
          </w:p>
        </w:tc>
      </w:tr>
      <w:tr>
        <w:trPr>
          <w:trHeight w:val="21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Straight-line rental income</w:t>
            </w:r>
          </w:p>
        </w:tc>
        <w:tc>
          <w:tcPr>
            <w:tcW w:w="122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$0.02</w:t>
            </w:r>
          </w:p>
        </w:tc>
      </w:tr>
      <w:tr>
        <w:trPr>
          <w:trHeight w:val="215"/>
        </w:trPr>
        <w:tc>
          <w:tcPr>
            <w:tcW w:w="8420" w:type="dxa"/>
            <w:vAlign w:val="bottom"/>
            <w:gridSpan w:val="2"/>
          </w:tcPr>
          <w:p>
            <w:pPr>
              <w:ind w:left="20"/>
              <w:spacing w:after="0"/>
              <w:rPr>
                <w:sz w:val="20"/>
                <w:szCs w:val="20"/>
                <w:color w:val="auto"/>
              </w:rPr>
            </w:pPr>
            <w:r>
              <w:rPr>
                <w:rFonts w:ascii="Arial" w:cs="Arial" w:eastAsia="Arial" w:hAnsi="Arial"/>
                <w:sz w:val="16"/>
                <w:szCs w:val="16"/>
                <w:color w:val="auto"/>
              </w:rPr>
              <w:t>Amortization of acquired above and below-market leases (net-revenue)</w:t>
            </w:r>
          </w:p>
        </w:tc>
        <w:tc>
          <w:tcPr>
            <w:tcW w:w="1220" w:type="dxa"/>
            <w:vAlign w:val="bottom"/>
          </w:tcPr>
          <w:p>
            <w:pPr>
              <w:jc w:val="right"/>
              <w:ind w:right="263"/>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6"/>
                <w:szCs w:val="16"/>
                <w:color w:val="auto"/>
              </w:rPr>
              <w:t>$0.02</w:t>
            </w:r>
          </w:p>
        </w:tc>
      </w:tr>
      <w:tr>
        <w:trPr>
          <w:trHeight w:val="217"/>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(c)</w:t>
            </w:r>
          </w:p>
        </w:tc>
        <w:tc>
          <w:tcPr>
            <w:tcW w:w="122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$1.22</w:t>
            </w:r>
          </w:p>
        </w:tc>
      </w:tr>
      <w:tr>
        <w:trPr>
          <w:trHeight w:val="215"/>
        </w:trPr>
        <w:tc>
          <w:tcPr>
            <w:tcW w:w="8420" w:type="dxa"/>
            <w:vAlign w:val="bottom"/>
            <w:gridSpan w:val="2"/>
          </w:tcPr>
          <w:p>
            <w:pPr>
              <w:ind w:left="20"/>
              <w:spacing w:after="0"/>
              <w:rPr>
                <w:sz w:val="20"/>
                <w:szCs w:val="20"/>
                <w:color w:val="auto"/>
              </w:rPr>
            </w:pPr>
            <w:r>
              <w:rPr>
                <w:rFonts w:ascii="Arial" w:cs="Arial" w:eastAsia="Arial" w:hAnsi="Arial"/>
                <w:sz w:val="16"/>
                <w:szCs w:val="16"/>
                <w:color w:val="auto"/>
              </w:rPr>
              <w:t>Capitalized interest</w:t>
            </w:r>
          </w:p>
        </w:tc>
        <w:tc>
          <w:tcPr>
            <w:tcW w:w="1220" w:type="dxa"/>
            <w:vAlign w:val="bottom"/>
          </w:tcPr>
          <w:p>
            <w:pPr>
              <w:jc w:val="right"/>
              <w:ind w:right="263"/>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6"/>
                <w:szCs w:val="16"/>
                <w:color w:val="auto"/>
              </w:rPr>
              <w:t>$0.09</w:t>
            </w:r>
          </w:p>
        </w:tc>
      </w:tr>
    </w:tbl>
    <w:p>
      <w:pPr>
        <w:spacing w:after="0" w:line="33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non-cash items of straight-line rental income and above/below market adjustments to minimum rent.</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joint venture amounts included at pro rata.</w:t>
      </w:r>
    </w:p>
    <w:p>
      <w:pPr>
        <w:spacing w:after="0" w:line="257" w:lineRule="exact"/>
        <w:rPr>
          <w:rFonts w:ascii="Arial" w:cs="Arial" w:eastAsia="Arial" w:hAnsi="Arial"/>
          <w:sz w:val="14"/>
          <w:szCs w:val="14"/>
          <w:color w:val="auto"/>
        </w:rPr>
      </w:pPr>
    </w:p>
    <w:p>
      <w:pPr>
        <w:ind w:left="420" w:right="280" w:hanging="412"/>
        <w:spacing w:after="0" w:line="305" w:lineRule="auto"/>
        <w:tabs>
          <w:tab w:leader="none" w:pos="4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Company’s pro rata share of interest expense, excluding any financing expense in connection with Chandler Freehold, and is reduced by capitalized interest.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80"/>
          </w:cols>
          <w:pgMar w:left="320" w:top="314" w:right="39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FFO Information(a)</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3"/>
                <w:szCs w:val="13"/>
                <w:b w:val="1"/>
                <w:bCs w:val="1"/>
                <w:color w:val="auto"/>
                <w:w w:val="97"/>
              </w:rPr>
              <w:t>As of September 30,</w:t>
            </w:r>
          </w:p>
        </w:tc>
      </w:tr>
      <w:tr>
        <w:trPr>
          <w:trHeight w:val="17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r>
      <w:tr>
        <w:trPr>
          <w:trHeight w:val="207"/>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95"/>
              </w:rPr>
              <w:t>dollars in millions</w:t>
            </w: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Straight-line rent receivable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20" w:type="dxa"/>
            <w:vAlign w:val="bottom"/>
            <w:shd w:val="clear" w:color="auto" w:fill="CCEEFF"/>
          </w:tcPr>
          <w:p>
            <w:pPr>
              <w:spacing w:after="0"/>
              <w:rPr>
                <w:sz w:val="19"/>
                <w:szCs w:val="19"/>
                <w:color w:val="auto"/>
              </w:rPr>
            </w:pPr>
          </w:p>
        </w:tc>
      </w:tr>
      <w:tr>
        <w:trPr>
          <w:trHeight w:val="486"/>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6"/>
          </w:tcPr>
          <w:p>
            <w:pPr>
              <w:jc w:val="center"/>
              <w:ind w:right="500"/>
              <w:spacing w:after="0"/>
              <w:rPr>
                <w:sz w:val="20"/>
                <w:szCs w:val="20"/>
                <w:color w:val="auto"/>
              </w:rPr>
            </w:pPr>
            <w:r>
              <w:rPr>
                <w:rFonts w:ascii="Arial" w:cs="Arial" w:eastAsia="Arial" w:hAnsi="Arial"/>
                <w:sz w:val="13"/>
                <w:szCs w:val="13"/>
                <w:b w:val="1"/>
                <w:bCs w:val="1"/>
                <w:color w:val="auto"/>
                <w:w w:val="96"/>
              </w:rPr>
              <w:t>For the Three Months Ended</w:t>
            </w:r>
          </w:p>
        </w:tc>
        <w:tc>
          <w:tcPr>
            <w:tcW w:w="180" w:type="dxa"/>
            <w:vAlign w:val="bottom"/>
          </w:tcPr>
          <w:p>
            <w:pPr>
              <w:spacing w:after="0"/>
              <w:rPr>
                <w:sz w:val="24"/>
                <w:szCs w:val="24"/>
                <w:color w:val="auto"/>
              </w:rPr>
            </w:pPr>
          </w:p>
        </w:tc>
        <w:tc>
          <w:tcPr>
            <w:tcW w:w="19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97"/>
              </w:rPr>
              <w:t>For the Nine Months Ended</w:t>
            </w:r>
          </w:p>
        </w:tc>
      </w:tr>
      <w:tr>
        <w:trPr>
          <w:trHeight w:val="18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center"/>
              <w:ind w:right="500"/>
              <w:spacing w:after="0"/>
              <w:rPr>
                <w:sz w:val="20"/>
                <w:szCs w:val="20"/>
                <w:color w:val="auto"/>
              </w:rPr>
            </w:pPr>
            <w:r>
              <w:rPr>
                <w:rFonts w:ascii="Arial" w:cs="Arial" w:eastAsia="Arial" w:hAnsi="Arial"/>
                <w:sz w:val="13"/>
                <w:szCs w:val="13"/>
                <w:b w:val="1"/>
                <w:bCs w:val="1"/>
                <w:color w:val="auto"/>
                <w:w w:val="96"/>
              </w:rPr>
              <w:t>September 30,</w:t>
            </w:r>
          </w:p>
        </w:tc>
        <w:tc>
          <w:tcPr>
            <w:tcW w:w="180" w:type="dxa"/>
            <w:vAlign w:val="bottom"/>
          </w:tcPr>
          <w:p>
            <w:pPr>
              <w:spacing w:after="0"/>
              <w:rPr>
                <w:sz w:val="15"/>
                <w:szCs w:val="15"/>
                <w:color w:val="auto"/>
              </w:rPr>
            </w:pPr>
          </w:p>
        </w:tc>
        <w:tc>
          <w:tcPr>
            <w:tcW w:w="198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96"/>
              </w:rPr>
              <w:t>September 30,</w:t>
            </w:r>
          </w:p>
        </w:tc>
      </w:tr>
      <w:tr>
        <w:trPr>
          <w:trHeight w:val="174"/>
        </w:trPr>
        <w:tc>
          <w:tcPr>
            <w:tcW w:w="65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r>
      <w:tr>
        <w:trPr>
          <w:trHeight w:val="207"/>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8"/>
          </w:tcPr>
          <w:p>
            <w:pPr>
              <w:ind w:left="420"/>
              <w:spacing w:after="0"/>
              <w:rPr>
                <w:sz w:val="20"/>
                <w:szCs w:val="20"/>
                <w:color w:val="auto"/>
              </w:rPr>
            </w:pPr>
            <w:r>
              <w:rPr>
                <w:rFonts w:ascii="Arial" w:cs="Arial" w:eastAsia="Arial" w:hAnsi="Arial"/>
                <w:sz w:val="13"/>
                <w:szCs w:val="13"/>
                <w:b w:val="1"/>
                <w:bCs w:val="1"/>
                <w:color w:val="auto"/>
              </w:rPr>
              <w:t>dollars 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termination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0" w:type="dxa"/>
            <w:vAlign w:val="bottom"/>
          </w:tcPr>
          <w:p>
            <w:pPr>
              <w:spacing w:after="0"/>
              <w:rPr>
                <w:sz w:val="19"/>
                <w:szCs w:val="19"/>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Straight-line rental income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18"/>
                <w:szCs w:val="18"/>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development and parking income (b)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0" w:type="dxa"/>
            <w:vAlign w:val="bottom"/>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Gain on sales or write down of undepreciated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8"/>
                <w:szCs w:val="18"/>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acquired above and below-market leases, 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Amortization of debt discounts,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 (income) expense (c)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Leasing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20" w:type="dxa"/>
            <w:vAlign w:val="bottom"/>
          </w:tcPr>
          <w:p>
            <w:pPr>
              <w:spacing w:after="0"/>
              <w:rPr>
                <w:sz w:val="18"/>
                <w:szCs w:val="18"/>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capitalized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8"/>
                <w:szCs w:val="18"/>
                <w:color w:val="auto"/>
              </w:rPr>
            </w:pPr>
          </w:p>
        </w:tc>
      </w:tr>
      <w:tr>
        <w:trPr>
          <w:trHeight w:val="431"/>
        </w:trPr>
        <w:tc>
          <w:tcPr>
            <w:tcW w:w="6580" w:type="dxa"/>
            <w:vAlign w:val="bottom"/>
          </w:tcPr>
          <w:p>
            <w:pPr>
              <w:ind w:left="20"/>
              <w:spacing w:after="0"/>
              <w:rPr>
                <w:sz w:val="20"/>
                <w:szCs w:val="20"/>
                <w:color w:val="auto"/>
              </w:rPr>
            </w:pPr>
            <w:r>
              <w:rPr>
                <w:rFonts w:ascii="Arial" w:cs="Arial" w:eastAsia="Arial" w:hAnsi="Arial"/>
                <w:sz w:val="16"/>
                <w:szCs w:val="16"/>
                <w:color w:val="auto"/>
              </w:rPr>
              <w:t>Chandler Freehold financing arrangement (d):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equal to partners’ share of 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r>
      <w:tr>
        <w:trPr>
          <w:trHeight w:val="215"/>
        </w:trPr>
        <w:tc>
          <w:tcPr>
            <w:tcW w:w="6580" w:type="dxa"/>
            <w:vAlign w:val="bottom"/>
          </w:tcPr>
          <w:p>
            <w:pPr>
              <w:ind w:left="120"/>
              <w:spacing w:after="0"/>
              <w:rPr>
                <w:sz w:val="20"/>
                <w:szCs w:val="20"/>
                <w:color w:val="auto"/>
              </w:rPr>
            </w:pPr>
            <w:r>
              <w:rPr>
                <w:rFonts w:ascii="Arial" w:cs="Arial" w:eastAsia="Arial" w:hAnsi="Arial"/>
                <w:sz w:val="16"/>
                <w:szCs w:val="16"/>
                <w:color w:val="auto"/>
              </w:rPr>
              <w:t>Distributions in excess of partners’ share of net income (e)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Fair value adjustment (e)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8"/>
                <w:szCs w:val="18"/>
                <w:color w:val="auto"/>
              </w:rPr>
            </w:pPr>
          </w:p>
        </w:tc>
      </w:tr>
      <w:tr>
        <w:trPr>
          <w:trHeight w:val="210"/>
        </w:trPr>
        <w:tc>
          <w:tcPr>
            <w:tcW w:w="6580" w:type="dxa"/>
            <w:vAlign w:val="bottom"/>
          </w:tcPr>
          <w:p>
            <w:pPr>
              <w:ind w:left="240"/>
              <w:spacing w:after="0"/>
              <w:rPr>
                <w:sz w:val="20"/>
                <w:szCs w:val="20"/>
                <w:color w:val="auto"/>
              </w:rPr>
            </w:pPr>
            <w:r>
              <w:rPr>
                <w:rFonts w:ascii="Arial" w:cs="Arial" w:eastAsia="Arial" w:hAnsi="Arial"/>
                <w:sz w:val="16"/>
                <w:szCs w:val="16"/>
                <w:color w:val="auto"/>
              </w:rPr>
              <w:t>Total Chandler Freehold financing arrangement expense (d)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joint venture amounts included at pro rata.</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leasing revenue and other income.</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leasing revenue.</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interest expense.</w:t>
      </w:r>
    </w:p>
    <w:p>
      <w:pPr>
        <w:spacing w:after="0" w:line="257" w:lineRule="exact"/>
        <w:rPr>
          <w:rFonts w:ascii="Arial" w:cs="Arial" w:eastAsia="Arial" w:hAnsi="Arial"/>
          <w:sz w:val="14"/>
          <w:szCs w:val="14"/>
          <w:color w:val="auto"/>
        </w:rPr>
      </w:pPr>
    </w:p>
    <w:p>
      <w:pPr>
        <w:ind w:left="420" w:right="300" w:hanging="412"/>
        <w:spacing w:after="0" w:line="285"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presents FFO excluding the expenses related to changes in fair value of the financing arrangement and the payments to such joint venture partner less than or in excess of their pro rata share of net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314" w:right="3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Capital Expenditures(a)</w:t>
      </w:r>
    </w:p>
    <w:p>
      <w:pPr>
        <w:spacing w:after="0" w:line="380" w:lineRule="exact"/>
        <w:rPr>
          <w:sz w:val="20"/>
          <w:szCs w:val="20"/>
          <w:color w:val="auto"/>
        </w:rPr>
      </w:pPr>
    </w:p>
    <w:tbl>
      <w:tblPr>
        <w:tblLayout w:type="fixed"/>
        <w:tblInd w:w="32"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2720" w:type="dxa"/>
            <w:vAlign w:val="bottom"/>
            <w:gridSpan w:val="6"/>
            <w:vMerge w:val="restart"/>
          </w:tcPr>
          <w:p>
            <w:pPr>
              <w:ind w:left="40"/>
              <w:spacing w:after="0"/>
              <w:rPr>
                <w:sz w:val="20"/>
                <w:szCs w:val="20"/>
                <w:color w:val="auto"/>
              </w:rPr>
            </w:pPr>
            <w:r>
              <w:rPr>
                <w:rFonts w:ascii="Arial" w:cs="Arial" w:eastAsia="Arial" w:hAnsi="Arial"/>
                <w:sz w:val="13"/>
                <w:szCs w:val="13"/>
                <w:b w:val="1"/>
                <w:bCs w:val="1"/>
                <w:color w:val="auto"/>
              </w:rPr>
              <w:t>For the Nine Months Ended September 30,</w:t>
            </w:r>
          </w:p>
        </w:tc>
        <w:tc>
          <w:tcPr>
            <w:tcW w:w="500" w:type="dxa"/>
            <w:vAlign w:val="bottom"/>
          </w:tcPr>
          <w:p>
            <w:pPr>
              <w:spacing w:after="0"/>
              <w:rPr>
                <w:sz w:val="13"/>
                <w:szCs w:val="13"/>
                <w:color w:val="auto"/>
              </w:rPr>
            </w:pPr>
          </w:p>
        </w:tc>
        <w:tc>
          <w:tcPr>
            <w:tcW w:w="2160" w:type="dxa"/>
            <w:vAlign w:val="bottom"/>
            <w:gridSpan w:val="4"/>
          </w:tcPr>
          <w:p>
            <w:pPr>
              <w:jc w:val="right"/>
              <w:ind w:right="581"/>
              <w:spacing w:after="0"/>
              <w:rPr>
                <w:sz w:val="20"/>
                <w:szCs w:val="20"/>
                <w:color w:val="auto"/>
              </w:rPr>
            </w:pPr>
            <w:r>
              <w:rPr>
                <w:rFonts w:ascii="Arial" w:cs="Arial" w:eastAsia="Arial" w:hAnsi="Arial"/>
                <w:sz w:val="13"/>
                <w:szCs w:val="13"/>
                <w:b w:val="1"/>
                <w:bCs w:val="1"/>
                <w:color w:val="auto"/>
              </w:rPr>
              <w:t>For the Twelve Months</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720" w:type="dxa"/>
            <w:vAlign w:val="bottom"/>
            <w:gridSpan w:val="6"/>
            <w:vMerge w:val="continue"/>
          </w:tcPr>
          <w:p>
            <w:pPr>
              <w:spacing w:after="0"/>
              <w:rPr>
                <w:sz w:val="16"/>
                <w:szCs w:val="16"/>
                <w:color w:val="auto"/>
              </w:rPr>
            </w:pPr>
          </w:p>
        </w:tc>
        <w:tc>
          <w:tcPr>
            <w:tcW w:w="500" w:type="dxa"/>
            <w:vAlign w:val="bottom"/>
          </w:tcPr>
          <w:p>
            <w:pPr>
              <w:spacing w:after="0"/>
              <w:rPr>
                <w:sz w:val="16"/>
                <w:szCs w:val="16"/>
                <w:color w:val="auto"/>
              </w:rPr>
            </w:pPr>
          </w:p>
        </w:tc>
        <w:tc>
          <w:tcPr>
            <w:tcW w:w="2160" w:type="dxa"/>
            <w:vAlign w:val="bottom"/>
            <w:gridSpan w:val="4"/>
          </w:tcPr>
          <w:p>
            <w:pPr>
              <w:jc w:val="right"/>
              <w:ind w:right="621"/>
              <w:spacing w:after="0"/>
              <w:rPr>
                <w:sz w:val="20"/>
                <w:szCs w:val="20"/>
                <w:color w:val="auto"/>
              </w:rPr>
            </w:pPr>
            <w:r>
              <w:rPr>
                <w:rFonts w:ascii="Arial" w:cs="Arial" w:eastAsia="Arial" w:hAnsi="Arial"/>
                <w:sz w:val="13"/>
                <w:szCs w:val="13"/>
                <w:b w:val="1"/>
                <w:bCs w:val="1"/>
                <w:color w:val="auto"/>
              </w:rPr>
              <w:t>Ended December 31,</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Centers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Acquisitions of property, building improvement and equipment (b)</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Development, redevelopment, expansions and renovations of Centers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Tenant allowances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Deferred leasing charges</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580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Unconsolidated Joint Venture Centers</w:t>
            </w: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Acquisitions of property, building improvement and equipment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Development, redevelopment, expansions and renovations of Centers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Tenant allowances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Deferred leasing charges</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580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92" w:hanging="392"/>
        <w:spacing w:after="0"/>
        <w:tabs>
          <w:tab w:leader="none" w:pos="3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joint venture amounts at pro rata.</w:t>
      </w:r>
    </w:p>
    <w:p>
      <w:pPr>
        <w:spacing w:after="0" w:line="244" w:lineRule="exact"/>
        <w:rPr>
          <w:rFonts w:ascii="Arial" w:cs="Arial" w:eastAsia="Arial" w:hAnsi="Arial"/>
          <w:sz w:val="14"/>
          <w:szCs w:val="14"/>
          <w:color w:val="auto"/>
        </w:rPr>
      </w:pPr>
    </w:p>
    <w:p>
      <w:pPr>
        <w:ind w:left="412" w:right="220" w:hanging="412"/>
        <w:spacing w:after="0" w:line="325" w:lineRule="auto"/>
        <w:tabs>
          <w:tab w:leader="none" w:pos="399"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includes the Company's acquisition of their partners' 50% share in two former Sears parcels in the Macerich Seritage Portfolio on August 2, 2022 for $24.5 million, net cash paid. The Company now owns 100% of these two parcels.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12"/>
          </w:cols>
          <w:pgMar w:left="328" w:top="314" w:right="35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6"/>
          <w:szCs w:val="16"/>
          <w:b w:val="1"/>
          <w:bCs w:val="1"/>
          <w:color w:val="231F20"/>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31F20"/>
        </w:rPr>
        <w:t>Supplemental Financial and Operating Information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31F20"/>
        </w:rPr>
        <w:t>Trailing Twelve Month Sales Per Square Foot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231F20"/>
                <w:w w:val="97"/>
              </w:rPr>
              <w:t>Consolidated</w:t>
            </w:r>
          </w:p>
        </w:tc>
        <w:tc>
          <w:tcPr>
            <w:tcW w:w="1600" w:type="dxa"/>
            <w:vAlign w:val="bottom"/>
            <w:gridSpan w:val="2"/>
          </w:tcPr>
          <w:p>
            <w:pPr>
              <w:ind w:left="160"/>
              <w:spacing w:after="0"/>
              <w:rPr>
                <w:sz w:val="20"/>
                <w:szCs w:val="20"/>
                <w:color w:val="auto"/>
              </w:rPr>
            </w:pPr>
            <w:r>
              <w:rPr>
                <w:rFonts w:ascii="Arial" w:cs="Arial" w:eastAsia="Arial" w:hAnsi="Arial"/>
                <w:sz w:val="13"/>
                <w:szCs w:val="13"/>
                <w:b w:val="1"/>
                <w:bCs w:val="1"/>
                <w:color w:val="231F20"/>
              </w:rPr>
              <w:t>Unconsolidated Joint</w:t>
            </w:r>
          </w:p>
        </w:tc>
        <w:tc>
          <w:tcPr>
            <w:tcW w:w="1340" w:type="dxa"/>
            <w:vAlign w:val="bottom"/>
          </w:tcPr>
          <w:p>
            <w:pPr>
              <w:jc w:val="right"/>
              <w:ind w:right="428"/>
              <w:spacing w:after="0"/>
              <w:rPr>
                <w:sz w:val="20"/>
                <w:szCs w:val="20"/>
                <w:color w:val="auto"/>
              </w:rPr>
            </w:pPr>
            <w:r>
              <w:rPr>
                <w:rFonts w:ascii="Arial" w:cs="Arial" w:eastAsia="Arial" w:hAnsi="Arial"/>
                <w:sz w:val="13"/>
                <w:szCs w:val="13"/>
                <w:b w:val="1"/>
                <w:bCs w:val="1"/>
                <w:color w:val="231F20"/>
              </w:rPr>
              <w:t>Total</w:t>
            </w:r>
          </w:p>
        </w:tc>
      </w:tr>
      <w:tr>
        <w:trPr>
          <w:trHeight w:val="183"/>
        </w:trPr>
        <w:tc>
          <w:tcPr>
            <w:tcW w:w="686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231F20"/>
                <w:w w:val="99"/>
              </w:rPr>
              <w:t>Centers</w:t>
            </w:r>
          </w:p>
        </w:tc>
        <w:tc>
          <w:tcPr>
            <w:tcW w:w="1600" w:type="dxa"/>
            <w:vAlign w:val="bottom"/>
            <w:gridSpan w:val="2"/>
          </w:tcPr>
          <w:p>
            <w:pPr>
              <w:ind w:left="280"/>
              <w:spacing w:after="0"/>
              <w:rPr>
                <w:sz w:val="20"/>
                <w:szCs w:val="20"/>
                <w:color w:val="auto"/>
              </w:rPr>
            </w:pPr>
            <w:r>
              <w:rPr>
                <w:rFonts w:ascii="Arial" w:cs="Arial" w:eastAsia="Arial" w:hAnsi="Arial"/>
                <w:sz w:val="13"/>
                <w:szCs w:val="13"/>
                <w:b w:val="1"/>
                <w:bCs w:val="1"/>
                <w:color w:val="231F20"/>
              </w:rPr>
              <w:t>Venture Centers</w:t>
            </w:r>
          </w:p>
        </w:tc>
        <w:tc>
          <w:tcPr>
            <w:tcW w:w="1340" w:type="dxa"/>
            <w:vAlign w:val="bottom"/>
          </w:tcPr>
          <w:p>
            <w:pPr>
              <w:jc w:val="right"/>
              <w:ind w:right="328"/>
              <w:spacing w:after="0"/>
              <w:rPr>
                <w:sz w:val="20"/>
                <w:szCs w:val="20"/>
                <w:color w:val="auto"/>
              </w:rPr>
            </w:pPr>
            <w:r>
              <w:rPr>
                <w:rFonts w:ascii="Arial" w:cs="Arial" w:eastAsia="Arial" w:hAnsi="Arial"/>
                <w:sz w:val="13"/>
                <w:szCs w:val="13"/>
                <w:b w:val="1"/>
                <w:bCs w:val="1"/>
                <w:color w:val="231F20"/>
              </w:rPr>
              <w:t>Centers</w:t>
            </w:r>
          </w:p>
        </w:tc>
      </w:tr>
      <w:tr>
        <w:trPr>
          <w:trHeight w:val="216"/>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9/30/2022</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231F20"/>
              </w:rPr>
              <w:t>$747</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6"/>
                <w:szCs w:val="16"/>
                <w:color w:val="231F20"/>
              </w:rPr>
              <w:t>$1,040</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6"/>
                <w:szCs w:val="16"/>
                <w:color w:val="231F20"/>
              </w:rPr>
              <w:t>$877</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231F20"/>
              </w:rPr>
              <w:t>12/31/2019 (b)</w:t>
            </w:r>
          </w:p>
        </w:tc>
        <w:tc>
          <w:tcPr>
            <w:tcW w:w="1340" w:type="dxa"/>
            <w:vAlign w:val="bottom"/>
          </w:tcPr>
          <w:p>
            <w:pPr>
              <w:jc w:val="center"/>
              <w:spacing w:after="0"/>
              <w:rPr>
                <w:sz w:val="20"/>
                <w:szCs w:val="20"/>
                <w:color w:val="auto"/>
              </w:rPr>
            </w:pPr>
            <w:r>
              <w:rPr>
                <w:rFonts w:ascii="Arial" w:cs="Arial" w:eastAsia="Arial" w:hAnsi="Arial"/>
                <w:sz w:val="16"/>
                <w:szCs w:val="16"/>
                <w:color w:val="231F20"/>
              </w:rPr>
              <w:t>$646</w:t>
            </w:r>
          </w:p>
        </w:tc>
        <w:tc>
          <w:tcPr>
            <w:tcW w:w="80" w:type="dxa"/>
            <w:vAlign w:val="bottom"/>
          </w:tcPr>
          <w:p>
            <w:pPr>
              <w:spacing w:after="0"/>
              <w:rPr>
                <w:sz w:val="18"/>
                <w:szCs w:val="18"/>
                <w:color w:val="auto"/>
              </w:rPr>
            </w:pPr>
          </w:p>
        </w:tc>
        <w:tc>
          <w:tcPr>
            <w:tcW w:w="1520" w:type="dxa"/>
            <w:vAlign w:val="bottom"/>
          </w:tcPr>
          <w:p>
            <w:pPr>
              <w:jc w:val="right"/>
              <w:ind w:right="508"/>
              <w:spacing w:after="0"/>
              <w:rPr>
                <w:sz w:val="20"/>
                <w:szCs w:val="20"/>
                <w:color w:val="auto"/>
              </w:rPr>
            </w:pPr>
            <w:r>
              <w:rPr>
                <w:rFonts w:ascii="Arial" w:cs="Arial" w:eastAsia="Arial" w:hAnsi="Arial"/>
                <w:sz w:val="16"/>
                <w:szCs w:val="16"/>
                <w:color w:val="231F20"/>
              </w:rPr>
              <w:t>$998</w:t>
            </w:r>
          </w:p>
        </w:tc>
        <w:tc>
          <w:tcPr>
            <w:tcW w:w="80" w:type="dxa"/>
            <w:vAlign w:val="bottom"/>
          </w:tcPr>
          <w:p>
            <w:pPr>
              <w:spacing w:after="0"/>
              <w:rPr>
                <w:sz w:val="18"/>
                <w:szCs w:val="18"/>
                <w:color w:val="auto"/>
              </w:rPr>
            </w:pPr>
          </w:p>
        </w:tc>
        <w:tc>
          <w:tcPr>
            <w:tcW w:w="1340" w:type="dxa"/>
            <w:vAlign w:val="bottom"/>
          </w:tcPr>
          <w:p>
            <w:pPr>
              <w:jc w:val="right"/>
              <w:ind w:right="428"/>
              <w:spacing w:after="0"/>
              <w:rPr>
                <w:sz w:val="20"/>
                <w:szCs w:val="20"/>
                <w:color w:val="auto"/>
              </w:rPr>
            </w:pPr>
            <w:r>
              <w:rPr>
                <w:rFonts w:ascii="Arial" w:cs="Arial" w:eastAsia="Arial" w:hAnsi="Arial"/>
                <w:sz w:val="16"/>
                <w:szCs w:val="16"/>
                <w:color w:val="231F20"/>
              </w:rPr>
              <w:t>$801</w:t>
            </w:r>
          </w:p>
        </w:tc>
      </w:tr>
    </w:tbl>
    <w:p>
      <w:pPr>
        <w:spacing w:after="0" w:line="370" w:lineRule="exact"/>
        <w:rPr>
          <w:sz w:val="20"/>
          <w:szCs w:val="20"/>
          <w:color w:val="auto"/>
        </w:rPr>
      </w:pPr>
    </w:p>
    <w:p>
      <w:pPr>
        <w:ind w:left="440" w:right="300" w:hanging="362"/>
        <w:spacing w:after="0" w:line="283" w:lineRule="auto"/>
        <w:tabs>
          <w:tab w:leader="none" w:pos="431" w:val="left"/>
        </w:tabs>
        <w:numPr>
          <w:ilvl w:val="0"/>
          <w:numId w:val="13"/>
        </w:numPr>
        <w:rPr>
          <w:rFonts w:ascii="Arial" w:cs="Arial" w:eastAsia="Arial" w:hAnsi="Arial"/>
          <w:sz w:val="14"/>
          <w:szCs w:val="14"/>
          <w:color w:val="auto"/>
        </w:rPr>
      </w:pPr>
      <w:r>
        <w:rPr>
          <w:rFonts w:ascii="Arial" w:cs="Arial" w:eastAsia="Arial" w:hAnsi="Arial"/>
          <w:sz w:val="14"/>
          <w:szCs w:val="14"/>
          <w:color w:val="231F20"/>
        </w:rPr>
        <w:t>Sales are based on reports by retailers leasing mall and freestanding stores for the trailing 12 months for tenants that have occupied such stores for a minimum of 12 months. Sales per square foot are based on tenants 10,000 square feet and under for regional town Centers. Sales per square foot exclude Centers under development and redevelopment.</w:t>
      </w:r>
    </w:p>
    <w:p>
      <w:pPr>
        <w:spacing w:after="0" w:line="199" w:lineRule="exact"/>
        <w:rPr>
          <w:rFonts w:ascii="Arial" w:cs="Arial" w:eastAsia="Arial" w:hAnsi="Arial"/>
          <w:sz w:val="14"/>
          <w:szCs w:val="14"/>
          <w:color w:val="auto"/>
        </w:rPr>
      </w:pPr>
    </w:p>
    <w:p>
      <w:pPr>
        <w:ind w:left="440" w:right="600" w:hanging="362"/>
        <w:spacing w:after="0" w:line="305" w:lineRule="auto"/>
        <w:tabs>
          <w:tab w:leader="none" w:pos="431" w:val="left"/>
        </w:tabs>
        <w:numPr>
          <w:ilvl w:val="0"/>
          <w:numId w:val="13"/>
        </w:numPr>
        <w:rPr>
          <w:rFonts w:ascii="Arial" w:cs="Arial" w:eastAsia="Arial" w:hAnsi="Arial"/>
          <w:sz w:val="14"/>
          <w:szCs w:val="14"/>
          <w:color w:val="231F20"/>
        </w:rPr>
      </w:pPr>
      <w:r>
        <w:rPr>
          <w:rFonts w:ascii="Arial" w:cs="Arial" w:eastAsia="Arial" w:hAnsi="Arial"/>
          <w:sz w:val="14"/>
          <w:szCs w:val="14"/>
          <w:color w:val="231F20"/>
        </w:rPr>
        <w:t>Sales per square foot are compared to the trailing twelve months ended December 31, 2019, the most immediately comparative period prior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123190</wp:posOffset>
            </wp:positionV>
            <wp:extent cx="4071620" cy="3000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7162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40" w:top="36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231F20"/>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F20"/>
        </w:rPr>
        <w:t>Portfolio Occupancy(a)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Unconsolidated Joint</w:t>
            </w:r>
          </w:p>
        </w:tc>
        <w:tc>
          <w:tcPr>
            <w:tcW w:w="1520" w:type="dxa"/>
            <w:vAlign w:val="bottom"/>
          </w:tcPr>
          <w:p>
            <w:pPr>
              <w:jc w:val="right"/>
              <w:ind w:right="565"/>
              <w:spacing w:after="0"/>
              <w:rPr>
                <w:sz w:val="20"/>
                <w:szCs w:val="20"/>
                <w:color w:val="auto"/>
              </w:rPr>
            </w:pPr>
            <w:r>
              <w:rPr>
                <w:rFonts w:ascii="Arial" w:cs="Arial" w:eastAsia="Arial" w:hAnsi="Arial"/>
                <w:sz w:val="13"/>
                <w:szCs w:val="13"/>
                <w:b w:val="1"/>
                <w:bCs w:val="1"/>
                <w:color w:val="auto"/>
              </w:rPr>
              <w:t>Total</w:t>
            </w:r>
          </w:p>
        </w:tc>
      </w:tr>
      <w:tr>
        <w:trPr>
          <w:trHeight w:val="153"/>
        </w:trPr>
        <w:tc>
          <w:tcPr>
            <w:tcW w:w="6460" w:type="dxa"/>
            <w:vAlign w:val="bottom"/>
            <w:gridSpan w:val="3"/>
          </w:tcPr>
          <w:p>
            <w:pPr>
              <w:ind w:left="20"/>
              <w:spacing w:after="0"/>
              <w:rPr>
                <w:sz w:val="20"/>
                <w:szCs w:val="20"/>
                <w:color w:val="auto"/>
              </w:rPr>
            </w:pPr>
            <w:r>
              <w:rPr>
                <w:rFonts w:ascii="Arial" w:cs="Arial" w:eastAsia="Arial" w:hAnsi="Arial"/>
                <w:sz w:val="13"/>
                <w:szCs w:val="13"/>
                <w:b w:val="1"/>
                <w:bCs w:val="1"/>
                <w:color w:val="auto"/>
              </w:rPr>
              <w:t>Period Ended</w:t>
            </w: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Consolidated Centers</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Venture Centers</w:t>
            </w:r>
          </w:p>
        </w:tc>
        <w:tc>
          <w:tcPr>
            <w:tcW w:w="1520" w:type="dxa"/>
            <w:vAlign w:val="bottom"/>
          </w:tcPr>
          <w:p>
            <w:pPr>
              <w:jc w:val="right"/>
              <w:ind w:right="445"/>
              <w:spacing w:after="0"/>
              <w:rPr>
                <w:sz w:val="20"/>
                <w:szCs w:val="20"/>
                <w:color w:val="auto"/>
              </w:rPr>
            </w:pPr>
            <w:r>
              <w:rPr>
                <w:rFonts w:ascii="Arial" w:cs="Arial" w:eastAsia="Arial" w:hAnsi="Arial"/>
                <w:sz w:val="13"/>
                <w:szCs w:val="13"/>
                <w:b w:val="1"/>
                <w:bCs w:val="1"/>
                <w:color w:val="auto"/>
              </w:rPr>
              <w:t>Centers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9/30/2022</w:t>
            </w:r>
          </w:p>
        </w:tc>
        <w:tc>
          <w:tcPr>
            <w:tcW w:w="56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92.5 %</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92.1 %</w:t>
            </w:r>
          </w:p>
        </w:tc>
      </w:tr>
      <w:tr>
        <w:trPr>
          <w:trHeight w:val="215"/>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9/30/2021</w:t>
            </w:r>
          </w:p>
        </w:tc>
        <w:tc>
          <w:tcPr>
            <w:tcW w:w="5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89.3 %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91.4 %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90.3 %</w:t>
            </w:r>
          </w:p>
        </w:tc>
      </w:tr>
      <w:tr>
        <w:trPr>
          <w:trHeight w:val="217"/>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12/31/2021</w:t>
            </w:r>
          </w:p>
        </w:tc>
        <w:tc>
          <w:tcPr>
            <w:tcW w:w="56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92.4 %</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91.5 %</w:t>
            </w:r>
          </w:p>
        </w:tc>
      </w:tr>
      <w:tr>
        <w:trPr>
          <w:trHeight w:val="215"/>
        </w:trPr>
        <w:tc>
          <w:tcPr>
            <w:tcW w:w="820" w:type="dxa"/>
            <w:vAlign w:val="bottom"/>
            <w:gridSpan w:val="2"/>
          </w:tcPr>
          <w:p>
            <w:pPr>
              <w:ind w:left="20"/>
              <w:spacing w:after="0"/>
              <w:rPr>
                <w:sz w:val="20"/>
                <w:szCs w:val="20"/>
                <w:color w:val="auto"/>
              </w:rPr>
            </w:pPr>
            <w:r>
              <w:rPr>
                <w:rFonts w:ascii="Arial" w:cs="Arial" w:eastAsia="Arial" w:hAnsi="Arial"/>
                <w:sz w:val="16"/>
                <w:szCs w:val="16"/>
                <w:color w:val="auto"/>
                <w:w w:val="97"/>
              </w:rPr>
              <w:t>12/31/2020</w:t>
            </w:r>
          </w:p>
        </w:tc>
        <w:tc>
          <w:tcPr>
            <w:tcW w:w="5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89.6 %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89.8 %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89.7 %</w:t>
            </w:r>
          </w:p>
        </w:tc>
      </w:tr>
    </w:tbl>
    <w:p>
      <w:pPr>
        <w:spacing w:after="0" w:line="330" w:lineRule="exact"/>
        <w:rPr>
          <w:sz w:val="20"/>
          <w:szCs w:val="20"/>
          <w:color w:val="auto"/>
        </w:rPr>
      </w:pPr>
    </w:p>
    <w:p>
      <w:pPr>
        <w:ind w:left="420" w:right="360" w:hanging="412"/>
        <w:spacing w:after="0" w:line="285" w:lineRule="auto"/>
        <w:tabs>
          <w:tab w:leader="none" w:pos="4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Portfolio Occupancy is the percentage of mall and freestanding GLA leased as of the last day of the reporting period. Portfolio Occupancy excludes all Centers under development and redevelopment.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36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Average Base Rent Per Square Foot(a)</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Average Base Rent</w:t>
            </w:r>
          </w:p>
        </w:tc>
        <w:tc>
          <w:tcPr>
            <w:tcW w:w="120" w:type="dxa"/>
            <w:vAlign w:val="bottom"/>
          </w:tcPr>
          <w:p>
            <w:pPr>
              <w:spacing w:after="0"/>
              <w:rPr>
                <w:sz w:val="13"/>
                <w:szCs w:val="13"/>
                <w:color w:val="auto"/>
              </w:rPr>
            </w:pPr>
          </w:p>
        </w:tc>
        <w:tc>
          <w:tcPr>
            <w:tcW w:w="1320" w:type="dxa"/>
            <w:vAlign w:val="bottom"/>
          </w:tcPr>
          <w:p>
            <w:pPr>
              <w:jc w:val="center"/>
              <w:ind w:right="64"/>
              <w:spacing w:after="0"/>
              <w:rPr>
                <w:sz w:val="20"/>
                <w:szCs w:val="20"/>
                <w:color w:val="auto"/>
              </w:rPr>
            </w:pPr>
            <w:r>
              <w:rPr>
                <w:rFonts w:ascii="Arial" w:cs="Arial" w:eastAsia="Arial" w:hAnsi="Arial"/>
                <w:sz w:val="13"/>
                <w:szCs w:val="13"/>
                <w:b w:val="1"/>
                <w:bCs w:val="1"/>
                <w:color w:val="auto"/>
                <w:w w:val="96"/>
              </w:rPr>
              <w:t>Average Base Rent</w:t>
            </w:r>
          </w:p>
        </w:tc>
      </w:tr>
      <w:tr>
        <w:trPr>
          <w:trHeight w:val="148"/>
        </w:trPr>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PSF on Leases</w:t>
            </w:r>
          </w:p>
        </w:tc>
        <w:tc>
          <w:tcPr>
            <w:tcW w:w="120" w:type="dxa"/>
            <w:vAlign w:val="bottom"/>
          </w:tcPr>
          <w:p>
            <w:pPr>
              <w:spacing w:after="0"/>
              <w:rPr>
                <w:sz w:val="12"/>
                <w:szCs w:val="12"/>
                <w:color w:val="auto"/>
              </w:rPr>
            </w:pPr>
          </w:p>
        </w:tc>
        <w:tc>
          <w:tcPr>
            <w:tcW w:w="1320" w:type="dxa"/>
            <w:vAlign w:val="bottom"/>
          </w:tcPr>
          <w:p>
            <w:pPr>
              <w:jc w:val="center"/>
              <w:ind w:right="64"/>
              <w:spacing w:after="0"/>
              <w:rPr>
                <w:sz w:val="20"/>
                <w:szCs w:val="20"/>
                <w:color w:val="auto"/>
              </w:rPr>
            </w:pPr>
            <w:r>
              <w:rPr>
                <w:rFonts w:ascii="Arial" w:cs="Arial" w:eastAsia="Arial" w:hAnsi="Arial"/>
                <w:sz w:val="13"/>
                <w:szCs w:val="13"/>
                <w:b w:val="1"/>
                <w:bCs w:val="1"/>
                <w:color w:val="auto"/>
                <w:w w:val="97"/>
              </w:rPr>
              <w:t>PSF on Leases</w:t>
            </w:r>
          </w:p>
        </w:tc>
      </w:tr>
      <w:tr>
        <w:trPr>
          <w:trHeight w:val="162"/>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Executed During the</w:t>
            </w:r>
          </w:p>
        </w:tc>
        <w:tc>
          <w:tcPr>
            <w:tcW w:w="12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3"/>
                <w:szCs w:val="13"/>
                <w:b w:val="1"/>
                <w:bCs w:val="1"/>
                <w:color w:val="auto"/>
                <w:w w:val="97"/>
              </w:rPr>
              <w:t>Expiring During the</w:t>
            </w:r>
          </w:p>
        </w:tc>
      </w:tr>
      <w:tr>
        <w:trPr>
          <w:trHeight w:val="148"/>
        </w:trPr>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Average Base Rent</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Twelve</w:t>
            </w:r>
          </w:p>
        </w:tc>
        <w:tc>
          <w:tcPr>
            <w:tcW w:w="120" w:type="dxa"/>
            <w:vAlign w:val="bottom"/>
          </w:tcPr>
          <w:p>
            <w:pPr>
              <w:spacing w:after="0"/>
              <w:rPr>
                <w:sz w:val="12"/>
                <w:szCs w:val="12"/>
                <w:color w:val="auto"/>
              </w:rPr>
            </w:pPr>
          </w:p>
        </w:tc>
        <w:tc>
          <w:tcPr>
            <w:tcW w:w="1320" w:type="dxa"/>
            <w:vAlign w:val="bottom"/>
          </w:tcPr>
          <w:p>
            <w:pPr>
              <w:jc w:val="center"/>
              <w:ind w:right="104"/>
              <w:spacing w:after="0"/>
              <w:rPr>
                <w:sz w:val="20"/>
                <w:szCs w:val="20"/>
                <w:color w:val="auto"/>
              </w:rPr>
            </w:pPr>
            <w:r>
              <w:rPr>
                <w:rFonts w:ascii="Arial" w:cs="Arial" w:eastAsia="Arial" w:hAnsi="Arial"/>
                <w:sz w:val="13"/>
                <w:szCs w:val="13"/>
                <w:b w:val="1"/>
                <w:bCs w:val="1"/>
                <w:color w:val="auto"/>
                <w:w w:val="96"/>
              </w:rPr>
              <w:t>Twelve</w:t>
            </w:r>
          </w:p>
        </w:tc>
      </w:tr>
      <w:tr>
        <w:trPr>
          <w:trHeight w:val="172"/>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PSF(b)</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Months Ended(c)</w:t>
            </w:r>
          </w:p>
        </w:tc>
        <w:tc>
          <w:tcPr>
            <w:tcW w:w="12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3"/>
                <w:szCs w:val="13"/>
                <w:b w:val="1"/>
                <w:bCs w:val="1"/>
                <w:color w:val="auto"/>
                <w:w w:val="96"/>
              </w:rPr>
              <w:t>Months Ended(d)</w:t>
            </w: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Centers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5"/>
        </w:trPr>
        <w:tc>
          <w:tcPr>
            <w:tcW w:w="6760" w:type="dxa"/>
            <w:vAlign w:val="bottom"/>
          </w:tcPr>
          <w:p>
            <w:pPr>
              <w:ind w:left="220"/>
              <w:spacing w:after="0"/>
              <w:rPr>
                <w:sz w:val="20"/>
                <w:szCs w:val="20"/>
                <w:color w:val="auto"/>
              </w:rPr>
            </w:pPr>
            <w:r>
              <w:rPr>
                <w:rFonts w:ascii="Arial" w:cs="Arial" w:eastAsia="Arial" w:hAnsi="Arial"/>
                <w:sz w:val="16"/>
                <w:szCs w:val="16"/>
                <w:color w:val="auto"/>
              </w:rPr>
              <w:t>9/30/2022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60.80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58.06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56.09</w:t>
            </w:r>
          </w:p>
        </w:tc>
      </w:tr>
      <w:tr>
        <w:trPr>
          <w:trHeight w:val="217"/>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9/30/2021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55.59</w:t>
            </w:r>
          </w:p>
        </w:tc>
      </w:tr>
      <w:tr>
        <w:trPr>
          <w:trHeight w:val="215"/>
        </w:trPr>
        <w:tc>
          <w:tcPr>
            <w:tcW w:w="6760" w:type="dxa"/>
            <w:vAlign w:val="bottom"/>
          </w:tcPr>
          <w:p>
            <w:pPr>
              <w:ind w:left="220"/>
              <w:spacing w:after="0"/>
              <w:rPr>
                <w:sz w:val="20"/>
                <w:szCs w:val="20"/>
                <w:color w:val="auto"/>
              </w:rPr>
            </w:pPr>
            <w:r>
              <w:rPr>
                <w:rFonts w:ascii="Arial" w:cs="Arial" w:eastAsia="Arial" w:hAnsi="Arial"/>
                <w:sz w:val="16"/>
                <w:szCs w:val="16"/>
                <w:color w:val="auto"/>
              </w:rPr>
              <w:t>12/31/2021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59.86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56.39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55.91</w:t>
            </w:r>
          </w:p>
        </w:tc>
      </w:tr>
      <w:tr>
        <w:trPr>
          <w:trHeight w:val="217"/>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12/31/2020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52.60</w:t>
            </w: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Unconsolidated Joint Venture Centers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9/30/2022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61.52</w:t>
            </w:r>
          </w:p>
        </w:tc>
      </w:tr>
      <w:tr>
        <w:trPr>
          <w:trHeight w:val="215"/>
        </w:trPr>
        <w:tc>
          <w:tcPr>
            <w:tcW w:w="6760" w:type="dxa"/>
            <w:vAlign w:val="bottom"/>
          </w:tcPr>
          <w:p>
            <w:pPr>
              <w:ind w:left="220"/>
              <w:spacing w:after="0"/>
              <w:rPr>
                <w:sz w:val="20"/>
                <w:szCs w:val="20"/>
                <w:color w:val="auto"/>
              </w:rPr>
            </w:pPr>
            <w:r>
              <w:rPr>
                <w:rFonts w:ascii="Arial" w:cs="Arial" w:eastAsia="Arial" w:hAnsi="Arial"/>
                <w:sz w:val="16"/>
                <w:szCs w:val="16"/>
                <w:color w:val="auto"/>
              </w:rPr>
              <w:t>9/30/2021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66.69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65.78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59.28</w:t>
            </w:r>
          </w:p>
        </w:tc>
      </w:tr>
      <w:tr>
        <w:trPr>
          <w:trHeight w:val="217"/>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12/31/2021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60.48</w:t>
            </w:r>
          </w:p>
        </w:tc>
      </w:tr>
      <w:tr>
        <w:trPr>
          <w:trHeight w:val="215"/>
        </w:trPr>
        <w:tc>
          <w:tcPr>
            <w:tcW w:w="6760" w:type="dxa"/>
            <w:vAlign w:val="bottom"/>
          </w:tcPr>
          <w:p>
            <w:pPr>
              <w:ind w:left="220"/>
              <w:spacing w:after="0"/>
              <w:rPr>
                <w:sz w:val="20"/>
                <w:szCs w:val="20"/>
                <w:color w:val="auto"/>
              </w:rPr>
            </w:pPr>
            <w:r>
              <w:rPr>
                <w:rFonts w:ascii="Arial" w:cs="Arial" w:eastAsia="Arial" w:hAnsi="Arial"/>
                <w:sz w:val="16"/>
                <w:szCs w:val="16"/>
                <w:color w:val="auto"/>
              </w:rPr>
              <w:t>12/31/2020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66.34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57.23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52.62</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All Regional Town Centers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760" w:type="dxa"/>
            <w:vAlign w:val="bottom"/>
          </w:tcPr>
          <w:p>
            <w:pPr>
              <w:ind w:left="220"/>
              <w:spacing w:after="0"/>
              <w:rPr>
                <w:sz w:val="20"/>
                <w:szCs w:val="20"/>
                <w:color w:val="auto"/>
              </w:rPr>
            </w:pPr>
            <w:r>
              <w:rPr>
                <w:rFonts w:ascii="Arial" w:cs="Arial" w:eastAsia="Arial" w:hAnsi="Arial"/>
                <w:sz w:val="16"/>
                <w:szCs w:val="16"/>
                <w:color w:val="auto"/>
              </w:rPr>
              <w:t>9/30/2022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62.96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61.40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57.60</w:t>
            </w:r>
          </w:p>
        </w:tc>
      </w:tr>
      <w:tr>
        <w:trPr>
          <w:trHeight w:val="217"/>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9/30/2021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56.65</w:t>
            </w:r>
          </w:p>
        </w:tc>
      </w:tr>
      <w:tr>
        <w:trPr>
          <w:trHeight w:val="215"/>
        </w:trPr>
        <w:tc>
          <w:tcPr>
            <w:tcW w:w="6760" w:type="dxa"/>
            <w:vAlign w:val="bottom"/>
          </w:tcPr>
          <w:p>
            <w:pPr>
              <w:ind w:left="220"/>
              <w:spacing w:after="0"/>
              <w:rPr>
                <w:sz w:val="20"/>
                <w:szCs w:val="20"/>
                <w:color w:val="auto"/>
              </w:rPr>
            </w:pPr>
            <w:r>
              <w:rPr>
                <w:rFonts w:ascii="Arial" w:cs="Arial" w:eastAsia="Arial" w:hAnsi="Arial"/>
                <w:sz w:val="16"/>
                <w:szCs w:val="16"/>
                <w:color w:val="auto"/>
              </w:rPr>
              <w:t>12/31/2021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61.98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60.02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57.23</w:t>
            </w:r>
          </w:p>
        </w:tc>
      </w:tr>
      <w:tr>
        <w:trPr>
          <w:trHeight w:val="217"/>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12/31/2020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52.60</w:t>
            </w:r>
          </w:p>
        </w:tc>
      </w:tr>
    </w:tbl>
    <w:p>
      <w:pPr>
        <w:spacing w:after="0" w:line="328" w:lineRule="exact"/>
        <w:rPr>
          <w:sz w:val="20"/>
          <w:szCs w:val="20"/>
          <w:color w:val="auto"/>
        </w:rPr>
      </w:pPr>
    </w:p>
    <w:p>
      <w:pPr>
        <w:ind w:left="420" w:right="160" w:hanging="412"/>
        <w:spacing w:after="0" w:line="285" w:lineRule="auto"/>
        <w:tabs>
          <w:tab w:leader="none" w:pos="4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Average base rent per square foot is based on spaces 10,000 square feet and under. All joint venture amounts are included at pro rata. Centers under development and redevelopment are excluded.</w:t>
      </w:r>
    </w:p>
    <w:p>
      <w:pPr>
        <w:spacing w:after="0" w:line="198" w:lineRule="exact"/>
        <w:rPr>
          <w:rFonts w:ascii="Arial" w:cs="Arial" w:eastAsia="Arial" w:hAnsi="Arial"/>
          <w:sz w:val="14"/>
          <w:szCs w:val="14"/>
          <w:color w:val="auto"/>
        </w:rPr>
      </w:pPr>
    </w:p>
    <w:p>
      <w:pPr>
        <w:ind w:left="420" w:right="780" w:hanging="412"/>
        <w:spacing w:after="0" w:line="305" w:lineRule="auto"/>
        <w:tabs>
          <w:tab w:leader="none" w:pos="4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Average base rent per square foot gives effect to the terms of each lease in effect, as of the applicable date, including any concessions, abatements and other adjustments or allowances that have been granted to the tenants.</w:t>
      </w:r>
    </w:p>
    <w:p>
      <w:pPr>
        <w:spacing w:after="0" w:line="184" w:lineRule="exact"/>
        <w:rPr>
          <w:rFonts w:ascii="Arial" w:cs="Arial" w:eastAsia="Arial" w:hAnsi="Arial"/>
          <w:sz w:val="14"/>
          <w:szCs w:val="14"/>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average base rent per square foot on leases executed during the period represents the actual rent to be paid during the first twelve months.</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average base rent per square foot on leases expiring during the period represents the final year minimum rent on a cash basis.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314" w:right="339" w:bottom="1440" w:gutter="0" w:footer="0" w:header="0"/>
        </w:sectPr>
      </w:pPr>
    </w:p>
    <w:bookmarkStart w:id="27" w:name="page28"/>
    <w:bookmarkEnd w:id="27"/>
    <w:p>
      <w:pPr>
        <w:jc w:val="center"/>
        <w:ind w:right="-3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The Macerich Company</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Cost of Occupancy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For the Twelve Months</w:t>
            </w:r>
          </w:p>
        </w:tc>
        <w:tc>
          <w:tcPr>
            <w:tcW w:w="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6"/>
              </w:rPr>
              <w:t>For the Twelve Months</w:t>
            </w:r>
          </w:p>
        </w:tc>
      </w:tr>
      <w:tr>
        <w:trPr>
          <w:trHeight w:val="131"/>
        </w:trPr>
        <w:tc>
          <w:tcPr>
            <w:tcW w:w="6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5"/>
              </w:rPr>
              <w:t>Ended</w:t>
            </w:r>
          </w:p>
        </w:tc>
        <w:tc>
          <w:tcPr>
            <w:tcW w:w="20" w:type="dxa"/>
            <w:vAlign w:val="bottom"/>
          </w:tcPr>
          <w:p>
            <w:pPr>
              <w:spacing w:after="0"/>
              <w:rPr>
                <w:sz w:val="11"/>
                <w:szCs w:val="11"/>
                <w:color w:val="auto"/>
              </w:rPr>
            </w:pPr>
          </w:p>
        </w:tc>
        <w:tc>
          <w:tcPr>
            <w:tcW w:w="1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Ended December 31,</w:t>
            </w:r>
          </w:p>
        </w:tc>
      </w:tr>
      <w:tr>
        <w:trPr>
          <w:trHeight w:val="176"/>
        </w:trPr>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September 30, 2022</w:t>
            </w:r>
          </w:p>
        </w:tc>
        <w:tc>
          <w:tcPr>
            <w:tcW w:w="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8"/>
              </w:rPr>
              <w:t>2019(a)</w:t>
            </w:r>
          </w:p>
        </w:tc>
      </w:tr>
      <w:tr>
        <w:trPr>
          <w:trHeight w:val="20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Centers</w:t>
            </w:r>
          </w:p>
        </w:tc>
        <w:tc>
          <w:tcPr>
            <w:tcW w:w="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5"/>
        </w:trPr>
        <w:tc>
          <w:tcPr>
            <w:tcW w:w="6900" w:type="dxa"/>
            <w:vAlign w:val="bottom"/>
          </w:tcPr>
          <w:p>
            <w:pPr>
              <w:ind w:left="360"/>
              <w:spacing w:after="0"/>
              <w:rPr>
                <w:sz w:val="20"/>
                <w:szCs w:val="20"/>
                <w:color w:val="auto"/>
              </w:rPr>
            </w:pPr>
            <w:r>
              <w:rPr>
                <w:rFonts w:ascii="Arial" w:cs="Arial" w:eastAsia="Arial" w:hAnsi="Arial"/>
                <w:sz w:val="16"/>
                <w:szCs w:val="16"/>
                <w:color w:val="auto"/>
              </w:rPr>
              <w:t>Minimum rents</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Percentage rents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5"/>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Expense recoveries(b)</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3.1 %</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3.6 %</w:t>
            </w:r>
          </w:p>
        </w:tc>
      </w:tr>
      <w:tr>
        <w:trPr>
          <w:trHeight w:val="235"/>
        </w:trPr>
        <w:tc>
          <w:tcPr>
            <w:tcW w:w="6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Unconsolidated Joint Venture Centers</w:t>
            </w: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6900" w:type="dxa"/>
            <w:vAlign w:val="bottom"/>
          </w:tcPr>
          <w:p>
            <w:pPr>
              <w:ind w:left="360"/>
              <w:spacing w:after="0"/>
              <w:rPr>
                <w:sz w:val="20"/>
                <w:szCs w:val="20"/>
                <w:color w:val="auto"/>
              </w:rPr>
            </w:pPr>
            <w:r>
              <w:rPr>
                <w:rFonts w:ascii="Arial" w:cs="Arial" w:eastAsia="Arial" w:hAnsi="Arial"/>
                <w:sz w:val="16"/>
                <w:szCs w:val="16"/>
                <w:color w:val="auto"/>
              </w:rPr>
              <w:t>Minimum rents</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7.3 %</w:t>
            </w:r>
          </w:p>
        </w:tc>
      </w:tr>
      <w:tr>
        <w:trPr>
          <w:trHeight w:val="217"/>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Percentage rents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5"/>
        </w:trPr>
        <w:tc>
          <w:tcPr>
            <w:tcW w:w="6900" w:type="dxa"/>
            <w:vAlign w:val="bottom"/>
          </w:tcPr>
          <w:p>
            <w:pPr>
              <w:ind w:left="360"/>
              <w:spacing w:after="0"/>
              <w:rPr>
                <w:sz w:val="20"/>
                <w:szCs w:val="20"/>
                <w:color w:val="auto"/>
              </w:rPr>
            </w:pPr>
            <w:r>
              <w:rPr>
                <w:rFonts w:ascii="Arial" w:cs="Arial" w:eastAsia="Arial" w:hAnsi="Arial"/>
                <w:sz w:val="16"/>
                <w:szCs w:val="16"/>
                <w:color w:val="auto"/>
              </w:rPr>
              <w:t>Expense recoveries(b)</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2.8 %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3.2 %</w:t>
            </w:r>
          </w:p>
        </w:tc>
      </w:tr>
      <w:tr>
        <w:trPr>
          <w:trHeight w:val="235"/>
        </w:trPr>
        <w:tc>
          <w:tcPr>
            <w:tcW w:w="69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82"/>
        </w:trPr>
        <w:tc>
          <w:tcPr>
            <w:tcW w:w="6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All Centers</w:t>
            </w: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6900" w:type="dxa"/>
            <w:vAlign w:val="bottom"/>
          </w:tcPr>
          <w:p>
            <w:pPr>
              <w:ind w:left="360"/>
              <w:spacing w:after="0"/>
              <w:rPr>
                <w:sz w:val="20"/>
                <w:szCs w:val="20"/>
                <w:color w:val="auto"/>
              </w:rPr>
            </w:pPr>
            <w:r>
              <w:rPr>
                <w:rFonts w:ascii="Arial" w:cs="Arial" w:eastAsia="Arial" w:hAnsi="Arial"/>
                <w:sz w:val="16"/>
                <w:szCs w:val="16"/>
                <w:color w:val="auto"/>
              </w:rPr>
              <w:t>Minimum rents</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8.1 %</w:t>
            </w:r>
          </w:p>
        </w:tc>
      </w:tr>
      <w:tr>
        <w:trPr>
          <w:trHeight w:val="217"/>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Percentage rents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5"/>
        </w:trPr>
        <w:tc>
          <w:tcPr>
            <w:tcW w:w="6900" w:type="dxa"/>
            <w:vAlign w:val="bottom"/>
          </w:tcPr>
          <w:p>
            <w:pPr>
              <w:ind w:left="360"/>
              <w:spacing w:after="0"/>
              <w:rPr>
                <w:sz w:val="20"/>
                <w:szCs w:val="20"/>
                <w:color w:val="auto"/>
              </w:rPr>
            </w:pPr>
            <w:r>
              <w:rPr>
                <w:rFonts w:ascii="Arial" w:cs="Arial" w:eastAsia="Arial" w:hAnsi="Arial"/>
                <w:sz w:val="16"/>
                <w:szCs w:val="16"/>
                <w:color w:val="auto"/>
              </w:rPr>
              <w:t>Expense recoveries(b)</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3.4 %</w:t>
            </w:r>
          </w:p>
        </w:tc>
      </w:tr>
      <w:tr>
        <w:trPr>
          <w:trHeight w:val="235"/>
        </w:trPr>
        <w:tc>
          <w:tcPr>
            <w:tcW w:w="69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440" w:hanging="342"/>
        <w:spacing w:after="0"/>
        <w:tabs>
          <w:tab w:leader="none" w:pos="440"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Cost of Occupancy is compared to the trailing twelve months ended December 31, 2019, the most immediately comparative period prior to the COVID-19 pandemic.</w:t>
      </w:r>
    </w:p>
    <w:p>
      <w:pPr>
        <w:spacing w:after="0" w:line="244" w:lineRule="exact"/>
        <w:rPr>
          <w:rFonts w:ascii="Arial" w:cs="Arial" w:eastAsia="Arial" w:hAnsi="Arial"/>
          <w:sz w:val="14"/>
          <w:szCs w:val="14"/>
          <w:color w:val="231F20"/>
        </w:rPr>
      </w:pPr>
    </w:p>
    <w:p>
      <w:pPr>
        <w:ind w:left="440" w:hanging="342"/>
        <w:spacing w:after="0"/>
        <w:tabs>
          <w:tab w:leader="none" w:pos="440" w:val="left"/>
        </w:tabs>
        <w:numPr>
          <w:ilvl w:val="0"/>
          <w:numId w:val="16"/>
        </w:numPr>
        <w:rPr>
          <w:rFonts w:ascii="Arial" w:cs="Arial" w:eastAsia="Arial" w:hAnsi="Arial"/>
          <w:sz w:val="14"/>
          <w:szCs w:val="14"/>
          <w:color w:val="231F20"/>
        </w:rPr>
      </w:pPr>
      <w:r>
        <w:rPr>
          <w:rFonts w:ascii="Arial" w:cs="Arial" w:eastAsia="Arial" w:hAnsi="Arial"/>
          <w:sz w:val="14"/>
          <w:szCs w:val="14"/>
          <w:color w:val="231F20"/>
        </w:rPr>
        <w:t>Represents real estate tax and common area maintenance charges.</w:t>
      </w: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00"/>
          </w:cols>
          <w:pgMar w:left="320" w:top="314" w:right="67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620" w:type="dxa"/>
            <w:vAlign w:val="bottom"/>
            <w:gridSpan w:val="2"/>
          </w:tcPr>
          <w:p>
            <w:pPr>
              <w:jc w:val="center"/>
              <w:ind w:right="2530"/>
              <w:spacing w:after="0"/>
              <w:rPr>
                <w:sz w:val="20"/>
                <w:szCs w:val="20"/>
                <w:color w:val="auto"/>
              </w:rPr>
            </w:pPr>
            <w:r>
              <w:rPr>
                <w:rFonts w:ascii="Arial" w:cs="Arial" w:eastAsia="Arial" w:hAnsi="Arial"/>
                <w:sz w:val="16"/>
                <w:szCs w:val="16"/>
                <w:b w:val="1"/>
                <w:bCs w:val="1"/>
                <w:color w:val="auto"/>
              </w:rPr>
              <w:t>The Macerich Company</w:t>
            </w: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620" w:type="dxa"/>
            <w:vAlign w:val="bottom"/>
            <w:gridSpan w:val="2"/>
          </w:tcPr>
          <w:p>
            <w:pPr>
              <w:jc w:val="center"/>
              <w:ind w:right="2530"/>
              <w:spacing w:after="0"/>
              <w:rPr>
                <w:sz w:val="20"/>
                <w:szCs w:val="20"/>
                <w:color w:val="auto"/>
              </w:rPr>
            </w:pPr>
            <w:r>
              <w:rPr>
                <w:rFonts w:ascii="Arial" w:cs="Arial" w:eastAsia="Arial" w:hAnsi="Arial"/>
                <w:sz w:val="16"/>
                <w:szCs w:val="16"/>
                <w:b w:val="1"/>
                <w:bCs w:val="1"/>
                <w:color w:val="auto"/>
              </w:rPr>
              <w:t>Supplemental Financial and Operating Information (unaudited)</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20" w:type="dxa"/>
            <w:vAlign w:val="bottom"/>
            <w:gridSpan w:val="2"/>
          </w:tcPr>
          <w:p>
            <w:pPr>
              <w:jc w:val="center"/>
              <w:ind w:right="2550"/>
              <w:spacing w:after="0"/>
              <w:rPr>
                <w:sz w:val="20"/>
                <w:szCs w:val="20"/>
                <w:color w:val="auto"/>
              </w:rPr>
            </w:pPr>
            <w:r>
              <w:rPr>
                <w:rFonts w:ascii="Arial" w:cs="Arial" w:eastAsia="Arial" w:hAnsi="Arial"/>
                <w:sz w:val="16"/>
                <w:szCs w:val="16"/>
                <w:b w:val="1"/>
                <w:bCs w:val="1"/>
                <w:color w:val="auto"/>
              </w:rPr>
              <w:t>Percentage of Net Operating Income by State</w:t>
            </w:r>
          </w:p>
        </w:tc>
      </w:tr>
      <w:tr>
        <w:trPr>
          <w:trHeight w:val="54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 of Portfolio</w:t>
            </w: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20" w:type="dxa"/>
            <w:vAlign w:val="bottom"/>
            <w:gridSpan w:val="2"/>
          </w:tcPr>
          <w:p>
            <w:pPr>
              <w:jc w:val="center"/>
              <w:ind w:left="6941"/>
              <w:spacing w:after="0"/>
              <w:rPr>
                <w:sz w:val="20"/>
                <w:szCs w:val="20"/>
                <w:color w:val="auto"/>
              </w:rPr>
            </w:pPr>
            <w:r>
              <w:rPr>
                <w:rFonts w:ascii="Arial" w:cs="Arial" w:eastAsia="Arial" w:hAnsi="Arial"/>
                <w:sz w:val="13"/>
                <w:szCs w:val="13"/>
                <w:b w:val="1"/>
                <w:bCs w:val="1"/>
                <w:color w:val="auto"/>
                <w:w w:val="96"/>
              </w:rPr>
              <w:t>2021</w:t>
            </w: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Real Estate</w:t>
            </w:r>
          </w:p>
        </w:tc>
      </w:tr>
      <w:tr>
        <w:trPr>
          <w:trHeight w:val="153"/>
        </w:trPr>
        <w:tc>
          <w:tcPr>
            <w:tcW w:w="2600" w:type="dxa"/>
            <w:vAlign w:val="bottom"/>
            <w:gridSpan w:val="3"/>
          </w:tcPr>
          <w:p>
            <w:pPr>
              <w:ind w:left="20"/>
              <w:spacing w:after="0"/>
              <w:rPr>
                <w:sz w:val="20"/>
                <w:szCs w:val="20"/>
                <w:color w:val="auto"/>
              </w:rPr>
            </w:pPr>
            <w:r>
              <w:rPr>
                <w:rFonts w:ascii="Arial" w:cs="Arial" w:eastAsia="Arial" w:hAnsi="Arial"/>
                <w:sz w:val="13"/>
                <w:szCs w:val="13"/>
                <w:b w:val="1"/>
                <w:bCs w:val="1"/>
                <w:color w:val="auto"/>
              </w:rPr>
              <w:t>State</w:t>
            </w:r>
          </w:p>
        </w:tc>
        <w:tc>
          <w:tcPr>
            <w:tcW w:w="70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Pro Rata NOI(a)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70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27.7 %</w:t>
            </w:r>
          </w:p>
        </w:tc>
      </w:tr>
      <w:tr>
        <w:trPr>
          <w:trHeight w:val="215"/>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New York</w:t>
            </w:r>
          </w:p>
        </w:tc>
        <w:tc>
          <w:tcPr>
            <w:tcW w:w="8620" w:type="dxa"/>
            <w:vAlign w:val="bottom"/>
            <w:gridSpan w:val="2"/>
          </w:tcPr>
          <w:p>
            <w:pPr>
              <w:jc w:val="right"/>
              <w:spacing w:after="0"/>
              <w:rPr>
                <w:sz w:val="20"/>
                <w:szCs w:val="20"/>
                <w:color w:val="auto"/>
              </w:rPr>
            </w:pPr>
            <w:r>
              <w:rPr>
                <w:rFonts w:ascii="Arial" w:cs="Arial" w:eastAsia="Arial" w:hAnsi="Arial"/>
                <w:sz w:val="16"/>
                <w:szCs w:val="16"/>
                <w:color w:val="auto"/>
              </w:rPr>
              <w:t>23.4 %</w:t>
            </w:r>
          </w:p>
        </w:tc>
      </w:tr>
      <w:tr>
        <w:trPr>
          <w:trHeight w:val="217"/>
        </w:trPr>
        <w:tc>
          <w:tcPr>
            <w:tcW w:w="2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Arizona</w:t>
            </w:r>
          </w:p>
        </w:tc>
        <w:tc>
          <w:tcPr>
            <w:tcW w:w="8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5"/>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Pennsylvania &amp; Virginia</w:t>
            </w:r>
          </w:p>
        </w:tc>
        <w:tc>
          <w:tcPr>
            <w:tcW w:w="862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17"/>
        </w:trPr>
        <w:tc>
          <w:tcPr>
            <w:tcW w:w="2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Colorado, Illinois &amp; Missouri</w:t>
            </w:r>
          </w:p>
        </w:tc>
        <w:tc>
          <w:tcPr>
            <w:tcW w:w="8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15"/>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New Jersey &amp; Connecticut</w:t>
            </w:r>
          </w:p>
        </w:tc>
        <w:tc>
          <w:tcPr>
            <w:tcW w:w="8620" w:type="dxa"/>
            <w:vAlign w:val="bottom"/>
            <w:gridSpan w:val="2"/>
          </w:tcPr>
          <w:p>
            <w:pPr>
              <w:jc w:val="right"/>
              <w:spacing w:after="0"/>
              <w:rPr>
                <w:sz w:val="20"/>
                <w:szCs w:val="20"/>
                <w:color w:val="auto"/>
              </w:rPr>
            </w:pPr>
            <w:r>
              <w:rPr>
                <w:rFonts w:ascii="Arial" w:cs="Arial" w:eastAsia="Arial" w:hAnsi="Arial"/>
                <w:sz w:val="16"/>
                <w:szCs w:val="16"/>
                <w:color w:val="auto"/>
              </w:rPr>
              <w:t>6.7 %</w:t>
            </w:r>
          </w:p>
        </w:tc>
      </w:tr>
      <w:tr>
        <w:trPr>
          <w:trHeight w:val="217"/>
        </w:trPr>
        <w:tc>
          <w:tcPr>
            <w:tcW w:w="2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8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5"/>
        </w:trPr>
        <w:tc>
          <w:tcPr>
            <w:tcW w:w="2600" w:type="dxa"/>
            <w:vAlign w:val="bottom"/>
            <w:gridSpan w:val="3"/>
          </w:tcPr>
          <w:p>
            <w:pPr>
              <w:ind w:left="20"/>
              <w:spacing w:after="0"/>
              <w:rPr>
                <w:sz w:val="20"/>
                <w:szCs w:val="20"/>
                <w:color w:val="auto"/>
              </w:rPr>
            </w:pPr>
            <w:r>
              <w:rPr>
                <w:rFonts w:ascii="Arial" w:cs="Arial" w:eastAsia="Arial" w:hAnsi="Arial"/>
                <w:sz w:val="16"/>
                <w:szCs w:val="16"/>
                <w:color w:val="auto"/>
              </w:rPr>
              <w:t>Other(b)</w:t>
            </w:r>
          </w:p>
        </w:tc>
        <w:tc>
          <w:tcPr>
            <w:tcW w:w="862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7"/>
        </w:trPr>
        <w:tc>
          <w:tcPr>
            <w:tcW w:w="26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06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bl>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jc w:val="both"/>
        <w:ind w:left="420" w:right="80" w:hanging="412"/>
        <w:spacing w:after="0" w:line="273" w:lineRule="auto"/>
        <w:tabs>
          <w:tab w:leader="none" w:pos="4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percentage of Portfolio 2021 Real Estate Pro Rata NOI excludes straight-line and above/below market adjustments to minimum rents. Portfolio 2021 Real Estate Pro Rata NOI excludes REIT general and administrative expenses, management company revenues, management company expenses and leasing expenses (including joint ventures at pro rata).</w:t>
      </w:r>
    </w:p>
    <w:p>
      <w:pPr>
        <w:spacing w:after="0" w:line="206" w:lineRule="exact"/>
        <w:rPr>
          <w:rFonts w:ascii="Arial" w:cs="Arial" w:eastAsia="Arial" w:hAnsi="Arial"/>
          <w:sz w:val="14"/>
          <w:szCs w:val="14"/>
          <w:color w:val="auto"/>
        </w:rPr>
      </w:pPr>
    </w:p>
    <w:p>
      <w:pPr>
        <w:ind w:left="400" w:hanging="392"/>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includes Indiana, Iowa, Kentucky, North Dakota and Texas.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314"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The Macerich Company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Property Listing</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September 30, 2022</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following table sets forth certain information regarding the Centers and other locations that are wholly owned or partly owned by the Company.</w:t>
      </w:r>
    </w:p>
    <w:p>
      <w:pPr>
        <w:sectPr>
          <w:pgSz w:w="11900" w:h="16838" w:orient="portrait"/>
          <w:cols w:equalWidth="0" w:num="1">
            <w:col w:w="11140"/>
          </w:cols>
          <w:pgMar w:left="400" w:top="3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spacing w:after="0"/>
        <w:tabs>
          <w:tab w:leader="none" w:pos="4220" w:val="left"/>
        </w:tabs>
        <w:rPr>
          <w:sz w:val="20"/>
          <w:szCs w:val="20"/>
          <w:color w:val="auto"/>
        </w:rPr>
      </w:pPr>
      <w:r>
        <w:rPr>
          <w:rFonts w:ascii="Arial" w:cs="Arial" w:eastAsia="Arial" w:hAnsi="Arial"/>
          <w:sz w:val="13"/>
          <w:szCs w:val="13"/>
          <w:b w:val="1"/>
          <w:bCs w:val="1"/>
          <w:color w:val="auto"/>
        </w:rPr>
        <w:t>Company’s</w:t>
      </w:r>
      <w:r>
        <w:rPr>
          <w:sz w:val="20"/>
          <w:szCs w:val="20"/>
          <w:color w:val="auto"/>
        </w:rPr>
        <w:tab/>
      </w:r>
      <w:r>
        <w:rPr>
          <w:rFonts w:ascii="Arial" w:cs="Arial" w:eastAsia="Arial" w:hAnsi="Arial"/>
          <w:sz w:val="13"/>
          <w:szCs w:val="13"/>
          <w:b w:val="1"/>
          <w:bCs w:val="1"/>
          <w:color w:val="auto"/>
        </w:rPr>
        <w:t>Name of</w:t>
      </w:r>
    </w:p>
    <w:p>
      <w:pPr>
        <w:spacing w:after="0" w:line="11" w:lineRule="exact"/>
        <w:rPr>
          <w:sz w:val="20"/>
          <w:szCs w:val="20"/>
          <w:color w:val="auto"/>
        </w:rPr>
      </w:pPr>
    </w:p>
    <w:p>
      <w:pPr>
        <w:spacing w:after="0"/>
        <w:tabs>
          <w:tab w:leader="none" w:pos="760" w:val="left"/>
          <w:tab w:leader="none" w:pos="4020" w:val="left"/>
        </w:tabs>
        <w:rPr>
          <w:sz w:val="20"/>
          <w:szCs w:val="20"/>
          <w:color w:val="auto"/>
        </w:rPr>
      </w:pPr>
      <w:r>
        <w:rPr>
          <w:rFonts w:ascii="Arial" w:cs="Arial" w:eastAsia="Arial" w:hAnsi="Arial"/>
          <w:sz w:val="13"/>
          <w:szCs w:val="13"/>
          <w:b w:val="1"/>
          <w:bCs w:val="1"/>
          <w:color w:val="auto"/>
        </w:rPr>
        <w:t>Count</w:t>
      </w:r>
      <w:r>
        <w:rPr>
          <w:sz w:val="20"/>
          <w:szCs w:val="20"/>
          <w:color w:val="auto"/>
        </w:rPr>
        <w:tab/>
      </w:r>
      <w:r>
        <w:rPr>
          <w:rFonts w:ascii="Arial" w:cs="Arial" w:eastAsia="Arial" w:hAnsi="Arial"/>
          <w:sz w:val="13"/>
          <w:szCs w:val="13"/>
          <w:b w:val="1"/>
          <w:bCs w:val="1"/>
          <w:color w:val="auto"/>
        </w:rPr>
        <w:t>Ownership(a)</w:t>
      </w:r>
      <w:r>
        <w:rPr>
          <w:sz w:val="20"/>
          <w:szCs w:val="20"/>
          <w:color w:val="auto"/>
        </w:rPr>
        <w:tab/>
      </w:r>
      <w:r>
        <w:rPr>
          <w:rFonts w:ascii="Arial" w:cs="Arial" w:eastAsia="Arial" w:hAnsi="Arial"/>
          <w:sz w:val="12"/>
          <w:szCs w:val="12"/>
          <w:b w:val="1"/>
          <w:bCs w:val="1"/>
          <w:color w:val="auto"/>
        </w:rPr>
        <w:t>Center/Location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20320</wp:posOffset>
            </wp:positionV>
            <wp:extent cx="712343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CONSOLIDATED CENTERS:</w:t>
      </w:r>
    </w:p>
    <w:p>
      <w:pPr>
        <w:spacing w:after="0" w:line="39" w:lineRule="exact"/>
        <w:rPr>
          <w:sz w:val="20"/>
          <w:szCs w:val="20"/>
          <w:color w:val="auto"/>
        </w:rPr>
      </w:pPr>
    </w:p>
    <w:p>
      <w:pPr>
        <w:ind w:left="1960" w:right="2680" w:hanging="1627"/>
        <w:spacing w:after="0" w:line="286" w:lineRule="auto"/>
        <w:tabs>
          <w:tab w:leader="none" w:pos="13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50.1 % Chandler Fashion Center Chandler, Arizona</w:t>
      </w:r>
    </w:p>
    <w:p>
      <w:pPr>
        <w:ind w:left="1960" w:right="2940" w:hanging="1627"/>
        <w:spacing w:after="0" w:line="290" w:lineRule="auto"/>
        <w:tabs>
          <w:tab w:leader="none" w:pos="13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100 % Danbury Fair Mall Danbury,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-281305</wp:posOffset>
            </wp:positionV>
            <wp:extent cx="712343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ind w:left="1960" w:right="3260" w:hanging="1627"/>
        <w:spacing w:after="0" w:line="290" w:lineRule="auto"/>
        <w:tabs>
          <w:tab w:leader="none" w:pos="13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100 % Desert Sky Mall Phoenix, Arizona</w:t>
      </w:r>
    </w:p>
    <w:p>
      <w:pPr>
        <w:spacing w:after="0" w:line="1" w:lineRule="exact"/>
        <w:rPr>
          <w:sz w:val="20"/>
          <w:szCs w:val="20"/>
          <w:color w:val="auto"/>
        </w:rPr>
      </w:pPr>
    </w:p>
    <w:p>
      <w:pPr>
        <w:ind w:left="1960" w:right="3140" w:hanging="1627"/>
        <w:spacing w:after="0" w:line="290" w:lineRule="auto"/>
        <w:tabs>
          <w:tab w:leader="none" w:pos="13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100 % Eastland Mall(c) Evansville,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-281305</wp:posOffset>
            </wp:positionV>
            <wp:extent cx="7123430"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ind w:left="1960" w:right="2440" w:hanging="1627"/>
        <w:spacing w:after="0" w:line="290" w:lineRule="auto"/>
        <w:tabs>
          <w:tab w:leader="none" w:pos="14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50 % Fashion District Philadelphia Philadelphia, Pennsylvania</w:t>
      </w:r>
    </w:p>
    <w:p>
      <w:pPr>
        <w:spacing w:after="0" w:line="1" w:lineRule="exact"/>
        <w:rPr>
          <w:sz w:val="20"/>
          <w:szCs w:val="20"/>
          <w:color w:val="auto"/>
        </w:rPr>
      </w:pPr>
    </w:p>
    <w:p>
      <w:pPr>
        <w:ind w:left="1960" w:right="2520" w:hanging="1627"/>
        <w:spacing w:after="0" w:line="290" w:lineRule="auto"/>
        <w:tabs>
          <w:tab w:leader="none" w:pos="13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100 % Fashion Outlets of Chicago Rosemont,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-281305</wp:posOffset>
            </wp:positionV>
            <wp:extent cx="7123430" cy="283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ind w:left="1960" w:right="1800" w:hanging="1627"/>
        <w:spacing w:after="0" w:line="290" w:lineRule="auto"/>
        <w:tabs>
          <w:tab w:leader="none" w:pos="13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100 % Fashion Outlets of Niagara Falls USA Niagara Falls, New York</w:t>
      </w:r>
    </w:p>
    <w:p>
      <w:pPr>
        <w:spacing w:after="0" w:line="1" w:lineRule="exact"/>
        <w:rPr>
          <w:sz w:val="20"/>
          <w:szCs w:val="20"/>
          <w:color w:val="auto"/>
        </w:rPr>
      </w:pPr>
    </w:p>
    <w:p>
      <w:pPr>
        <w:ind w:left="1960" w:right="2800" w:hanging="1627"/>
        <w:spacing w:after="0" w:line="290" w:lineRule="auto"/>
        <w:tabs>
          <w:tab w:leader="none" w:pos="13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50.1 % Freehold Raceway Mall Freehold,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-281305</wp:posOffset>
            </wp:positionV>
            <wp:extent cx="712343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ind w:left="1960" w:right="3040" w:hanging="1627"/>
        <w:spacing w:after="0" w:line="290" w:lineRule="auto"/>
        <w:tabs>
          <w:tab w:leader="none" w:pos="13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100 % Fresno Fashion Fair Fresno, California</w:t>
      </w:r>
    </w:p>
    <w:p>
      <w:pPr>
        <w:spacing w:after="0" w:line="1" w:lineRule="exact"/>
        <w:rPr>
          <w:sz w:val="20"/>
          <w:szCs w:val="20"/>
          <w:color w:val="auto"/>
        </w:rPr>
      </w:pPr>
    </w:p>
    <w:p>
      <w:pPr>
        <w:ind w:left="1960" w:right="2700" w:hanging="1717"/>
        <w:spacing w:after="0" w:line="290" w:lineRule="auto"/>
        <w:tabs>
          <w:tab w:leader="none" w:pos="1384"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100 % Green Acres Mall(c) Valley Stream, New York</w:t>
      </w:r>
    </w:p>
    <w:p>
      <w:pPr>
        <w:ind w:left="1380" w:hanging="1125"/>
        <w:spacing w:after="0"/>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100 %  Inland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-398780</wp:posOffset>
            </wp:positionV>
            <wp:extent cx="7123430" cy="282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San Bernardino, California</w:t>
      </w:r>
    </w:p>
    <w:p>
      <w:pPr>
        <w:spacing w:after="0" w:line="43" w:lineRule="exact"/>
        <w:rPr>
          <w:sz w:val="20"/>
          <w:szCs w:val="20"/>
          <w:color w:val="auto"/>
        </w:rPr>
      </w:pPr>
    </w:p>
    <w:p>
      <w:pPr>
        <w:ind w:left="1960" w:right="2180" w:hanging="1717"/>
        <w:spacing w:after="0" w:line="290" w:lineRule="auto"/>
        <w:tabs>
          <w:tab w:leader="none" w:pos="13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 Kings Plaza Shopping Center(c) Brooklyn, New York</w:t>
      </w:r>
    </w:p>
    <w:p>
      <w:pPr>
        <w:ind w:left="1380" w:hanging="1137"/>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  La Cumbre Plaza(c)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-398780</wp:posOffset>
            </wp:positionV>
            <wp:extent cx="7123430" cy="283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Santa Barbara, California</w:t>
      </w:r>
    </w:p>
    <w:p>
      <w:pPr>
        <w:spacing w:after="0" w:line="43" w:lineRule="exact"/>
        <w:rPr>
          <w:sz w:val="20"/>
          <w:szCs w:val="20"/>
          <w:color w:val="auto"/>
        </w:rPr>
      </w:pPr>
    </w:p>
    <w:p>
      <w:pPr>
        <w:ind w:left="1960" w:right="3300" w:hanging="1717"/>
        <w:spacing w:after="0" w:line="290" w:lineRule="auto"/>
        <w:tabs>
          <w:tab w:leader="none" w:pos="13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100 % NorthPark Mall Davenport, Iowa</w:t>
      </w:r>
    </w:p>
    <w:p>
      <w:pPr>
        <w:ind w:left="1380" w:hanging="1137"/>
        <w:spacing w:after="0"/>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100 %  Oaks,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-398780</wp:posOffset>
            </wp:positionV>
            <wp:extent cx="7123430"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Thousand Oaks, California</w:t>
      </w:r>
    </w:p>
    <w:p>
      <w:pPr>
        <w:spacing w:after="0" w:line="43" w:lineRule="exact"/>
        <w:rPr>
          <w:sz w:val="20"/>
          <w:szCs w:val="20"/>
          <w:color w:val="auto"/>
        </w:rPr>
      </w:pPr>
    </w:p>
    <w:p>
      <w:pPr>
        <w:ind w:left="1960" w:right="3140" w:hanging="1717"/>
        <w:spacing w:after="0" w:line="290" w:lineRule="auto"/>
        <w:tabs>
          <w:tab w:leader="none" w:pos="13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100 % Pacific View Ventura, California</w:t>
      </w:r>
    </w:p>
    <w:p>
      <w:pPr>
        <w:jc w:val="right"/>
        <w:ind w:left="1960" w:right="3140" w:hanging="1717"/>
        <w:spacing w:after="0" w:line="309" w:lineRule="auto"/>
        <w:tabs>
          <w:tab w:leader="none" w:pos="1384" w:val="left"/>
        </w:tabs>
        <w:numPr>
          <w:ilvl w:val="0"/>
          <w:numId w:val="30"/>
        </w:numPr>
        <w:rPr>
          <w:rFonts w:ascii="Arial" w:cs="Arial" w:eastAsia="Arial" w:hAnsi="Arial"/>
          <w:sz w:val="15"/>
          <w:szCs w:val="15"/>
          <w:color w:val="auto"/>
        </w:rPr>
      </w:pPr>
      <w:r>
        <w:rPr>
          <w:rFonts w:ascii="Arial" w:cs="Arial" w:eastAsia="Arial" w:hAnsi="Arial"/>
          <w:sz w:val="15"/>
          <w:szCs w:val="15"/>
          <w:color w:val="auto"/>
        </w:rPr>
        <w:t>100 %  Queens Center(c) Queens, New York</w:t>
      </w:r>
    </w:p>
    <w:p>
      <w:pPr>
        <w:spacing w:after="0" w:line="1" w:lineRule="exact"/>
        <w:rPr>
          <w:rFonts w:ascii="Arial" w:cs="Arial" w:eastAsia="Arial" w:hAnsi="Arial"/>
          <w:sz w:val="15"/>
          <w:szCs w:val="15"/>
          <w:color w:val="auto"/>
        </w:rPr>
      </w:pPr>
    </w:p>
    <w:p>
      <w:pPr>
        <w:ind w:left="1960" w:right="2720" w:hanging="1717"/>
        <w:spacing w:after="0" w:line="290" w:lineRule="auto"/>
        <w:tabs>
          <w:tab w:leader="none" w:pos="13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100 % Santa Monica Place Santa Monica, California</w:t>
      </w:r>
    </w:p>
    <w:p>
      <w:pPr>
        <w:ind w:left="1960" w:right="2180" w:hanging="1717"/>
        <w:spacing w:after="0" w:line="290" w:lineRule="auto"/>
        <w:tabs>
          <w:tab w:leader="none" w:pos="13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84.9 % SanTan Village Regional Center Gilbert, Arizona</w:t>
      </w:r>
    </w:p>
    <w:p>
      <w:pPr>
        <w:ind w:left="1380" w:hanging="1137"/>
        <w:spacing w:after="0"/>
        <w:tabs>
          <w:tab w:leader="none" w:pos="1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100 %  SouthPark 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-1247140</wp:posOffset>
            </wp:positionV>
            <wp:extent cx="7123430" cy="282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3430" cy="28257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-681355</wp:posOffset>
            </wp:positionV>
            <wp:extent cx="7123430"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3430" cy="28257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-115570</wp:posOffset>
            </wp:positionV>
            <wp:extent cx="7123430"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Moline, Illinois</w:t>
      </w:r>
    </w:p>
    <w:p>
      <w:pPr>
        <w:spacing w:after="0" w:line="43" w:lineRule="exact"/>
        <w:rPr>
          <w:sz w:val="20"/>
          <w:szCs w:val="20"/>
          <w:color w:val="auto"/>
        </w:rPr>
      </w:pPr>
    </w:p>
    <w:p>
      <w:pPr>
        <w:ind w:left="1960" w:right="2960" w:hanging="1717"/>
        <w:spacing w:after="0" w:line="290" w:lineRule="auto"/>
        <w:tabs>
          <w:tab w:leader="none" w:pos="13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100 % Stonewood Center(c) Downey, California</w:t>
      </w:r>
    </w:p>
    <w:p>
      <w:pPr>
        <w:ind w:left="1960" w:right="2500" w:hanging="1717"/>
        <w:spacing w:after="0" w:line="290" w:lineRule="auto"/>
        <w:tabs>
          <w:tab w:leader="none" w:pos="13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100 % Superstition Springs Center Mesa, Arizona</w:t>
      </w:r>
    </w:p>
    <w:p>
      <w:pPr>
        <w:ind w:left="1380" w:hanging="1137"/>
        <w:spacing w:after="0"/>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100 %  Towne 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-398780</wp:posOffset>
            </wp:positionV>
            <wp:extent cx="712343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Elizabethtown, Kentucky</w:t>
      </w:r>
    </w:p>
    <w:p>
      <w:pPr>
        <w:spacing w:after="0" w:line="259"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Year of</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8"/>
        </w:trPr>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Original</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Construction/</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Year of Most Recent</w:t>
            </w:r>
          </w:p>
        </w:tc>
        <w:tc>
          <w:tcPr>
            <w:tcW w:w="1200" w:type="dxa"/>
            <w:vAlign w:val="bottom"/>
          </w:tcPr>
          <w:p>
            <w:pPr>
              <w:jc w:val="right"/>
              <w:ind w:right="380"/>
              <w:spacing w:after="0"/>
              <w:rPr>
                <w:sz w:val="20"/>
                <w:szCs w:val="20"/>
                <w:color w:val="auto"/>
              </w:rPr>
            </w:pPr>
            <w:r>
              <w:rPr>
                <w:rFonts w:ascii="Arial" w:cs="Arial" w:eastAsia="Arial" w:hAnsi="Arial"/>
                <w:sz w:val="13"/>
                <w:szCs w:val="13"/>
                <w:b w:val="1"/>
                <w:bCs w:val="1"/>
                <w:color w:val="auto"/>
              </w:rPr>
              <w:t>Total</w:t>
            </w:r>
          </w:p>
        </w:tc>
      </w:tr>
      <w:tr>
        <w:trPr>
          <w:trHeight w:val="185"/>
        </w:trPr>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Acquisition</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Expansion/Renovation</w:t>
            </w:r>
          </w:p>
        </w:tc>
        <w:tc>
          <w:tcPr>
            <w:tcW w:w="1200" w:type="dxa"/>
            <w:vAlign w:val="bottom"/>
          </w:tcPr>
          <w:p>
            <w:pPr>
              <w:jc w:val="right"/>
              <w:ind w:right="300"/>
              <w:spacing w:after="0"/>
              <w:rPr>
                <w:sz w:val="20"/>
                <w:szCs w:val="20"/>
                <w:color w:val="auto"/>
              </w:rPr>
            </w:pPr>
            <w:r>
              <w:rPr>
                <w:rFonts w:ascii="Arial" w:cs="Arial" w:eastAsia="Arial" w:hAnsi="Arial"/>
                <w:sz w:val="13"/>
                <w:szCs w:val="13"/>
                <w:b w:val="1"/>
                <w:bCs w:val="1"/>
                <w:color w:val="auto"/>
              </w:rPr>
              <w:t>GLA(b)</w:t>
            </w: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23"/>
        </w:trPr>
        <w:tc>
          <w:tcPr>
            <w:tcW w:w="1220" w:type="dxa"/>
            <w:vAlign w:val="bottom"/>
          </w:tcPr>
          <w:p>
            <w:pPr>
              <w:jc w:val="right"/>
              <w:spacing w:after="0"/>
              <w:rPr>
                <w:sz w:val="20"/>
                <w:szCs w:val="20"/>
                <w:color w:val="auto"/>
              </w:rPr>
            </w:pPr>
            <w:r>
              <w:rPr>
                <w:rFonts w:ascii="Arial" w:cs="Arial" w:eastAsia="Arial" w:hAnsi="Arial"/>
                <w:sz w:val="16"/>
                <w:szCs w:val="16"/>
                <w:color w:val="auto"/>
              </w:rPr>
              <w:t>2001/2002</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6"/>
                <w:szCs w:val="16"/>
                <w:color w:val="auto"/>
              </w:rPr>
              <w:t>ongoing</w:t>
            </w:r>
          </w:p>
        </w:tc>
        <w:tc>
          <w:tcPr>
            <w:tcW w:w="1200" w:type="dxa"/>
            <w:vAlign w:val="bottom"/>
          </w:tcPr>
          <w:p>
            <w:pPr>
              <w:jc w:val="right"/>
              <w:spacing w:after="0"/>
              <w:rPr>
                <w:sz w:val="20"/>
                <w:szCs w:val="20"/>
                <w:color w:val="auto"/>
              </w:rPr>
            </w:pPr>
            <w:r>
              <w:rPr>
                <w:rFonts w:ascii="Arial" w:cs="Arial" w:eastAsia="Arial" w:hAnsi="Arial"/>
                <w:sz w:val="16"/>
                <w:szCs w:val="16"/>
                <w:color w:val="auto"/>
              </w:rPr>
              <w:t>1,319,000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1986/2005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1,295,000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1981/2002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1978/1998</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1996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1,017,000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1977/2014</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803,000</w:t>
            </w:r>
          </w:p>
        </w:tc>
      </w:tr>
      <w:tr>
        <w:trPr>
          <w:trHeight w:val="446"/>
        </w:trPr>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2013/—</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528,000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1982/2011</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689,000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1990/2005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1970/1996</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974,000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1956/2013</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1966/2004</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630,000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1971/2012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1,146,000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1967/2004</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1989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1973/1998</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933,000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1978/2002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1,206,000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1965/1996</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1973/1995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2004</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967,000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1980/1999</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6"/>
                <w:szCs w:val="16"/>
                <w:color w:val="auto"/>
              </w:rPr>
              <w:t>ongoing</w:t>
            </w:r>
          </w:p>
        </w:tc>
        <w:tc>
          <w:tcPr>
            <w:tcW w:w="1200" w:type="dxa"/>
            <w:vAlign w:val="bottom"/>
          </w:tcPr>
          <w:p>
            <w:pPr>
              <w:jc w:val="right"/>
              <w:spacing w:after="0"/>
              <w:rPr>
                <w:sz w:val="20"/>
                <w:szCs w:val="20"/>
                <w:color w:val="auto"/>
              </w:rPr>
            </w:pPr>
            <w:r>
              <w:rPr>
                <w:rFonts w:ascii="Arial" w:cs="Arial" w:eastAsia="Arial" w:hAnsi="Arial"/>
                <w:sz w:val="16"/>
                <w:szCs w:val="16"/>
                <w:color w:val="auto"/>
              </w:rPr>
              <w:t>479,000</w:t>
            </w:r>
          </w:p>
        </w:tc>
      </w:tr>
      <w:tr>
        <w:trPr>
          <w:trHeight w:val="445"/>
        </w:trPr>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2007/—</w:t>
            </w:r>
          </w:p>
        </w:tc>
        <w:tc>
          <w:tcPr>
            <w:tcW w:w="1400" w:type="dxa"/>
            <w:vAlign w:val="bottom"/>
          </w:tcPr>
          <w:p>
            <w:pPr>
              <w:jc w:val="center"/>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1,170,000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1974/1998</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2015</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855,000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1953/1997</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1991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922,000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1990/2002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1985/2005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1989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350,000</w:t>
            </w:r>
          </w:p>
        </w:tc>
      </w:tr>
    </w:tbl>
    <w:p>
      <w:pPr>
        <w:sectPr>
          <w:pgSz w:w="11900" w:h="16838" w:orient="portrait"/>
          <w:cols w:equalWidth="0" w:num="2">
            <w:col w:w="6440" w:space="720"/>
            <w:col w:w="3980"/>
          </w:cols>
          <w:pgMar w:left="400" w:top="314" w:right="359" w:bottom="1440" w:gutter="0" w:footer="0" w:header="0"/>
          <w:type w:val="continuous"/>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40" w:type="dxa"/>
            <w:vAlign w:val="bottom"/>
          </w:tcPr>
          <w:p>
            <w:pPr>
              <w:jc w:val="center"/>
              <w:ind w:left="2001"/>
              <w:spacing w:after="0"/>
              <w:rPr>
                <w:sz w:val="20"/>
                <w:szCs w:val="20"/>
                <w:color w:val="auto"/>
              </w:rPr>
            </w:pPr>
            <w:r>
              <w:rPr>
                <w:rFonts w:ascii="Arial" w:cs="Arial" w:eastAsia="Arial" w:hAnsi="Arial"/>
                <w:sz w:val="16"/>
                <w:szCs w:val="16"/>
                <w:b w:val="1"/>
                <w:bCs w:val="1"/>
                <w:color w:val="auto"/>
              </w:rPr>
              <w:t>The Macerich Company</w:t>
            </w: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40" w:type="dxa"/>
            <w:vAlign w:val="bottom"/>
          </w:tcPr>
          <w:p>
            <w:pPr>
              <w:jc w:val="center"/>
              <w:ind w:left="1981"/>
              <w:spacing w:after="0"/>
              <w:rPr>
                <w:sz w:val="20"/>
                <w:szCs w:val="20"/>
                <w:color w:val="auto"/>
              </w:rPr>
            </w:pPr>
            <w:r>
              <w:rPr>
                <w:rFonts w:ascii="Arial" w:cs="Arial" w:eastAsia="Arial" w:hAnsi="Arial"/>
                <w:sz w:val="16"/>
                <w:szCs w:val="16"/>
                <w:b w:val="1"/>
                <w:bCs w:val="1"/>
                <w:color w:val="auto"/>
              </w:rPr>
              <w:t>Property Listing</w:t>
            </w:r>
          </w:p>
        </w:tc>
      </w:tr>
      <w:tr>
        <w:trPr>
          <w:trHeight w:val="223"/>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tcPr>
          <w:p>
            <w:pPr>
              <w:jc w:val="center"/>
              <w:ind w:left="1981"/>
              <w:spacing w:after="0"/>
              <w:rPr>
                <w:sz w:val="20"/>
                <w:szCs w:val="20"/>
                <w:color w:val="auto"/>
              </w:rPr>
            </w:pPr>
            <w:r>
              <w:rPr>
                <w:rFonts w:ascii="Arial" w:cs="Arial" w:eastAsia="Arial" w:hAnsi="Arial"/>
                <w:sz w:val="16"/>
                <w:szCs w:val="16"/>
                <w:b w:val="1"/>
                <w:bCs w:val="1"/>
                <w:color w:val="auto"/>
              </w:rPr>
              <w:t>September 30, 2022</w:t>
            </w:r>
          </w:p>
        </w:tc>
      </w:tr>
      <w:tr>
        <w:trPr>
          <w:trHeight w:val="85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Company’s</w:t>
            </w:r>
          </w:p>
        </w:tc>
        <w:tc>
          <w:tcPr>
            <w:tcW w:w="5140" w:type="dxa"/>
            <w:vAlign w:val="bottom"/>
          </w:tcPr>
          <w:p>
            <w:pPr>
              <w:ind w:left="2300"/>
              <w:spacing w:after="0"/>
              <w:rPr>
                <w:sz w:val="20"/>
                <w:szCs w:val="20"/>
                <w:color w:val="auto"/>
              </w:rPr>
            </w:pPr>
            <w:r>
              <w:rPr>
                <w:rFonts w:ascii="Arial" w:cs="Arial" w:eastAsia="Arial" w:hAnsi="Arial"/>
                <w:sz w:val="13"/>
                <w:szCs w:val="13"/>
                <w:b w:val="1"/>
                <w:bCs w:val="1"/>
                <w:color w:val="auto"/>
              </w:rPr>
              <w:t>Name of</w:t>
            </w:r>
          </w:p>
        </w:tc>
      </w:tr>
      <w:tr>
        <w:trPr>
          <w:trHeight w:val="189"/>
        </w:trPr>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Count</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Ownership(a)</w:t>
            </w:r>
          </w:p>
        </w:tc>
        <w:tc>
          <w:tcPr>
            <w:tcW w:w="5140" w:type="dxa"/>
            <w:vAlign w:val="bottom"/>
          </w:tcPr>
          <w:p>
            <w:pPr>
              <w:ind w:left="2100"/>
              <w:spacing w:after="0"/>
              <w:rPr>
                <w:sz w:val="20"/>
                <w:szCs w:val="20"/>
                <w:color w:val="auto"/>
              </w:rPr>
            </w:pPr>
            <w:r>
              <w:rPr>
                <w:rFonts w:ascii="Arial" w:cs="Arial" w:eastAsia="Arial" w:hAnsi="Arial"/>
                <w:sz w:val="13"/>
                <w:szCs w:val="13"/>
                <w:b w:val="1"/>
                <w:bCs w:val="1"/>
                <w:color w:val="auto"/>
              </w:rPr>
              <w:t>Center/Location</w:t>
            </w:r>
          </w:p>
        </w:tc>
      </w:tr>
      <w:tr>
        <w:trPr>
          <w:trHeight w:val="199"/>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Valley Mall</w:t>
            </w:r>
          </w:p>
        </w:tc>
      </w:tr>
      <w:tr>
        <w:trPr>
          <w:trHeight w:val="215"/>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Harrisonburg, Virginia</w:t>
            </w:r>
          </w:p>
        </w:tc>
      </w:tr>
      <w:tr>
        <w:trPr>
          <w:trHeight w:val="231"/>
        </w:trPr>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Valley River Center</w:t>
            </w:r>
          </w:p>
        </w:tc>
      </w:tr>
      <w:tr>
        <w:trPr>
          <w:trHeight w:val="215"/>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Eugene, Oregon</w:t>
            </w:r>
          </w:p>
        </w:tc>
      </w:tr>
      <w:tr>
        <w:trPr>
          <w:trHeight w:val="231"/>
        </w:trPr>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Victor Valley, Mall of</w:t>
            </w:r>
          </w:p>
        </w:tc>
      </w:tr>
      <w:tr>
        <w:trPr>
          <w:trHeight w:val="215"/>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Victorville, California</w:t>
            </w:r>
          </w:p>
        </w:tc>
      </w:tr>
      <w:tr>
        <w:trPr>
          <w:trHeight w:val="231"/>
        </w:trPr>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Vintage Faire Mall</w:t>
            </w:r>
          </w:p>
        </w:tc>
      </w:tr>
      <w:tr>
        <w:trPr>
          <w:trHeight w:val="215"/>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Modesto, California</w:t>
            </w:r>
          </w:p>
        </w:tc>
      </w:tr>
      <w:tr>
        <w:trPr>
          <w:trHeight w:val="231"/>
        </w:trPr>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Wilton Mall</w:t>
            </w:r>
          </w:p>
        </w:tc>
      </w:tr>
      <w:tr>
        <w:trPr>
          <w:trHeight w:val="215"/>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6"/>
                <w:szCs w:val="16"/>
                <w:color w:val="auto"/>
              </w:rPr>
              <w:t>Saratoga Springs, New York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-1403985</wp:posOffset>
            </wp:positionV>
            <wp:extent cx="712343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23430" cy="283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343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123430" cy="283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8" w:lineRule="exact"/>
        <w:rPr>
          <w:sz w:val="20"/>
          <w:szCs w:val="20"/>
          <w:color w:val="auto"/>
        </w:rPr>
      </w:pPr>
    </w:p>
    <w:p>
      <w:pPr>
        <w:ind w:left="20" w:right="3020" w:firstLine="2011"/>
        <w:spacing w:after="0" w:line="294" w:lineRule="auto"/>
        <w:rPr>
          <w:sz w:val="20"/>
          <w:szCs w:val="20"/>
          <w:color w:val="auto"/>
        </w:rPr>
      </w:pPr>
      <w:r>
        <w:rPr>
          <w:rFonts w:ascii="Arial" w:cs="Arial" w:eastAsia="Arial" w:hAnsi="Arial"/>
          <w:sz w:val="16"/>
          <w:szCs w:val="16"/>
          <w:b w:val="1"/>
          <w:bCs w:val="1"/>
          <w:color w:val="auto"/>
        </w:rPr>
        <w:t>Total Consolidated Centers UNCONSOLIDATED JOINT VENTURE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2343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ind w:left="2040" w:right="3300" w:hanging="1717"/>
        <w:spacing w:after="0" w:line="286" w:lineRule="auto"/>
        <w:tabs>
          <w:tab w:leader="none" w:pos="15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60 % Arrowhead Towne Center Glendale, Arizona</w:t>
      </w:r>
    </w:p>
    <w:p>
      <w:pPr>
        <w:ind w:left="2040" w:right="3520" w:hanging="1717"/>
        <w:spacing w:after="0" w:line="290" w:lineRule="auto"/>
        <w:tabs>
          <w:tab w:leader="none" w:pos="15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50 % Biltmore Fashion Park Phoenix, Arizona</w:t>
      </w:r>
    </w:p>
    <w:p>
      <w:pPr>
        <w:ind w:left="1560" w:hanging="1237"/>
        <w:spacing w:after="0"/>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50 %  Broadway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23430"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Walnut Creek, California</w:t>
      </w:r>
    </w:p>
    <w:p>
      <w:pPr>
        <w:spacing w:after="0" w:line="43" w:lineRule="exact"/>
        <w:rPr>
          <w:sz w:val="20"/>
          <w:szCs w:val="20"/>
          <w:color w:val="auto"/>
        </w:rPr>
      </w:pPr>
    </w:p>
    <w:p>
      <w:pPr>
        <w:ind w:left="2040" w:right="3060" w:hanging="1717"/>
        <w:spacing w:after="0" w:line="290" w:lineRule="auto"/>
        <w:tabs>
          <w:tab w:leader="none" w:pos="14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50.1 % Corte Madera, The Village at Corte Madera, California</w:t>
      </w:r>
    </w:p>
    <w:p>
      <w:pPr>
        <w:ind w:left="1560" w:hanging="1237"/>
        <w:spacing w:after="0"/>
        <w:tabs>
          <w:tab w:leader="none" w:pos="1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50 %  Country Club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23430"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Kansas City, Missouri</w:t>
      </w:r>
    </w:p>
    <w:p>
      <w:pPr>
        <w:spacing w:after="0" w:line="43" w:lineRule="exact"/>
        <w:rPr>
          <w:sz w:val="20"/>
          <w:szCs w:val="20"/>
          <w:color w:val="auto"/>
        </w:rPr>
      </w:pPr>
    </w:p>
    <w:p>
      <w:pPr>
        <w:ind w:left="2040" w:right="356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51 % Deptford Mall Deptford, New Jersey</w:t>
      </w:r>
    </w:p>
    <w:p>
      <w:pPr>
        <w:ind w:left="2040" w:right="360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51 % Flatiron Crossing Broomfield, Colorado</w:t>
      </w:r>
    </w:p>
    <w:p>
      <w:pPr>
        <w:ind w:left="2040" w:right="374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50 % Kierland Commons Phoenix, Arizona</w:t>
      </w:r>
    </w:p>
    <w:p>
      <w:pPr>
        <w:ind w:left="2040" w:right="360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60 % Lakewood Center Lakewood, California</w:t>
      </w:r>
    </w:p>
    <w:p>
      <w:pPr>
        <w:ind w:left="2040" w:right="372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60 % Los Cerritos Center Cerritos, California</w:t>
      </w:r>
    </w:p>
    <w:p>
      <w:pPr>
        <w:ind w:left="2040" w:right="318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50 % Scottsdale Fashion Square Scottsdale, Arizona</w:t>
      </w:r>
    </w:p>
    <w:p>
      <w:pPr>
        <w:ind w:left="2040" w:right="388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60 % South Plains Mall Lubbock, Texas</w:t>
      </w:r>
    </w:p>
    <w:p>
      <w:pPr>
        <w:ind w:left="2040" w:right="352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51 % Twenty Ninth Street(c) Boulder, Colorado</w:t>
      </w:r>
    </w:p>
    <w:p>
      <w:pPr>
        <w:ind w:left="2040" w:right="3460" w:hanging="1717"/>
        <w:spacing w:after="0" w:line="309" w:lineRule="auto"/>
        <w:tabs>
          <w:tab w:leader="none" w:pos="1554" w:val="left"/>
        </w:tabs>
        <w:numPr>
          <w:ilvl w:val="0"/>
          <w:numId w:val="34"/>
        </w:numPr>
        <w:rPr>
          <w:rFonts w:ascii="Arial" w:cs="Arial" w:eastAsia="Arial" w:hAnsi="Arial"/>
          <w:sz w:val="15"/>
          <w:szCs w:val="15"/>
          <w:color w:val="auto"/>
        </w:rPr>
      </w:pPr>
      <w:r>
        <w:rPr>
          <w:rFonts w:ascii="Arial" w:cs="Arial" w:eastAsia="Arial" w:hAnsi="Arial"/>
          <w:sz w:val="15"/>
          <w:szCs w:val="15"/>
          <w:color w:val="auto"/>
        </w:rPr>
        <w:t>50 % Tysons Corner Center Tysons Corner, Virginia</w:t>
      </w:r>
    </w:p>
    <w:p>
      <w:pPr>
        <w:spacing w:after="0" w:line="1" w:lineRule="exact"/>
        <w:rPr>
          <w:rFonts w:ascii="Arial" w:cs="Arial" w:eastAsia="Arial" w:hAnsi="Arial"/>
          <w:sz w:val="15"/>
          <w:szCs w:val="15"/>
          <w:color w:val="auto"/>
        </w:rPr>
      </w:pPr>
    </w:p>
    <w:p>
      <w:pPr>
        <w:ind w:left="2040" w:right="3700" w:hanging="1717"/>
        <w:spacing w:after="0" w:line="290" w:lineRule="auto"/>
        <w:tabs>
          <w:tab w:leader="none" w:pos="15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60 % Washington Square Portland, Oregon</w:t>
      </w:r>
    </w:p>
    <w:p>
      <w:pPr>
        <w:ind w:left="1560" w:hanging="1237"/>
        <w:spacing w:after="0"/>
        <w:tabs>
          <w:tab w:leader="none" w:pos="1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19 %  West Acres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-2944495</wp:posOffset>
            </wp:positionV>
            <wp:extent cx="7123430"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343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-2378710</wp:posOffset>
            </wp:positionV>
            <wp:extent cx="7123430" cy="282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34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-1812925</wp:posOffset>
            </wp:positionV>
            <wp:extent cx="7123430" cy="282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-1247140</wp:posOffset>
            </wp:positionV>
            <wp:extent cx="7123430" cy="282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34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7123430" cy="282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34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23430"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Fargo, North Dakota</w:t>
      </w:r>
    </w:p>
    <w:p>
      <w:pPr>
        <w:spacing w:after="0" w:line="5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Total Unconsolidated Joint Venture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2343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Total Regional Town Centers</w:t>
      </w: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Year of</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8"/>
        </w:trPr>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Original</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2"/>
        </w:trPr>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Construction/</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Year of Most Recent</w:t>
            </w:r>
          </w:p>
        </w:tc>
        <w:tc>
          <w:tcPr>
            <w:tcW w:w="1200" w:type="dxa"/>
            <w:vAlign w:val="bottom"/>
          </w:tcPr>
          <w:p>
            <w:pPr>
              <w:jc w:val="right"/>
              <w:ind w:right="380"/>
              <w:spacing w:after="0"/>
              <w:rPr>
                <w:sz w:val="20"/>
                <w:szCs w:val="20"/>
                <w:color w:val="auto"/>
              </w:rPr>
            </w:pPr>
            <w:r>
              <w:rPr>
                <w:rFonts w:ascii="Arial" w:cs="Arial" w:eastAsia="Arial" w:hAnsi="Arial"/>
                <w:sz w:val="13"/>
                <w:szCs w:val="13"/>
                <w:b w:val="1"/>
                <w:bCs w:val="1"/>
                <w:color w:val="auto"/>
              </w:rPr>
              <w:t>Total</w:t>
            </w:r>
          </w:p>
        </w:tc>
      </w:tr>
      <w:tr>
        <w:trPr>
          <w:trHeight w:val="172"/>
        </w:trPr>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Acquisition</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Expansion/Renovation</w:t>
            </w:r>
          </w:p>
        </w:tc>
        <w:tc>
          <w:tcPr>
            <w:tcW w:w="1200" w:type="dxa"/>
            <w:vAlign w:val="bottom"/>
          </w:tcPr>
          <w:p>
            <w:pPr>
              <w:jc w:val="right"/>
              <w:ind w:right="300"/>
              <w:spacing w:after="0"/>
              <w:rPr>
                <w:sz w:val="20"/>
                <w:szCs w:val="20"/>
                <w:color w:val="auto"/>
              </w:rPr>
            </w:pPr>
            <w:r>
              <w:rPr>
                <w:rFonts w:ascii="Arial" w:cs="Arial" w:eastAsia="Arial" w:hAnsi="Arial"/>
                <w:sz w:val="13"/>
                <w:szCs w:val="13"/>
                <w:b w:val="1"/>
                <w:bCs w:val="1"/>
                <w:color w:val="auto"/>
              </w:rPr>
              <w:t>GLA(b)</w:t>
            </w: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8"/>
        </w:trPr>
        <w:tc>
          <w:tcPr>
            <w:tcW w:w="1220" w:type="dxa"/>
            <w:vAlign w:val="bottom"/>
          </w:tcPr>
          <w:p>
            <w:pPr>
              <w:jc w:val="right"/>
              <w:spacing w:after="0"/>
              <w:rPr>
                <w:sz w:val="20"/>
                <w:szCs w:val="20"/>
                <w:color w:val="auto"/>
              </w:rPr>
            </w:pPr>
            <w:r>
              <w:rPr>
                <w:rFonts w:ascii="Arial" w:cs="Arial" w:eastAsia="Arial" w:hAnsi="Arial"/>
                <w:sz w:val="16"/>
                <w:szCs w:val="16"/>
                <w:color w:val="auto"/>
              </w:rPr>
              <w:t>1978/1998</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1992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1969/2006</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1986/2004</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578,000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1977/1996</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6"/>
                <w:szCs w:val="16"/>
                <w:color w:val="auto"/>
              </w:rPr>
              <w:t>ongoing</w:t>
            </w:r>
          </w:p>
        </w:tc>
        <w:tc>
          <w:tcPr>
            <w:tcW w:w="1200" w:type="dxa"/>
            <w:vAlign w:val="bottom"/>
          </w:tcPr>
          <w:p>
            <w:pPr>
              <w:jc w:val="right"/>
              <w:spacing w:after="0"/>
              <w:rPr>
                <w:sz w:val="20"/>
                <w:szCs w:val="20"/>
                <w:color w:val="auto"/>
              </w:rPr>
            </w:pPr>
            <w:r>
              <w:rPr>
                <w:rFonts w:ascii="Arial" w:cs="Arial" w:eastAsia="Arial" w:hAnsi="Arial"/>
                <w:sz w:val="16"/>
                <w:szCs w:val="16"/>
                <w:color w:val="auto"/>
              </w:rPr>
              <w:t>955,000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1990/2005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708,000</w:t>
            </w:r>
          </w:p>
        </w:tc>
      </w:tr>
      <w:tr>
        <w:trPr>
          <w:trHeight w:val="232"/>
        </w:trPr>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25,454,000</w:t>
            </w:r>
          </w:p>
        </w:tc>
      </w:tr>
      <w:tr>
        <w:trPr>
          <w:trHeight w:val="411"/>
        </w:trPr>
        <w:tc>
          <w:tcPr>
            <w:tcW w:w="1220" w:type="dxa"/>
            <w:vAlign w:val="bottom"/>
          </w:tcPr>
          <w:p>
            <w:pPr>
              <w:jc w:val="right"/>
              <w:spacing w:after="0"/>
              <w:rPr>
                <w:sz w:val="20"/>
                <w:szCs w:val="20"/>
                <w:color w:val="auto"/>
              </w:rPr>
            </w:pPr>
            <w:r>
              <w:rPr>
                <w:rFonts w:ascii="Arial" w:cs="Arial" w:eastAsia="Arial" w:hAnsi="Arial"/>
                <w:sz w:val="16"/>
                <w:szCs w:val="16"/>
                <w:color w:val="auto"/>
              </w:rPr>
              <w:t>1993/2002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2015</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1963/2003</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1951/1985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989,000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1985/1998</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501,000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1922/2016</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2015</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965,000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1975/2006</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1,008,000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2000/2002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1,417,000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1999/2005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2003</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436,000</w:t>
            </w:r>
          </w:p>
        </w:tc>
      </w:tr>
      <w:tr>
        <w:trPr>
          <w:trHeight w:val="446"/>
        </w:trPr>
        <w:tc>
          <w:tcPr>
            <w:tcW w:w="1220" w:type="dxa"/>
            <w:vAlign w:val="bottom"/>
          </w:tcPr>
          <w:p>
            <w:pPr>
              <w:jc w:val="right"/>
              <w:spacing w:after="0"/>
              <w:rPr>
                <w:sz w:val="20"/>
                <w:szCs w:val="20"/>
                <w:color w:val="auto"/>
              </w:rPr>
            </w:pPr>
            <w:r>
              <w:rPr>
                <w:rFonts w:ascii="Arial" w:cs="Arial" w:eastAsia="Arial" w:hAnsi="Arial"/>
                <w:sz w:val="16"/>
                <w:szCs w:val="16"/>
                <w:color w:val="auto"/>
              </w:rPr>
              <w:t>1953/1975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1,980,000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1971/1999</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1,006,000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1961/2002</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6"/>
                <w:szCs w:val="16"/>
                <w:color w:val="auto"/>
              </w:rPr>
              <w:t>ongoing</w:t>
            </w:r>
          </w:p>
        </w:tc>
        <w:tc>
          <w:tcPr>
            <w:tcW w:w="1200" w:type="dxa"/>
            <w:vAlign w:val="bottom"/>
          </w:tcPr>
          <w:p>
            <w:pPr>
              <w:jc w:val="right"/>
              <w:spacing w:after="0"/>
              <w:rPr>
                <w:sz w:val="20"/>
                <w:szCs w:val="20"/>
                <w:color w:val="auto"/>
              </w:rPr>
            </w:pPr>
            <w:r>
              <w:rPr>
                <w:rFonts w:ascii="Arial" w:cs="Arial" w:eastAsia="Arial" w:hAnsi="Arial"/>
                <w:sz w:val="16"/>
                <w:szCs w:val="16"/>
                <w:color w:val="auto"/>
              </w:rPr>
              <w:t>1,885,000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1972/1998</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1,136,000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1963/1979</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1968/2005</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1,852,000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1974/1999</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2005</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1,296,000</w:t>
            </w:r>
          </w:p>
        </w:tc>
      </w:tr>
      <w:tr>
        <w:trPr>
          <w:trHeight w:val="445"/>
        </w:trPr>
        <w:tc>
          <w:tcPr>
            <w:tcW w:w="1220" w:type="dxa"/>
            <w:vAlign w:val="bottom"/>
          </w:tcPr>
          <w:p>
            <w:pPr>
              <w:jc w:val="right"/>
              <w:spacing w:after="0"/>
              <w:rPr>
                <w:sz w:val="20"/>
                <w:szCs w:val="20"/>
                <w:color w:val="auto"/>
              </w:rPr>
            </w:pPr>
            <w:r>
              <w:rPr>
                <w:rFonts w:ascii="Arial" w:cs="Arial" w:eastAsia="Arial" w:hAnsi="Arial"/>
                <w:sz w:val="16"/>
                <w:szCs w:val="16"/>
                <w:color w:val="auto"/>
              </w:rPr>
              <w:t>1972/1986</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692,000</w:t>
            </w:r>
          </w:p>
        </w:tc>
      </w:tr>
      <w:tr>
        <w:trPr>
          <w:trHeight w:val="231"/>
        </w:trPr>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17,537,000</w:t>
            </w:r>
          </w:p>
        </w:tc>
      </w:tr>
      <w:tr>
        <w:trPr>
          <w:trHeight w:val="209"/>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42,991,000</w:t>
            </w:r>
          </w:p>
        </w:tc>
      </w:tr>
    </w:tbl>
    <w:p>
      <w:pPr>
        <w:sectPr>
          <w:pgSz w:w="11900" w:h="16838" w:orient="portrait"/>
          <w:cols w:equalWidth="0" w:num="2">
            <w:col w:w="7160" w:space="80"/>
            <w:col w:w="3980"/>
          </w:cols>
          <w:pgMar w:left="320" w:top="314" w:right="359" w:bottom="1440" w:gutter="0" w:footer="0" w:header="0"/>
        </w:sectPr>
      </w:pPr>
    </w:p>
    <w:bookmarkStart w:id="31" w:name="page32"/>
    <w:bookmarkEnd w:id="31"/>
    <w:p>
      <w:pPr>
        <w:jc w:val="center"/>
        <w:ind w:right="-3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The Macerich Company</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Property Listing</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September 30, 2022</w:t>
      </w:r>
    </w:p>
    <w:p>
      <w:pPr>
        <w:spacing w:after="0" w:line="200" w:lineRule="exact"/>
        <w:rPr>
          <w:sz w:val="20"/>
          <w:szCs w:val="20"/>
          <w:color w:val="auto"/>
        </w:rPr>
      </w:pPr>
    </w:p>
    <w:p>
      <w:pPr>
        <w:spacing w:after="0" w:line="217" w:lineRule="exact"/>
        <w:rPr>
          <w:sz w:val="20"/>
          <w:szCs w:val="20"/>
          <w:color w:val="auto"/>
        </w:rPr>
      </w:pPr>
    </w:p>
    <w:p>
      <w:pPr>
        <w:ind w:left="7612"/>
        <w:spacing w:after="0"/>
        <w:rPr>
          <w:sz w:val="20"/>
          <w:szCs w:val="20"/>
          <w:color w:val="auto"/>
        </w:rPr>
      </w:pPr>
      <w:r>
        <w:rPr>
          <w:rFonts w:ascii="Arial" w:cs="Arial" w:eastAsia="Arial" w:hAnsi="Arial"/>
          <w:sz w:val="13"/>
          <w:szCs w:val="13"/>
          <w:b w:val="1"/>
          <w:bCs w:val="1"/>
          <w:color w:val="auto"/>
        </w:rPr>
        <w:t>Year of</w:t>
      </w:r>
    </w:p>
    <w:p>
      <w:pPr>
        <w:spacing w:after="0" w:line="10" w:lineRule="exact"/>
        <w:rPr>
          <w:sz w:val="20"/>
          <w:szCs w:val="20"/>
          <w:color w:val="auto"/>
        </w:rPr>
      </w:pPr>
    </w:p>
    <w:p>
      <w:pPr>
        <w:ind w:left="7572"/>
        <w:spacing w:after="0"/>
        <w:rPr>
          <w:sz w:val="20"/>
          <w:szCs w:val="20"/>
          <w:color w:val="auto"/>
        </w:rPr>
      </w:pPr>
      <w:r>
        <w:rPr>
          <w:rFonts w:ascii="Arial" w:cs="Arial" w:eastAsia="Arial" w:hAnsi="Arial"/>
          <w:sz w:val="13"/>
          <w:szCs w:val="13"/>
          <w:b w:val="1"/>
          <w:bCs w:val="1"/>
          <w:color w:val="auto"/>
        </w:rPr>
        <w:t>Original</w:t>
      </w:r>
    </w:p>
    <w:p>
      <w:pPr>
        <w:ind w:left="932"/>
        <w:spacing w:after="0"/>
        <w:tabs>
          <w:tab w:leader="none" w:pos="4292" w:val="left"/>
          <w:tab w:leader="none" w:pos="7392" w:val="left"/>
          <w:tab w:leader="none" w:pos="8592" w:val="left"/>
          <w:tab w:leader="none" w:pos="10432" w:val="left"/>
        </w:tabs>
        <w:rPr>
          <w:sz w:val="20"/>
          <w:szCs w:val="20"/>
          <w:color w:val="auto"/>
        </w:rPr>
      </w:pPr>
      <w:r>
        <w:rPr>
          <w:rFonts w:ascii="Arial" w:cs="Arial" w:eastAsia="Arial" w:hAnsi="Arial"/>
          <w:sz w:val="13"/>
          <w:szCs w:val="13"/>
          <w:b w:val="1"/>
          <w:bCs w:val="1"/>
          <w:color w:val="auto"/>
        </w:rPr>
        <w:t>Company’s</w:t>
      </w:r>
      <w:r>
        <w:rPr>
          <w:sz w:val="20"/>
          <w:szCs w:val="20"/>
          <w:color w:val="auto"/>
        </w:rPr>
        <w:tab/>
      </w:r>
      <w:r>
        <w:rPr>
          <w:rFonts w:ascii="Arial" w:cs="Arial" w:eastAsia="Arial" w:hAnsi="Arial"/>
          <w:sz w:val="13"/>
          <w:szCs w:val="13"/>
          <w:b w:val="1"/>
          <w:bCs w:val="1"/>
          <w:color w:val="auto"/>
        </w:rPr>
        <w:t>Name of</w:t>
      </w:r>
      <w:r>
        <w:rPr>
          <w:sz w:val="20"/>
          <w:szCs w:val="20"/>
          <w:color w:val="auto"/>
        </w:rPr>
        <w:tab/>
      </w:r>
      <w:r>
        <w:rPr>
          <w:rFonts w:ascii="Arial" w:cs="Arial" w:eastAsia="Arial" w:hAnsi="Arial"/>
          <w:sz w:val="13"/>
          <w:szCs w:val="13"/>
          <w:b w:val="1"/>
          <w:bCs w:val="1"/>
          <w:color w:val="auto"/>
        </w:rPr>
        <w:t>Construction/</w:t>
      </w:r>
      <w:r>
        <w:rPr>
          <w:sz w:val="20"/>
          <w:szCs w:val="20"/>
          <w:color w:val="auto"/>
        </w:rPr>
        <w:tab/>
      </w:r>
      <w:r>
        <w:rPr>
          <w:rFonts w:ascii="Arial" w:cs="Arial" w:eastAsia="Arial" w:hAnsi="Arial"/>
          <w:sz w:val="13"/>
          <w:szCs w:val="13"/>
          <w:b w:val="1"/>
          <w:bCs w:val="1"/>
          <w:color w:val="auto"/>
        </w:rPr>
        <w:t>Year of Most Recent</w:t>
      </w:r>
      <w:r>
        <w:rPr>
          <w:sz w:val="20"/>
          <w:szCs w:val="20"/>
          <w:color w:val="auto"/>
        </w:rPr>
        <w:tab/>
      </w:r>
      <w:r>
        <w:rPr>
          <w:rFonts w:ascii="Arial" w:cs="Arial" w:eastAsia="Arial" w:hAnsi="Arial"/>
          <w:sz w:val="10"/>
          <w:szCs w:val="10"/>
          <w:b w:val="1"/>
          <w:bCs w:val="1"/>
          <w:color w:val="auto"/>
        </w:rPr>
        <w:t>Total</w:t>
      </w:r>
    </w:p>
    <w:p>
      <w:pPr>
        <w:spacing w:after="0" w:line="13" w:lineRule="exact"/>
        <w:rPr>
          <w:sz w:val="20"/>
          <w:szCs w:val="20"/>
          <w:color w:val="auto"/>
        </w:rPr>
      </w:pPr>
    </w:p>
    <w:p>
      <w:pPr>
        <w:ind w:left="72"/>
        <w:spacing w:after="0"/>
        <w:tabs>
          <w:tab w:leader="none" w:pos="832" w:val="left"/>
          <w:tab w:leader="none" w:pos="4072" w:val="left"/>
          <w:tab w:leader="none" w:pos="7472" w:val="left"/>
          <w:tab w:leader="none" w:pos="8512" w:val="left"/>
          <w:tab w:leader="none" w:pos="10372" w:val="left"/>
        </w:tabs>
        <w:rPr>
          <w:sz w:val="20"/>
          <w:szCs w:val="20"/>
          <w:color w:val="auto"/>
        </w:rPr>
      </w:pPr>
      <w:r>
        <w:rPr>
          <w:rFonts w:ascii="Arial" w:cs="Arial" w:eastAsia="Arial" w:hAnsi="Arial"/>
          <w:sz w:val="13"/>
          <w:szCs w:val="13"/>
          <w:b w:val="1"/>
          <w:bCs w:val="1"/>
          <w:color w:val="auto"/>
        </w:rPr>
        <w:t>Count</w:t>
      </w:r>
      <w:r>
        <w:rPr>
          <w:sz w:val="20"/>
          <w:szCs w:val="20"/>
          <w:color w:val="auto"/>
        </w:rPr>
        <w:tab/>
      </w:r>
      <w:r>
        <w:rPr>
          <w:rFonts w:ascii="Arial" w:cs="Arial" w:eastAsia="Arial" w:hAnsi="Arial"/>
          <w:sz w:val="13"/>
          <w:szCs w:val="13"/>
          <w:b w:val="1"/>
          <w:bCs w:val="1"/>
          <w:color w:val="auto"/>
        </w:rPr>
        <w:t>Ownership(a)</w:t>
      </w:r>
      <w:r>
        <w:rPr>
          <w:sz w:val="20"/>
          <w:szCs w:val="20"/>
          <w:color w:val="auto"/>
        </w:rPr>
        <w:tab/>
      </w:r>
      <w:r>
        <w:rPr>
          <w:rFonts w:ascii="Arial" w:cs="Arial" w:eastAsia="Arial" w:hAnsi="Arial"/>
          <w:sz w:val="13"/>
          <w:szCs w:val="13"/>
          <w:b w:val="1"/>
          <w:bCs w:val="1"/>
          <w:color w:val="auto"/>
        </w:rPr>
        <w:t>Center/Location</w:t>
      </w:r>
      <w:r>
        <w:rPr>
          <w:sz w:val="20"/>
          <w:szCs w:val="20"/>
          <w:color w:val="auto"/>
        </w:rPr>
        <w:tab/>
      </w:r>
      <w:r>
        <w:rPr>
          <w:rFonts w:ascii="Arial" w:cs="Arial" w:eastAsia="Arial" w:hAnsi="Arial"/>
          <w:sz w:val="13"/>
          <w:szCs w:val="13"/>
          <w:b w:val="1"/>
          <w:bCs w:val="1"/>
          <w:color w:val="auto"/>
        </w:rPr>
        <w:t>Acquisition</w:t>
      </w:r>
      <w:r>
        <w:rPr>
          <w:sz w:val="20"/>
          <w:szCs w:val="20"/>
          <w:color w:val="auto"/>
        </w:rPr>
        <w:tab/>
      </w:r>
      <w:r>
        <w:rPr>
          <w:rFonts w:ascii="Arial" w:cs="Arial" w:eastAsia="Arial" w:hAnsi="Arial"/>
          <w:sz w:val="13"/>
          <w:szCs w:val="13"/>
          <w:b w:val="1"/>
          <w:bCs w:val="1"/>
          <w:color w:val="auto"/>
        </w:rPr>
        <w:t>Expansion/Renovation</w:t>
      </w:r>
      <w:r>
        <w:rPr>
          <w:sz w:val="20"/>
          <w:szCs w:val="20"/>
          <w:color w:val="auto"/>
        </w:rPr>
        <w:tab/>
      </w:r>
      <w:r>
        <w:rPr>
          <w:rFonts w:ascii="Arial" w:cs="Arial" w:eastAsia="Arial" w:hAnsi="Arial"/>
          <w:sz w:val="12"/>
          <w:szCs w:val="12"/>
          <w:b w:val="1"/>
          <w:bCs w:val="1"/>
          <w:color w:val="auto"/>
        </w:rPr>
        <w:t>GLA(b)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2343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ectPr>
          <w:pgSz w:w="11900" w:h="16838" w:orient="portrait"/>
          <w:cols w:equalWidth="0" w:num="1">
            <w:col w:w="11212"/>
          </w:cols>
          <w:pgMar w:left="328" w:top="314" w:right="359" w:bottom="1440" w:gutter="0" w:footer="0" w:header="0"/>
        </w:sectPr>
      </w:pPr>
    </w:p>
    <w:p>
      <w:pPr>
        <w:spacing w:after="0" w:line="4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COMMUNITY / POWER CENTERS:</w:t>
      </w:r>
    </w:p>
    <w:p>
      <w:pPr>
        <w:spacing w:after="0" w:line="39" w:lineRule="exact"/>
        <w:rPr>
          <w:sz w:val="20"/>
          <w:szCs w:val="20"/>
          <w:color w:val="auto"/>
        </w:rPr>
      </w:pPr>
    </w:p>
    <w:p>
      <w:pPr>
        <w:ind w:left="2032" w:right="2720" w:hanging="1627"/>
        <w:spacing w:after="0" w:line="286" w:lineRule="auto"/>
        <w:tabs>
          <w:tab w:leader="none" w:pos="15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50 % Atlas Park, The Shops at(d) Queens, New York</w:t>
      </w:r>
    </w:p>
    <w:p>
      <w:pPr>
        <w:ind w:left="2032" w:right="3280" w:hanging="1627"/>
        <w:spacing w:after="0" w:line="290" w:lineRule="auto"/>
        <w:tabs>
          <w:tab w:leader="none" w:pos="15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50 % Boulevard Shops(d) Chandler,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23430" cy="282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ind w:left="2032" w:right="3180" w:hanging="1627"/>
        <w:spacing w:after="0" w:line="290" w:lineRule="auto"/>
        <w:tabs>
          <w:tab w:leader="none" w:pos="14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100 % Southridge Center(e) Des Moines, Iowa</w:t>
      </w:r>
    </w:p>
    <w:p>
      <w:pPr>
        <w:spacing w:after="0" w:line="1" w:lineRule="exact"/>
        <w:rPr>
          <w:sz w:val="20"/>
          <w:szCs w:val="20"/>
          <w:color w:val="auto"/>
        </w:rPr>
      </w:pPr>
    </w:p>
    <w:p>
      <w:pPr>
        <w:ind w:left="2032" w:right="2020" w:hanging="1627"/>
        <w:spacing w:after="0" w:line="290" w:lineRule="auto"/>
        <w:tabs>
          <w:tab w:leader="none" w:pos="14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100 % Superstition Springs Power Center(e) Mesa,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23430" cy="283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ind w:left="2032" w:right="2260" w:hanging="1627"/>
        <w:spacing w:after="0" w:line="299" w:lineRule="auto"/>
        <w:tabs>
          <w:tab w:leader="none" w:pos="14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100 % The Marketplace at Flagstaff(c)(e) Flagstaff,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2343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ind w:left="2032"/>
        <w:spacing w:after="0"/>
        <w:rPr>
          <w:sz w:val="20"/>
          <w:szCs w:val="20"/>
          <w:color w:val="auto"/>
        </w:rPr>
      </w:pPr>
      <w:r>
        <w:rPr>
          <w:rFonts w:ascii="Arial" w:cs="Arial" w:eastAsia="Arial" w:hAnsi="Arial"/>
          <w:sz w:val="16"/>
          <w:szCs w:val="16"/>
          <w:b w:val="1"/>
          <w:bCs w:val="1"/>
          <w:color w:val="auto"/>
        </w:rPr>
        <w:t>Total Community / Power Centers</w:t>
      </w:r>
    </w:p>
    <w:p>
      <w:pPr>
        <w:spacing w:after="0" w:line="39"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2343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 w:lineRule="exact"/>
        <w:rPr>
          <w:sz w:val="20"/>
          <w:szCs w:val="20"/>
          <w:color w:val="auto"/>
        </w:rPr>
      </w:pPr>
    </w:p>
    <w:p>
      <w:pPr>
        <w:ind w:left="1452"/>
        <w:spacing w:after="0"/>
        <w:rPr>
          <w:sz w:val="20"/>
          <w:szCs w:val="20"/>
          <w:color w:val="auto"/>
        </w:rPr>
      </w:pPr>
      <w:r>
        <w:rPr>
          <w:rFonts w:ascii="Arial" w:cs="Arial" w:eastAsia="Arial" w:hAnsi="Arial"/>
          <w:sz w:val="16"/>
          <w:szCs w:val="16"/>
          <w:color w:val="auto"/>
        </w:rPr>
        <w:t>100 %  Various(e)</w:t>
      </w:r>
    </w:p>
    <w:p>
      <w:pPr>
        <w:spacing w:after="0" w:line="25" w:lineRule="exact"/>
        <w:rPr>
          <w:sz w:val="20"/>
          <w:szCs w:val="20"/>
          <w:color w:val="auto"/>
        </w:rPr>
      </w:pPr>
    </w:p>
    <w:p>
      <w:pPr>
        <w:ind w:left="1552"/>
        <w:spacing w:after="0"/>
        <w:rPr>
          <w:sz w:val="20"/>
          <w:szCs w:val="20"/>
          <w:color w:val="auto"/>
        </w:rPr>
      </w:pPr>
      <w:r>
        <w:rPr>
          <w:rFonts w:ascii="Arial" w:cs="Arial" w:eastAsia="Arial" w:hAnsi="Arial"/>
          <w:sz w:val="16"/>
          <w:szCs w:val="16"/>
          <w:color w:val="auto"/>
        </w:rPr>
        <w:t>25 %  One Westside(d)</w:t>
      </w:r>
    </w:p>
    <w:p>
      <w:pPr>
        <w:spacing w:after="0" w:line="35" w:lineRule="exact"/>
        <w:rPr>
          <w:sz w:val="20"/>
          <w:szCs w:val="20"/>
          <w:color w:val="auto"/>
        </w:rPr>
      </w:pPr>
    </w:p>
    <w:p>
      <w:pPr>
        <w:ind w:left="2032"/>
        <w:spacing w:after="0"/>
        <w:rPr>
          <w:sz w:val="20"/>
          <w:szCs w:val="20"/>
          <w:color w:val="auto"/>
        </w:rPr>
      </w:pPr>
      <w:r>
        <w:rPr>
          <w:rFonts w:ascii="Arial" w:cs="Arial" w:eastAsia="Arial" w:hAnsi="Arial"/>
          <w:sz w:val="16"/>
          <w:szCs w:val="16"/>
          <w:color w:val="auto"/>
        </w:rPr>
        <w:t>Los Angeles, California</w:t>
      </w:r>
    </w:p>
    <w:p>
      <w:pPr>
        <w:spacing w:after="0" w:line="43" w:lineRule="exact"/>
        <w:rPr>
          <w:sz w:val="20"/>
          <w:szCs w:val="20"/>
          <w:color w:val="auto"/>
        </w:rPr>
      </w:pPr>
    </w:p>
    <w:p>
      <w:pPr>
        <w:ind w:left="1552"/>
        <w:spacing w:after="0"/>
        <w:rPr>
          <w:sz w:val="20"/>
          <w:szCs w:val="20"/>
          <w:color w:val="auto"/>
        </w:rPr>
      </w:pPr>
      <w:r>
        <w:rPr>
          <w:rFonts w:ascii="Arial" w:cs="Arial" w:eastAsia="Arial" w:hAnsi="Arial"/>
          <w:sz w:val="16"/>
          <w:szCs w:val="16"/>
          <w:color w:val="auto"/>
        </w:rPr>
        <w:t>50 %  Scottsdale Fashion Square-Office(d)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23430"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5" w:lineRule="exact"/>
        <w:rPr>
          <w:sz w:val="20"/>
          <w:szCs w:val="20"/>
          <w:color w:val="auto"/>
        </w:rPr>
      </w:pPr>
    </w:p>
    <w:p>
      <w:pPr>
        <w:ind w:left="2032"/>
        <w:spacing w:after="0"/>
        <w:rPr>
          <w:sz w:val="20"/>
          <w:szCs w:val="20"/>
          <w:color w:val="auto"/>
        </w:rPr>
      </w:pPr>
      <w:r>
        <w:rPr>
          <w:rFonts w:ascii="Arial" w:cs="Arial" w:eastAsia="Arial" w:hAnsi="Arial"/>
          <w:sz w:val="16"/>
          <w:szCs w:val="16"/>
          <w:color w:val="auto"/>
        </w:rPr>
        <w:t>Scottsdale, Arizona</w:t>
      </w:r>
    </w:p>
    <w:p>
      <w:pPr>
        <w:spacing w:after="0" w:line="43" w:lineRule="exact"/>
        <w:rPr>
          <w:sz w:val="20"/>
          <w:szCs w:val="20"/>
          <w:color w:val="auto"/>
        </w:rPr>
      </w:pPr>
    </w:p>
    <w:p>
      <w:pPr>
        <w:ind w:left="1552"/>
        <w:spacing w:after="0"/>
        <w:rPr>
          <w:sz w:val="20"/>
          <w:szCs w:val="20"/>
          <w:color w:val="auto"/>
        </w:rPr>
      </w:pPr>
      <w:r>
        <w:rPr>
          <w:rFonts w:ascii="Arial" w:cs="Arial" w:eastAsia="Arial" w:hAnsi="Arial"/>
          <w:sz w:val="16"/>
          <w:szCs w:val="16"/>
          <w:color w:val="auto"/>
        </w:rPr>
        <w:t>50 %  Tysons Corner Center-Office(d)</w:t>
      </w:r>
    </w:p>
    <w:p>
      <w:pPr>
        <w:spacing w:after="0" w:line="35" w:lineRule="exact"/>
        <w:rPr>
          <w:sz w:val="20"/>
          <w:szCs w:val="20"/>
          <w:color w:val="auto"/>
        </w:rPr>
      </w:pPr>
    </w:p>
    <w:p>
      <w:pPr>
        <w:ind w:left="2032"/>
        <w:spacing w:after="0"/>
        <w:rPr>
          <w:sz w:val="20"/>
          <w:szCs w:val="20"/>
          <w:color w:val="auto"/>
        </w:rPr>
      </w:pPr>
      <w:r>
        <w:rPr>
          <w:rFonts w:ascii="Arial" w:cs="Arial" w:eastAsia="Arial" w:hAnsi="Arial"/>
          <w:sz w:val="16"/>
          <w:szCs w:val="16"/>
          <w:color w:val="auto"/>
        </w:rPr>
        <w:t>Tysons Corner, Virginia</w:t>
      </w:r>
    </w:p>
    <w:p>
      <w:pPr>
        <w:spacing w:after="0" w:line="43" w:lineRule="exact"/>
        <w:rPr>
          <w:sz w:val="20"/>
          <w:szCs w:val="20"/>
          <w:color w:val="auto"/>
        </w:rPr>
      </w:pPr>
    </w:p>
    <w:p>
      <w:pPr>
        <w:ind w:left="1552"/>
        <w:spacing w:after="0"/>
        <w:rPr>
          <w:sz w:val="20"/>
          <w:szCs w:val="20"/>
          <w:color w:val="auto"/>
        </w:rPr>
      </w:pPr>
      <w:r>
        <w:rPr>
          <w:rFonts w:ascii="Arial" w:cs="Arial" w:eastAsia="Arial" w:hAnsi="Arial"/>
          <w:sz w:val="16"/>
          <w:szCs w:val="16"/>
          <w:color w:val="auto"/>
        </w:rPr>
        <w:t>50 %  Hyatt Regency Tysons Corner Center(d)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23430" cy="283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5" w:lineRule="exact"/>
        <w:rPr>
          <w:sz w:val="20"/>
          <w:szCs w:val="20"/>
          <w:color w:val="auto"/>
        </w:rPr>
      </w:pPr>
    </w:p>
    <w:p>
      <w:pPr>
        <w:ind w:left="2032"/>
        <w:spacing w:after="0"/>
        <w:rPr>
          <w:sz w:val="20"/>
          <w:szCs w:val="20"/>
          <w:color w:val="auto"/>
        </w:rPr>
      </w:pPr>
      <w:r>
        <w:rPr>
          <w:rFonts w:ascii="Arial" w:cs="Arial" w:eastAsia="Arial" w:hAnsi="Arial"/>
          <w:sz w:val="16"/>
          <w:szCs w:val="16"/>
          <w:color w:val="auto"/>
        </w:rPr>
        <w:t>Tysons Corner, Virginia</w:t>
      </w:r>
    </w:p>
    <w:p>
      <w:pPr>
        <w:spacing w:after="0" w:line="43" w:lineRule="exact"/>
        <w:rPr>
          <w:sz w:val="20"/>
          <w:szCs w:val="20"/>
          <w:color w:val="auto"/>
        </w:rPr>
      </w:pPr>
    </w:p>
    <w:p>
      <w:pPr>
        <w:jc w:val="center"/>
        <w:ind w:right="988"/>
        <w:spacing w:after="0"/>
        <w:rPr>
          <w:sz w:val="20"/>
          <w:szCs w:val="20"/>
          <w:color w:val="auto"/>
        </w:rPr>
      </w:pPr>
      <w:r>
        <w:rPr>
          <w:rFonts w:ascii="Arial" w:cs="Arial" w:eastAsia="Arial" w:hAnsi="Arial"/>
          <w:sz w:val="16"/>
          <w:szCs w:val="16"/>
          <w:color w:val="auto"/>
        </w:rPr>
        <w:t>50 %  VITA Tysons Corner Center(d)</w:t>
      </w:r>
    </w:p>
    <w:p>
      <w:pPr>
        <w:spacing w:after="0" w:line="35" w:lineRule="exact"/>
        <w:rPr>
          <w:sz w:val="20"/>
          <w:szCs w:val="20"/>
          <w:color w:val="auto"/>
        </w:rPr>
      </w:pPr>
    </w:p>
    <w:p>
      <w:pPr>
        <w:jc w:val="center"/>
        <w:ind w:right="1008"/>
        <w:spacing w:after="0"/>
        <w:rPr>
          <w:sz w:val="20"/>
          <w:szCs w:val="20"/>
          <w:color w:val="auto"/>
        </w:rPr>
      </w:pPr>
      <w:r>
        <w:rPr>
          <w:rFonts w:ascii="Arial" w:cs="Arial" w:eastAsia="Arial" w:hAnsi="Arial"/>
          <w:sz w:val="16"/>
          <w:szCs w:val="16"/>
          <w:color w:val="auto"/>
        </w:rPr>
        <w:t>Tysons Corner, Virginia</w:t>
      </w:r>
    </w:p>
    <w:p>
      <w:pPr>
        <w:spacing w:after="0" w:line="43" w:lineRule="exact"/>
        <w:rPr>
          <w:sz w:val="20"/>
          <w:szCs w:val="20"/>
          <w:color w:val="auto"/>
        </w:rPr>
      </w:pPr>
    </w:p>
    <w:p>
      <w:pPr>
        <w:ind w:left="1552"/>
        <w:spacing w:after="0"/>
        <w:rPr>
          <w:sz w:val="20"/>
          <w:szCs w:val="20"/>
          <w:color w:val="auto"/>
        </w:rPr>
      </w:pPr>
      <w:r>
        <w:rPr>
          <w:rFonts w:ascii="Arial" w:cs="Arial" w:eastAsia="Arial" w:hAnsi="Arial"/>
          <w:sz w:val="16"/>
          <w:szCs w:val="16"/>
          <w:color w:val="auto"/>
        </w:rPr>
        <w:t>50 %  Tysons Tower(d)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23430" cy="282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15" w:lineRule="exact"/>
        <w:rPr>
          <w:sz w:val="20"/>
          <w:szCs w:val="20"/>
          <w:color w:val="auto"/>
        </w:rPr>
      </w:pPr>
    </w:p>
    <w:p>
      <w:pPr>
        <w:ind w:left="2032"/>
        <w:spacing w:after="0"/>
        <w:rPr>
          <w:sz w:val="20"/>
          <w:szCs w:val="20"/>
          <w:color w:val="auto"/>
        </w:rPr>
      </w:pPr>
      <w:r>
        <w:rPr>
          <w:rFonts w:ascii="Arial" w:cs="Arial" w:eastAsia="Arial" w:hAnsi="Arial"/>
          <w:sz w:val="16"/>
          <w:szCs w:val="16"/>
          <w:color w:val="auto"/>
        </w:rPr>
        <w:t>Tysons Corner, Virginia</w:t>
      </w:r>
    </w:p>
    <w:p>
      <w:pPr>
        <w:spacing w:after="0" w:line="4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OTHER ASSETS UNDER REDEVELOPMENT: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23430" cy="282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19" w:lineRule="exact"/>
        <w:rPr>
          <w:sz w:val="20"/>
          <w:szCs w:val="20"/>
          <w:color w:val="auto"/>
        </w:rPr>
      </w:pPr>
    </w:p>
    <w:p>
      <w:pPr>
        <w:ind w:left="1632"/>
        <w:spacing w:after="0"/>
        <w:rPr>
          <w:sz w:val="20"/>
          <w:szCs w:val="20"/>
          <w:color w:val="auto"/>
        </w:rPr>
      </w:pPr>
      <w:r>
        <w:rPr>
          <w:rFonts w:ascii="Arial" w:cs="Arial" w:eastAsia="Arial" w:hAnsi="Arial"/>
          <w:sz w:val="16"/>
          <w:szCs w:val="16"/>
          <w:color w:val="auto"/>
        </w:rPr>
        <w:t>5 %  Paradise Valley Mall (d)(f)</w:t>
      </w:r>
    </w:p>
    <w:p>
      <w:pPr>
        <w:spacing w:after="0" w:line="28" w:lineRule="exact"/>
        <w:rPr>
          <w:sz w:val="20"/>
          <w:szCs w:val="20"/>
          <w:color w:val="auto"/>
        </w:rPr>
      </w:pPr>
    </w:p>
    <w:p>
      <w:pPr>
        <w:ind w:left="2032"/>
        <w:spacing w:after="0"/>
        <w:rPr>
          <w:sz w:val="20"/>
          <w:szCs w:val="20"/>
          <w:color w:val="auto"/>
        </w:rPr>
      </w:pPr>
      <w:r>
        <w:rPr>
          <w:rFonts w:ascii="Arial" w:cs="Arial" w:eastAsia="Arial" w:hAnsi="Arial"/>
          <w:sz w:val="16"/>
          <w:szCs w:val="16"/>
          <w:color w:val="auto"/>
        </w:rPr>
        <w:t>Phoenix, Arizona</w:t>
      </w:r>
    </w:p>
    <w:p>
      <w:pPr>
        <w:spacing w:after="0" w:line="57" w:lineRule="exact"/>
        <w:rPr>
          <w:sz w:val="20"/>
          <w:szCs w:val="20"/>
          <w:color w:val="auto"/>
        </w:rPr>
      </w:pPr>
    </w:p>
    <w:p>
      <w:pPr>
        <w:ind w:left="2032"/>
        <w:spacing w:after="0"/>
        <w:rPr>
          <w:sz w:val="20"/>
          <w:szCs w:val="20"/>
          <w:color w:val="auto"/>
        </w:rPr>
      </w:pPr>
      <w:r>
        <w:rPr>
          <w:rFonts w:ascii="Arial" w:cs="Arial" w:eastAsia="Arial" w:hAnsi="Arial"/>
          <w:sz w:val="16"/>
          <w:szCs w:val="16"/>
          <w:b w:val="1"/>
          <w:bCs w:val="1"/>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2343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3430" cy="162560"/>
                    </a:xfrm>
                    <a:prstGeom prst="rect">
                      <a:avLst/>
                    </a:prstGeom>
                    <a:noFill/>
                  </pic:spPr>
                </pic:pic>
              </a:graphicData>
            </a:graphic>
          </wp:anchor>
        </w:drawing>
      </w:r>
    </w:p>
    <w:p>
      <w:pPr>
        <w:spacing w:after="0" w:line="53" w:lineRule="exact"/>
        <w:rPr>
          <w:sz w:val="20"/>
          <w:szCs w:val="20"/>
          <w:color w:val="auto"/>
        </w:rPr>
      </w:pPr>
    </w:p>
    <w:p>
      <w:pPr>
        <w:ind w:left="2032"/>
        <w:spacing w:after="0"/>
        <w:rPr>
          <w:sz w:val="20"/>
          <w:szCs w:val="20"/>
          <w:color w:val="auto"/>
        </w:rPr>
      </w:pPr>
      <w:r>
        <w:rPr>
          <w:rFonts w:ascii="Arial" w:cs="Arial" w:eastAsia="Arial" w:hAnsi="Arial"/>
          <w:sz w:val="16"/>
          <w:szCs w:val="16"/>
          <w:b w:val="1"/>
          <w:bCs w:val="1"/>
          <w:color w:val="auto"/>
        </w:rPr>
        <w:t>Grand Total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2006/2011</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2013</w:t>
            </w:r>
          </w:p>
        </w:tc>
        <w:tc>
          <w:tcPr>
            <w:tcW w:w="1200" w:type="dxa"/>
            <w:vAlign w:val="bottom"/>
          </w:tcPr>
          <w:p>
            <w:pPr>
              <w:jc w:val="right"/>
              <w:spacing w:after="0"/>
              <w:rPr>
                <w:sz w:val="20"/>
                <w:szCs w:val="20"/>
                <w:color w:val="auto"/>
              </w:rPr>
            </w:pPr>
            <w:r>
              <w:rPr>
                <w:rFonts w:ascii="Arial" w:cs="Arial" w:eastAsia="Arial" w:hAnsi="Arial"/>
                <w:sz w:val="16"/>
                <w:szCs w:val="16"/>
                <w:color w:val="auto"/>
              </w:rPr>
              <w:t>373,000</w:t>
            </w:r>
          </w:p>
        </w:tc>
      </w:tr>
      <w:tr>
        <w:trPr>
          <w:trHeight w:val="445"/>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2001/2002</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2004</w:t>
            </w:r>
          </w:p>
        </w:tc>
        <w:tc>
          <w:tcPr>
            <w:tcW w:w="1200" w:type="dxa"/>
            <w:vAlign w:val="bottom"/>
          </w:tcPr>
          <w:p>
            <w:pPr>
              <w:jc w:val="right"/>
              <w:spacing w:after="0"/>
              <w:rPr>
                <w:sz w:val="20"/>
                <w:szCs w:val="20"/>
                <w:color w:val="auto"/>
              </w:rPr>
            </w:pPr>
            <w:r>
              <w:rPr>
                <w:rFonts w:ascii="Arial" w:cs="Arial" w:eastAsia="Arial" w:hAnsi="Arial"/>
                <w:sz w:val="16"/>
                <w:szCs w:val="16"/>
                <w:color w:val="auto"/>
              </w:rPr>
              <w:t>185,000</w:t>
            </w:r>
          </w:p>
        </w:tc>
      </w:tr>
      <w:tr>
        <w:trPr>
          <w:trHeight w:val="446"/>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1975/1998</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2013</w:t>
            </w:r>
          </w:p>
        </w:tc>
        <w:tc>
          <w:tcPr>
            <w:tcW w:w="1200" w:type="dxa"/>
            <w:vAlign w:val="bottom"/>
          </w:tcPr>
          <w:p>
            <w:pPr>
              <w:jc w:val="right"/>
              <w:spacing w:after="0"/>
              <w:rPr>
                <w:sz w:val="20"/>
                <w:szCs w:val="20"/>
                <w:color w:val="auto"/>
              </w:rPr>
            </w:pPr>
            <w:r>
              <w:rPr>
                <w:rFonts w:ascii="Arial" w:cs="Arial" w:eastAsia="Arial" w:hAnsi="Arial"/>
                <w:sz w:val="16"/>
                <w:szCs w:val="16"/>
                <w:color w:val="auto"/>
              </w:rPr>
              <w:t>801,000</w:t>
            </w:r>
          </w:p>
        </w:tc>
      </w:tr>
      <w:tr>
        <w:trPr>
          <w:trHeight w:val="445"/>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1990/2002</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204,000</w:t>
            </w:r>
          </w:p>
        </w:tc>
      </w:tr>
      <w:tr>
        <w:trPr>
          <w:trHeight w:val="446"/>
        </w:trPr>
        <w:tc>
          <w:tcPr>
            <w:tcW w:w="1120" w:type="dxa"/>
            <w:vAlign w:val="bottom"/>
          </w:tcPr>
          <w:p>
            <w:pPr>
              <w:jc w:val="center"/>
              <w:ind w:right="279"/>
              <w:spacing w:after="0"/>
              <w:rPr>
                <w:sz w:val="20"/>
                <w:szCs w:val="20"/>
                <w:color w:val="auto"/>
              </w:rPr>
            </w:pPr>
            <w:r>
              <w:rPr>
                <w:rFonts w:ascii="Arial" w:cs="Arial" w:eastAsia="Arial" w:hAnsi="Arial"/>
                <w:sz w:val="16"/>
                <w:szCs w:val="16"/>
                <w:color w:val="auto"/>
                <w:w w:val="99"/>
              </w:rPr>
              <w:t>2007/—</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268,000</w:t>
            </w:r>
          </w:p>
        </w:tc>
      </w:tr>
      <w:tr>
        <w:trPr>
          <w:trHeight w:val="232"/>
        </w:trPr>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1,831,000</w:t>
            </w:r>
          </w:p>
        </w:tc>
      </w:tr>
      <w:tr>
        <w:trPr>
          <w:trHeight w:val="411"/>
        </w:trPr>
        <w:tc>
          <w:tcPr>
            <w:tcW w:w="1120" w:type="dxa"/>
            <w:vAlign w:val="bottom"/>
          </w:tcPr>
          <w:p>
            <w:pPr>
              <w:jc w:val="center"/>
              <w:ind w:right="279"/>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267,000</w:t>
            </w:r>
          </w:p>
        </w:tc>
      </w:tr>
      <w:tr>
        <w:trPr>
          <w:trHeight w:val="216"/>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1985/1998</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680,000</w:t>
            </w:r>
          </w:p>
        </w:tc>
      </w:tr>
      <w:tr>
        <w:trPr>
          <w:trHeight w:val="446"/>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1984/2002</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2016</w:t>
            </w:r>
          </w:p>
        </w:tc>
        <w:tc>
          <w:tcPr>
            <w:tcW w:w="1200" w:type="dxa"/>
            <w:vAlign w:val="bottom"/>
          </w:tcPr>
          <w:p>
            <w:pPr>
              <w:jc w:val="right"/>
              <w:spacing w:after="0"/>
              <w:rPr>
                <w:sz w:val="20"/>
                <w:szCs w:val="20"/>
                <w:color w:val="auto"/>
              </w:rPr>
            </w:pPr>
            <w:r>
              <w:rPr>
                <w:rFonts w:ascii="Arial" w:cs="Arial" w:eastAsia="Arial" w:hAnsi="Arial"/>
                <w:sz w:val="16"/>
                <w:szCs w:val="16"/>
                <w:color w:val="auto"/>
              </w:rPr>
              <w:t>121,000</w:t>
            </w:r>
          </w:p>
        </w:tc>
      </w:tr>
      <w:tr>
        <w:trPr>
          <w:trHeight w:val="445"/>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1999/2005</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2012</w:t>
            </w:r>
          </w:p>
        </w:tc>
        <w:tc>
          <w:tcPr>
            <w:tcW w:w="1200" w:type="dxa"/>
            <w:vAlign w:val="bottom"/>
          </w:tcPr>
          <w:p>
            <w:pPr>
              <w:jc w:val="right"/>
              <w:spacing w:after="0"/>
              <w:rPr>
                <w:sz w:val="20"/>
                <w:szCs w:val="20"/>
                <w:color w:val="auto"/>
              </w:rPr>
            </w:pPr>
            <w:r>
              <w:rPr>
                <w:rFonts w:ascii="Arial" w:cs="Arial" w:eastAsia="Arial" w:hAnsi="Arial"/>
                <w:sz w:val="16"/>
                <w:szCs w:val="16"/>
                <w:color w:val="auto"/>
              </w:rPr>
              <w:t>169,000</w:t>
            </w:r>
          </w:p>
        </w:tc>
      </w:tr>
      <w:tr>
        <w:trPr>
          <w:trHeight w:val="446"/>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2015</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2015</w:t>
            </w:r>
          </w:p>
        </w:tc>
        <w:tc>
          <w:tcPr>
            <w:tcW w:w="1200" w:type="dxa"/>
            <w:vAlign w:val="bottom"/>
          </w:tcPr>
          <w:p>
            <w:pPr>
              <w:jc w:val="right"/>
              <w:spacing w:after="0"/>
              <w:rPr>
                <w:sz w:val="20"/>
                <w:szCs w:val="20"/>
                <w:color w:val="auto"/>
              </w:rPr>
            </w:pPr>
            <w:r>
              <w:rPr>
                <w:rFonts w:ascii="Arial" w:cs="Arial" w:eastAsia="Arial" w:hAnsi="Arial"/>
                <w:sz w:val="16"/>
                <w:szCs w:val="16"/>
                <w:color w:val="auto"/>
              </w:rPr>
              <w:t>290,000</w:t>
            </w:r>
          </w:p>
        </w:tc>
      </w:tr>
      <w:tr>
        <w:trPr>
          <w:trHeight w:val="445"/>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2015</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2015</w:t>
            </w:r>
          </w:p>
        </w:tc>
        <w:tc>
          <w:tcPr>
            <w:tcW w:w="1200" w:type="dxa"/>
            <w:vAlign w:val="bottom"/>
          </w:tcPr>
          <w:p>
            <w:pPr>
              <w:jc w:val="right"/>
              <w:spacing w:after="0"/>
              <w:rPr>
                <w:sz w:val="20"/>
                <w:szCs w:val="20"/>
                <w:color w:val="auto"/>
              </w:rPr>
            </w:pPr>
            <w:r>
              <w:rPr>
                <w:rFonts w:ascii="Arial" w:cs="Arial" w:eastAsia="Arial" w:hAnsi="Arial"/>
                <w:sz w:val="16"/>
                <w:szCs w:val="16"/>
                <w:color w:val="auto"/>
              </w:rPr>
              <w:t>397,000</w:t>
            </w:r>
          </w:p>
        </w:tc>
      </w:tr>
      <w:tr>
        <w:trPr>
          <w:trHeight w:val="445"/>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2014</w:t>
            </w:r>
          </w:p>
        </w:tc>
        <w:tc>
          <w:tcPr>
            <w:tcW w:w="1440" w:type="dxa"/>
            <w:vAlign w:val="bottom"/>
          </w:tcPr>
          <w:p>
            <w:pPr>
              <w:jc w:val="center"/>
              <w:ind w:right="79"/>
              <w:spacing w:after="0"/>
              <w:rPr>
                <w:sz w:val="20"/>
                <w:szCs w:val="20"/>
                <w:color w:val="auto"/>
              </w:rPr>
            </w:pPr>
            <w:r>
              <w:rPr>
                <w:rFonts w:ascii="Arial" w:cs="Arial" w:eastAsia="Arial" w:hAnsi="Arial"/>
                <w:sz w:val="16"/>
                <w:szCs w:val="16"/>
                <w:color w:val="auto"/>
              </w:rPr>
              <w:t>2014</w:t>
            </w:r>
          </w:p>
        </w:tc>
        <w:tc>
          <w:tcPr>
            <w:tcW w:w="1200" w:type="dxa"/>
            <w:vAlign w:val="bottom"/>
          </w:tcPr>
          <w:p>
            <w:pPr>
              <w:jc w:val="right"/>
              <w:spacing w:after="0"/>
              <w:rPr>
                <w:sz w:val="20"/>
                <w:szCs w:val="20"/>
                <w:color w:val="auto"/>
              </w:rPr>
            </w:pPr>
            <w:r>
              <w:rPr>
                <w:rFonts w:ascii="Arial" w:cs="Arial" w:eastAsia="Arial" w:hAnsi="Arial"/>
                <w:sz w:val="16"/>
                <w:szCs w:val="16"/>
                <w:color w:val="auto"/>
              </w:rPr>
              <w:t>529,000</w:t>
            </w:r>
          </w:p>
        </w:tc>
      </w:tr>
      <w:tr>
        <w:trPr>
          <w:trHeight w:val="661"/>
        </w:trPr>
        <w:tc>
          <w:tcPr>
            <w:tcW w:w="1120" w:type="dxa"/>
            <w:vAlign w:val="bottom"/>
          </w:tcPr>
          <w:p>
            <w:pPr>
              <w:jc w:val="center"/>
              <w:ind w:right="279"/>
              <w:spacing w:after="0"/>
              <w:rPr>
                <w:sz w:val="20"/>
                <w:szCs w:val="20"/>
                <w:color w:val="auto"/>
              </w:rPr>
            </w:pPr>
            <w:r>
              <w:rPr>
                <w:rFonts w:ascii="Arial" w:cs="Arial" w:eastAsia="Arial" w:hAnsi="Arial"/>
                <w:sz w:val="16"/>
                <w:szCs w:val="16"/>
                <w:color w:val="auto"/>
              </w:rPr>
              <w:t>1979/2002</w:t>
            </w:r>
          </w:p>
        </w:tc>
        <w:tc>
          <w:tcPr>
            <w:tcW w:w="1440" w:type="dxa"/>
            <w:vAlign w:val="bottom"/>
          </w:tcPr>
          <w:p>
            <w:pPr>
              <w:ind w:left="360"/>
              <w:spacing w:after="0"/>
              <w:rPr>
                <w:sz w:val="20"/>
                <w:szCs w:val="20"/>
                <w:color w:val="auto"/>
              </w:rPr>
            </w:pPr>
            <w:r>
              <w:rPr>
                <w:rFonts w:ascii="Arial" w:cs="Arial" w:eastAsia="Arial" w:hAnsi="Arial"/>
                <w:sz w:val="16"/>
                <w:szCs w:val="16"/>
                <w:color w:val="auto"/>
              </w:rPr>
              <w:t>ongoing</w:t>
            </w:r>
          </w:p>
        </w:tc>
        <w:tc>
          <w:tcPr>
            <w:tcW w:w="1200" w:type="dxa"/>
            <w:vAlign w:val="bottom"/>
          </w:tcPr>
          <w:p>
            <w:pPr>
              <w:jc w:val="right"/>
              <w:spacing w:after="0"/>
              <w:rPr>
                <w:sz w:val="20"/>
                <w:szCs w:val="20"/>
                <w:color w:val="auto"/>
              </w:rPr>
            </w:pPr>
            <w:r>
              <w:rPr>
                <w:rFonts w:ascii="Arial" w:cs="Arial" w:eastAsia="Arial" w:hAnsi="Arial"/>
                <w:sz w:val="16"/>
                <w:szCs w:val="16"/>
                <w:color w:val="auto"/>
              </w:rPr>
              <w:t>303,000</w:t>
            </w:r>
          </w:p>
        </w:tc>
      </w:tr>
      <w:tr>
        <w:trPr>
          <w:trHeight w:val="232"/>
        </w:trPr>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2,756,000</w:t>
            </w:r>
          </w:p>
        </w:tc>
      </w:tr>
      <w:tr>
        <w:trPr>
          <w:trHeight w:val="209"/>
        </w:trPr>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47,578,000</w:t>
            </w:r>
          </w:p>
        </w:tc>
      </w:tr>
      <w:tr>
        <w:trPr>
          <w:trHeight w:val="21"/>
        </w:trPr>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32" w:space="720"/>
            <w:col w:w="3760"/>
          </w:cols>
          <w:pgMar w:left="328" w:top="314" w:right="359" w:bottom="1440" w:gutter="0" w:footer="0" w:header="0"/>
          <w:type w:val="continuous"/>
        </w:sectPr>
      </w:pPr>
    </w:p>
    <w:p>
      <w:pPr>
        <w:spacing w:after="0" w:line="128" w:lineRule="exact"/>
        <w:rPr>
          <w:sz w:val="20"/>
          <w:szCs w:val="20"/>
          <w:color w:val="auto"/>
        </w:rPr>
      </w:pPr>
    </w:p>
    <w:p>
      <w:pPr>
        <w:ind w:left="12" w:right="100"/>
        <w:spacing w:after="0" w:line="261" w:lineRule="auto"/>
        <w:rPr>
          <w:sz w:val="20"/>
          <w:szCs w:val="20"/>
          <w:color w:val="auto"/>
        </w:rPr>
      </w:pPr>
      <w:r>
        <w:rPr>
          <w:rFonts w:ascii="Arial" w:cs="Arial" w:eastAsia="Arial" w:hAnsi="Arial"/>
          <w:sz w:val="14"/>
          <w:szCs w:val="14"/>
          <w:color w:val="auto"/>
        </w:rPr>
        <w:t>The Company owned or had an ownership interest in 44 regional town centers (including office, hotel and residential space adjacent to these shopping centers), five community/power shopping centers, one office and one redevelopment property. With the exception of the eight Centers indicated with footnote (c) in the table above, the underlying land controlled by the Company is owned in fee entirely by the Company, or, in the case of jointly-owned Centers, by the joint venture property partnership or limited liability company.</w:t>
      </w:r>
    </w:p>
    <w:p>
      <w:pPr>
        <w:spacing w:after="0" w:line="2" w:lineRule="exact"/>
        <w:rPr>
          <w:sz w:val="20"/>
          <w:szCs w:val="20"/>
          <w:color w:val="auto"/>
        </w:rPr>
      </w:pPr>
    </w:p>
    <w:p>
      <w:pPr>
        <w:ind w:left="412" w:right="700" w:hanging="412"/>
        <w:spacing w:after="0" w:line="251" w:lineRule="auto"/>
        <w:tabs>
          <w:tab w:leader="none" w:pos="399"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Company’s ownership interest in this table reflects its legal ownership interest. See footnotes (a) and (b) in the Joint Venture List regarding the legal versus economic ownership of joint venture entities.</w:t>
      </w:r>
    </w:p>
    <w:p>
      <w:pPr>
        <w:ind w:left="392" w:hanging="392"/>
        <w:spacing w:after="0"/>
        <w:tabs>
          <w:tab w:leader="none" w:pos="3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GLA attributable to anchors (whether owned or non-owned) and mall and freestanding stores.</w:t>
      </w:r>
    </w:p>
    <w:p>
      <w:pPr>
        <w:spacing w:after="0" w:line="14" w:lineRule="exact"/>
        <w:rPr>
          <w:rFonts w:ascii="Arial" w:cs="Arial" w:eastAsia="Arial" w:hAnsi="Arial"/>
          <w:sz w:val="14"/>
          <w:szCs w:val="14"/>
          <w:color w:val="auto"/>
        </w:rPr>
      </w:pPr>
    </w:p>
    <w:p>
      <w:pPr>
        <w:ind w:left="392" w:hanging="392"/>
        <w:spacing w:after="0"/>
        <w:tabs>
          <w:tab w:leader="none" w:pos="3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Portions of the land on which the Center is situated are subject to one or more long-term ground leases.</w:t>
      </w:r>
    </w:p>
    <w:p>
      <w:pPr>
        <w:spacing w:after="0" w:line="14" w:lineRule="exact"/>
        <w:rPr>
          <w:rFonts w:ascii="Arial" w:cs="Arial" w:eastAsia="Arial" w:hAnsi="Arial"/>
          <w:sz w:val="14"/>
          <w:szCs w:val="14"/>
          <w:color w:val="auto"/>
        </w:rPr>
      </w:pPr>
    </w:p>
    <w:p>
      <w:pPr>
        <w:ind w:left="392" w:hanging="392"/>
        <w:spacing w:after="0"/>
        <w:tabs>
          <w:tab w:leader="none" w:pos="3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Included in Unconsolidated Joint Venture Centers.</w:t>
      </w:r>
    </w:p>
    <w:p>
      <w:pPr>
        <w:spacing w:after="0" w:line="14" w:lineRule="exact"/>
        <w:rPr>
          <w:rFonts w:ascii="Arial" w:cs="Arial" w:eastAsia="Arial" w:hAnsi="Arial"/>
          <w:sz w:val="14"/>
          <w:szCs w:val="14"/>
          <w:color w:val="auto"/>
        </w:rPr>
      </w:pPr>
    </w:p>
    <w:p>
      <w:pPr>
        <w:ind w:left="392" w:hanging="392"/>
        <w:spacing w:after="0"/>
        <w:tabs>
          <w:tab w:leader="none" w:pos="3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Included in Consolidated Centers.</w:t>
      </w:r>
    </w:p>
    <w:p>
      <w:pPr>
        <w:spacing w:after="0" w:line="14" w:lineRule="exact"/>
        <w:rPr>
          <w:rFonts w:ascii="Arial" w:cs="Arial" w:eastAsia="Arial" w:hAnsi="Arial"/>
          <w:sz w:val="14"/>
          <w:szCs w:val="14"/>
          <w:color w:val="auto"/>
        </w:rPr>
      </w:pPr>
    </w:p>
    <w:p>
      <w:pPr>
        <w:ind w:left="412" w:right="340" w:hanging="412"/>
        <w:spacing w:after="0" w:line="262" w:lineRule="auto"/>
        <w:tabs>
          <w:tab w:leader="none" w:pos="399"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March 29, 2021, the Company sold the former Paradise Valley Mall for $100 million to a newly formed joint venture and retained a 5% joint venture interest. Construction started in Summer 2021 on the first phase of a multi-phase, multi-year project to convert this former regional town center into a mixed-use development with high-end grocery, restaurants, multi-family residences, offices, retail shops and other elements on the 92-acre site. The existing Costco and JC Penney stores currently remain open, while all of the other stores at the property have closed.</w:t>
      </w: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12"/>
          </w:cols>
          <w:pgMar w:left="328" w:top="314" w:right="35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Joint Venture List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September 30, 2022</w:t>
      </w:r>
    </w:p>
    <w:p>
      <w:pPr>
        <w:spacing w:after="0" w:line="367" w:lineRule="exact"/>
        <w:rPr>
          <w:sz w:val="20"/>
          <w:szCs w:val="20"/>
          <w:color w:val="auto"/>
        </w:rPr>
      </w:pPr>
    </w:p>
    <w:p>
      <w:pPr>
        <w:ind w:right="320" w:firstLine="486"/>
        <w:spacing w:after="0" w:line="275" w:lineRule="auto"/>
        <w:rPr>
          <w:sz w:val="20"/>
          <w:szCs w:val="20"/>
          <w:color w:val="auto"/>
        </w:rPr>
      </w:pPr>
      <w:r>
        <w:rPr>
          <w:rFonts w:ascii="Arial" w:cs="Arial" w:eastAsia="Arial" w:hAnsi="Arial"/>
          <w:sz w:val="16"/>
          <w:szCs w:val="16"/>
          <w:color w:val="auto"/>
        </w:rPr>
        <w:t>The following table sets forth certain information regarding the Centers and other operating properties that are not wholly owned by the Company. This list of properties includes unconsolidated joint ventures, consolidated joint ventures, and financing arrangements. The percentages shown are the effective legal ownership and economic ownership interests of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Properties</w:t>
            </w:r>
          </w:p>
        </w:tc>
        <w:tc>
          <w:tcPr>
            <w:tcW w:w="14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Legal Ownership(a)</w:t>
            </w:r>
          </w:p>
        </w:tc>
        <w:tc>
          <w:tcPr>
            <w:tcW w:w="14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Economic</w:t>
            </w:r>
          </w:p>
        </w:tc>
        <w:tc>
          <w:tcPr>
            <w:tcW w:w="3620" w:type="dxa"/>
            <w:vAlign w:val="bottom"/>
            <w:gridSpan w:val="2"/>
            <w:vMerge w:val="restart"/>
          </w:tcPr>
          <w:p>
            <w:pPr>
              <w:ind w:left="1360"/>
              <w:spacing w:after="0"/>
              <w:rPr>
                <w:sz w:val="20"/>
                <w:szCs w:val="20"/>
                <w:color w:val="auto"/>
              </w:rPr>
            </w:pPr>
            <w:r>
              <w:rPr>
                <w:rFonts w:ascii="Arial" w:cs="Arial" w:eastAsia="Arial" w:hAnsi="Arial"/>
                <w:sz w:val="13"/>
                <w:szCs w:val="13"/>
                <w:b w:val="1"/>
                <w:bCs w:val="1"/>
                <w:color w:val="auto"/>
              </w:rPr>
              <w:t>Joint Venture</w:t>
            </w:r>
          </w:p>
        </w:tc>
        <w:tc>
          <w:tcPr>
            <w:tcW w:w="120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Total GLA(c)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7"/>
              </w:rPr>
              <w:t>Ownership(b)</w:t>
            </w:r>
          </w:p>
        </w:tc>
        <w:tc>
          <w:tcPr>
            <w:tcW w:w="36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Arrowhead Towne Center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River Associates LLC</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Atlas Park, The Shops at</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WMAP, L.L.C.</w:t>
            </w:r>
          </w:p>
        </w:tc>
        <w:tc>
          <w:tcPr>
            <w:tcW w:w="1200" w:type="dxa"/>
            <w:vAlign w:val="bottom"/>
          </w:tcPr>
          <w:p>
            <w:pPr>
              <w:jc w:val="right"/>
              <w:spacing w:after="0"/>
              <w:rPr>
                <w:sz w:val="20"/>
                <w:szCs w:val="20"/>
                <w:color w:val="auto"/>
              </w:rPr>
            </w:pPr>
            <w:r>
              <w:rPr>
                <w:rFonts w:ascii="Arial" w:cs="Arial" w:eastAsia="Arial" w:hAnsi="Arial"/>
                <w:sz w:val="16"/>
                <w:szCs w:val="16"/>
                <w:color w:val="auto"/>
              </w:rPr>
              <w:t>373,000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Biltmore Fashion Park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Biltmore Shopping Center Partners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Boulevard Shops</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Propcor II Associates, LLC</w:t>
            </w:r>
          </w:p>
        </w:tc>
        <w:tc>
          <w:tcPr>
            <w:tcW w:w="1200" w:type="dxa"/>
            <w:vAlign w:val="bottom"/>
          </w:tcPr>
          <w:p>
            <w:pPr>
              <w:jc w:val="right"/>
              <w:spacing w:after="0"/>
              <w:rPr>
                <w:sz w:val="20"/>
                <w:szCs w:val="20"/>
                <w:color w:val="auto"/>
              </w:rPr>
            </w:pPr>
            <w:r>
              <w:rPr>
                <w:rFonts w:ascii="Arial" w:cs="Arial" w:eastAsia="Arial" w:hAnsi="Arial"/>
                <w:sz w:val="16"/>
                <w:szCs w:val="16"/>
                <w:color w:val="auto"/>
              </w:rPr>
              <w:t>185,000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Broadway Plaza</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Macerich HHF Broadway Plaza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Chandler Fashion Center(d)(e)</w:t>
            </w:r>
          </w:p>
        </w:tc>
        <w:tc>
          <w:tcPr>
            <w:tcW w:w="1360" w:type="dxa"/>
            <w:vAlign w:val="bottom"/>
          </w:tcPr>
          <w:p>
            <w:pPr>
              <w:jc w:val="right"/>
              <w:spacing w:after="0"/>
              <w:rPr>
                <w:sz w:val="20"/>
                <w:szCs w:val="20"/>
                <w:color w:val="auto"/>
              </w:rPr>
            </w:pPr>
            <w:r>
              <w:rPr>
                <w:rFonts w:ascii="Arial" w:cs="Arial" w:eastAsia="Arial" w:hAnsi="Arial"/>
                <w:sz w:val="16"/>
                <w:szCs w:val="16"/>
                <w:color w:val="auto"/>
              </w:rPr>
              <w:t>50.1 %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50.1 %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Freehold Chandler Holdings LP</w:t>
            </w:r>
          </w:p>
        </w:tc>
        <w:tc>
          <w:tcPr>
            <w:tcW w:w="1200" w:type="dxa"/>
            <w:vAlign w:val="bottom"/>
          </w:tcPr>
          <w:p>
            <w:pPr>
              <w:jc w:val="right"/>
              <w:spacing w:after="0"/>
              <w:rPr>
                <w:sz w:val="20"/>
                <w:szCs w:val="20"/>
                <w:color w:val="auto"/>
              </w:rPr>
            </w:pPr>
            <w:r>
              <w:rPr>
                <w:rFonts w:ascii="Arial" w:cs="Arial" w:eastAsia="Arial" w:hAnsi="Arial"/>
                <w:sz w:val="16"/>
                <w:szCs w:val="16"/>
                <w:color w:val="auto"/>
              </w:rPr>
              <w:t>1,319,000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Corte Madera, The Village at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Corte Madera Village,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Country Club Plaza</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Country Club Plaza KC Partners LLC</w:t>
            </w:r>
          </w:p>
        </w:tc>
        <w:tc>
          <w:tcPr>
            <w:tcW w:w="1200" w:type="dxa"/>
            <w:vAlign w:val="bottom"/>
          </w:tcPr>
          <w:p>
            <w:pPr>
              <w:jc w:val="right"/>
              <w:spacing w:after="0"/>
              <w:rPr>
                <w:sz w:val="20"/>
                <w:szCs w:val="20"/>
                <w:color w:val="auto"/>
              </w:rPr>
            </w:pPr>
            <w:r>
              <w:rPr>
                <w:rFonts w:ascii="Arial" w:cs="Arial" w:eastAsia="Arial" w:hAnsi="Arial"/>
                <w:sz w:val="16"/>
                <w:szCs w:val="16"/>
                <w:color w:val="auto"/>
              </w:rPr>
              <w:t>965,000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Deptford Mall</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Macerich HHF Centers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Fashion District Philadelphia</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420" w:type="dxa"/>
            <w:vAlign w:val="bottom"/>
            <w:gridSpan w:val="2"/>
          </w:tcPr>
          <w:p>
            <w:pPr>
              <w:ind w:left="1180"/>
              <w:spacing w:after="0"/>
              <w:rPr>
                <w:sz w:val="20"/>
                <w:szCs w:val="20"/>
                <w:color w:val="auto"/>
              </w:rPr>
            </w:pPr>
            <w:r>
              <w:rPr>
                <w:rFonts w:ascii="Arial" w:cs="Arial" w:eastAsia="Arial" w:hAnsi="Arial"/>
                <w:sz w:val="16"/>
                <w:szCs w:val="16"/>
                <w:color w:val="auto"/>
              </w:rPr>
              <w:t>(f)</w:t>
            </w: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Various Entities</w:t>
            </w:r>
          </w:p>
        </w:tc>
        <w:tc>
          <w:tcPr>
            <w:tcW w:w="1200" w:type="dxa"/>
            <w:vAlign w:val="bottom"/>
          </w:tcPr>
          <w:p>
            <w:pPr>
              <w:jc w:val="right"/>
              <w:spacing w:after="0"/>
              <w:rPr>
                <w:sz w:val="20"/>
                <w:szCs w:val="20"/>
                <w:color w:val="auto"/>
              </w:rPr>
            </w:pPr>
            <w:r>
              <w:rPr>
                <w:rFonts w:ascii="Arial" w:cs="Arial" w:eastAsia="Arial" w:hAnsi="Arial"/>
                <w:sz w:val="16"/>
                <w:szCs w:val="16"/>
                <w:color w:val="auto"/>
              </w:rPr>
              <w:t>803,000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FlatIron Crossing</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Macerich HHF Centers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Freehold Raceway Mall(d)(e)</w:t>
            </w:r>
          </w:p>
        </w:tc>
        <w:tc>
          <w:tcPr>
            <w:tcW w:w="1360" w:type="dxa"/>
            <w:vAlign w:val="bottom"/>
          </w:tcPr>
          <w:p>
            <w:pPr>
              <w:jc w:val="right"/>
              <w:spacing w:after="0"/>
              <w:rPr>
                <w:sz w:val="20"/>
                <w:szCs w:val="20"/>
                <w:color w:val="auto"/>
              </w:rPr>
            </w:pPr>
            <w:r>
              <w:rPr>
                <w:rFonts w:ascii="Arial" w:cs="Arial" w:eastAsia="Arial" w:hAnsi="Arial"/>
                <w:sz w:val="16"/>
                <w:szCs w:val="16"/>
                <w:color w:val="auto"/>
              </w:rPr>
              <w:t>50.1 %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50.1 %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Freehold Chandler Holdings LP</w:t>
            </w:r>
          </w:p>
        </w:tc>
        <w:tc>
          <w:tcPr>
            <w:tcW w:w="1200" w:type="dxa"/>
            <w:vAlign w:val="bottom"/>
          </w:tcPr>
          <w:p>
            <w:pPr>
              <w:jc w:val="right"/>
              <w:spacing w:after="0"/>
              <w:rPr>
                <w:sz w:val="20"/>
                <w:szCs w:val="20"/>
                <w:color w:val="auto"/>
              </w:rPr>
            </w:pPr>
            <w:r>
              <w:rPr>
                <w:rFonts w:ascii="Arial" w:cs="Arial" w:eastAsia="Arial" w:hAnsi="Arial"/>
                <w:sz w:val="16"/>
                <w:szCs w:val="16"/>
                <w:color w:val="auto"/>
              </w:rPr>
              <w:t>1,552,000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Hyatt Regency Tysons Corner Center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Tysons Corner Hotel I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Kierland Commons</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Kierland Commons Investment LLC</w:t>
            </w:r>
          </w:p>
        </w:tc>
        <w:tc>
          <w:tcPr>
            <w:tcW w:w="1200" w:type="dxa"/>
            <w:vAlign w:val="bottom"/>
          </w:tcPr>
          <w:p>
            <w:pPr>
              <w:jc w:val="right"/>
              <w:spacing w:after="0"/>
              <w:rPr>
                <w:sz w:val="20"/>
                <w:szCs w:val="20"/>
                <w:color w:val="auto"/>
              </w:rPr>
            </w:pPr>
            <w:r>
              <w:rPr>
                <w:rFonts w:ascii="Arial" w:cs="Arial" w:eastAsia="Arial" w:hAnsi="Arial"/>
                <w:sz w:val="16"/>
                <w:szCs w:val="16"/>
                <w:color w:val="auto"/>
              </w:rPr>
              <w:t>436,000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Lakewood Center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Pacific Premier Retail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Los Angeles Premium Outlets</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CAM-CARSON LLC</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 Cerritos Center(d)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Pacific Premier Retail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Macerich Seritage Portfolio(g)</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MS Portfolio LLC</w:t>
            </w:r>
          </w:p>
        </w:tc>
        <w:tc>
          <w:tcPr>
            <w:tcW w:w="1200" w:type="dxa"/>
            <w:vAlign w:val="bottom"/>
          </w:tcPr>
          <w:p>
            <w:pPr>
              <w:jc w:val="right"/>
              <w:spacing w:after="0"/>
              <w:rPr>
                <w:sz w:val="20"/>
                <w:szCs w:val="20"/>
                <w:color w:val="auto"/>
              </w:rPr>
            </w:pPr>
            <w:r>
              <w:rPr>
                <w:rFonts w:ascii="Arial" w:cs="Arial" w:eastAsia="Arial" w:hAnsi="Arial"/>
                <w:sz w:val="16"/>
                <w:szCs w:val="16"/>
                <w:color w:val="auto"/>
              </w:rPr>
              <w:t>458,000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Westside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HPP-MAC WSP,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Paradise Valley Mall(h)</w:t>
            </w:r>
          </w:p>
        </w:tc>
        <w:tc>
          <w:tcPr>
            <w:tcW w:w="136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PV Land SPE, LLC</w:t>
            </w:r>
          </w:p>
        </w:tc>
        <w:tc>
          <w:tcPr>
            <w:tcW w:w="1200" w:type="dxa"/>
            <w:vAlign w:val="bottom"/>
          </w:tcPr>
          <w:p>
            <w:pPr>
              <w:jc w:val="right"/>
              <w:spacing w:after="0"/>
              <w:rPr>
                <w:sz w:val="20"/>
                <w:szCs w:val="20"/>
                <w:color w:val="auto"/>
              </w:rPr>
            </w:pPr>
            <w:r>
              <w:rPr>
                <w:rFonts w:ascii="Arial" w:cs="Arial" w:eastAsia="Arial" w:hAnsi="Arial"/>
                <w:sz w:val="16"/>
                <w:szCs w:val="16"/>
                <w:color w:val="auto"/>
              </w:rPr>
              <w:t>303,000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SanTan Village Regional Center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Westcor SanTan Village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Scottsdale Fashion Square</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Scottsdale Fashion Square Partnership</w:t>
            </w:r>
          </w:p>
        </w:tc>
        <w:tc>
          <w:tcPr>
            <w:tcW w:w="1200" w:type="dxa"/>
            <w:vAlign w:val="bottom"/>
          </w:tcPr>
          <w:p>
            <w:pPr>
              <w:jc w:val="right"/>
              <w:spacing w:after="0"/>
              <w:rPr>
                <w:sz w:val="20"/>
                <w:szCs w:val="20"/>
                <w:color w:val="auto"/>
              </w:rPr>
            </w:pPr>
            <w:r>
              <w:rPr>
                <w:rFonts w:ascii="Arial" w:cs="Arial" w:eastAsia="Arial" w:hAnsi="Arial"/>
                <w:sz w:val="16"/>
                <w:szCs w:val="16"/>
                <w:color w:val="auto"/>
              </w:rPr>
              <w:t>1,885,000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Scottsdale Fashion Square-Office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Scottsdale Fashion Square Partnership</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South Plains Mall</w:t>
            </w:r>
          </w:p>
        </w:tc>
        <w:tc>
          <w:tcPr>
            <w:tcW w:w="1360" w:type="dxa"/>
            <w:vAlign w:val="bottom"/>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Pacific Premier Retail LLC</w:t>
            </w:r>
          </w:p>
        </w:tc>
        <w:tc>
          <w:tcPr>
            <w:tcW w:w="1200" w:type="dxa"/>
            <w:vAlign w:val="bottom"/>
          </w:tcPr>
          <w:p>
            <w:pPr>
              <w:jc w:val="right"/>
              <w:spacing w:after="0"/>
              <w:rPr>
                <w:sz w:val="20"/>
                <w:szCs w:val="20"/>
                <w:color w:val="auto"/>
              </w:rPr>
            </w:pPr>
            <w:r>
              <w:rPr>
                <w:rFonts w:ascii="Arial" w:cs="Arial" w:eastAsia="Arial" w:hAnsi="Arial"/>
                <w:sz w:val="16"/>
                <w:szCs w:val="16"/>
                <w:color w:val="auto"/>
              </w:rPr>
              <w:t>1,136,000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Twenty Ninth Street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Macerich HHF Centers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Tysons Corner Center</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Tysons Corner LLC</w:t>
            </w:r>
          </w:p>
        </w:tc>
        <w:tc>
          <w:tcPr>
            <w:tcW w:w="1200" w:type="dxa"/>
            <w:vAlign w:val="bottom"/>
          </w:tcPr>
          <w:p>
            <w:pPr>
              <w:jc w:val="right"/>
              <w:spacing w:after="0"/>
              <w:rPr>
                <w:sz w:val="20"/>
                <w:szCs w:val="20"/>
                <w:color w:val="auto"/>
              </w:rPr>
            </w:pPr>
            <w:r>
              <w:rPr>
                <w:rFonts w:ascii="Arial" w:cs="Arial" w:eastAsia="Arial" w:hAnsi="Arial"/>
                <w:sz w:val="16"/>
                <w:szCs w:val="16"/>
                <w:color w:val="auto"/>
              </w:rPr>
              <w:t>1,852,000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Tysons Corner Center-Office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Tysons Corner Property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Tysons Tower</w:t>
            </w:r>
          </w:p>
        </w:tc>
        <w:tc>
          <w:tcPr>
            <w:tcW w:w="136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Tysons Corner Property LLC</w:t>
            </w:r>
          </w:p>
        </w:tc>
        <w:tc>
          <w:tcPr>
            <w:tcW w:w="1200" w:type="dxa"/>
            <w:vAlign w:val="bottom"/>
          </w:tcPr>
          <w:p>
            <w:pPr>
              <w:jc w:val="right"/>
              <w:spacing w:after="0"/>
              <w:rPr>
                <w:sz w:val="20"/>
                <w:szCs w:val="20"/>
                <w:color w:val="auto"/>
              </w:rPr>
            </w:pPr>
            <w:r>
              <w:rPr>
                <w:rFonts w:ascii="Arial" w:cs="Arial" w:eastAsia="Arial" w:hAnsi="Arial"/>
                <w:sz w:val="16"/>
                <w:szCs w:val="16"/>
                <w:color w:val="auto"/>
              </w:rPr>
              <w:t>529,000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VITA Tysons Corner Center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Tysons Corner Property LLC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Washington Square(d)</w:t>
            </w:r>
          </w:p>
        </w:tc>
        <w:tc>
          <w:tcPr>
            <w:tcW w:w="1360" w:type="dxa"/>
            <w:vAlign w:val="bottom"/>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8"/>
                <w:szCs w:val="18"/>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Pacific Premier Retail LLC</w:t>
            </w:r>
          </w:p>
        </w:tc>
        <w:tc>
          <w:tcPr>
            <w:tcW w:w="1200" w:type="dxa"/>
            <w:vAlign w:val="bottom"/>
          </w:tcPr>
          <w:p>
            <w:pPr>
              <w:jc w:val="right"/>
              <w:spacing w:after="0"/>
              <w:rPr>
                <w:sz w:val="20"/>
                <w:szCs w:val="20"/>
                <w:color w:val="auto"/>
              </w:rPr>
            </w:pPr>
            <w:r>
              <w:rPr>
                <w:rFonts w:ascii="Arial" w:cs="Arial" w:eastAsia="Arial" w:hAnsi="Arial"/>
                <w:sz w:val="16"/>
                <w:szCs w:val="16"/>
                <w:color w:val="auto"/>
              </w:rPr>
              <w:t>1,296,000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West Acres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West Acres Development, LLP</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692,000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20" w:hanging="412"/>
        <w:spacing w:after="0" w:line="261" w:lineRule="auto"/>
        <w:tabs>
          <w:tab w:leader="none" w:pos="4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column reflects the Company’s legal ownership in the listed properties.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3" w:lineRule="exact"/>
        <w:rPr>
          <w:rFonts w:ascii="Arial" w:cs="Arial" w:eastAsia="Arial" w:hAnsi="Arial"/>
          <w:sz w:val="14"/>
          <w:szCs w:val="14"/>
          <w:color w:val="auto"/>
        </w:rPr>
      </w:pPr>
    </w:p>
    <w:p>
      <w:pPr>
        <w:ind w:left="420" w:right="300" w:hanging="412"/>
        <w:spacing w:after="0" w:line="256" w:lineRule="auto"/>
        <w:tabs>
          <w:tab w:leader="none" w:pos="4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Economic ownership represents the allocation of cash flow to the Company, except as noted below. In cases where the Company receives a current cash distribution greater than its legal ownership percentage due to a capital account greater than its legal ownership percentage, only the legal ownership percentage is shown in this column. The Company’s economic ownership of these properties may fluctuate based on a number of factors, including mortgage refinancings, partnership capital contributions and distributions, and proceeds and gains or losses from asset sales, and the matters set forth in the preceding paragraph.</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GLA attributable to anchors (whether owned or non-owned) and mall and freestanding stores.</w:t>
      </w:r>
    </w:p>
    <w:p>
      <w:pPr>
        <w:spacing w:after="0" w:line="14" w:lineRule="exact"/>
        <w:rPr>
          <w:rFonts w:ascii="Arial" w:cs="Arial" w:eastAsia="Arial" w:hAnsi="Arial"/>
          <w:sz w:val="14"/>
          <w:szCs w:val="14"/>
          <w:color w:val="auto"/>
        </w:rPr>
      </w:pPr>
    </w:p>
    <w:p>
      <w:pPr>
        <w:ind w:left="420" w:right="100" w:hanging="412"/>
        <w:spacing w:after="0" w:line="254" w:lineRule="auto"/>
        <w:tabs>
          <w:tab w:leader="none" w:pos="4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Centers have a former Sears store, each of which are owned by MS Portfolio LLC. See footnote (g) below. The GLA of the former Sears store, or tenant replacing the former Sears store, at these four Centers is included in Total GLA at the center level. The GLA for the former Sears store at these four Centers plus the GLA of the former Sears store at the wholly owned Center, Danbury Fair Mall, are also aggregated into the 458,000 square feet in the MS Portfolio LLC above.</w:t>
      </w:r>
    </w:p>
    <w:p>
      <w:pPr>
        <w:spacing w:after="0" w:line="1" w:lineRule="exact"/>
        <w:rPr>
          <w:rFonts w:ascii="Arial" w:cs="Arial" w:eastAsia="Arial" w:hAnsi="Arial"/>
          <w:sz w:val="14"/>
          <w:szCs w:val="14"/>
          <w:color w:val="auto"/>
        </w:rPr>
      </w:pPr>
    </w:p>
    <w:p>
      <w:pPr>
        <w:jc w:val="both"/>
        <w:ind w:left="420" w:right="160" w:hanging="412"/>
        <w:spacing w:after="0" w:line="248" w:lineRule="auto"/>
        <w:tabs>
          <w:tab w:leader="none" w:pos="4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joint venture entity was formed in September 2009. Upon liquidation of the partnership, distributions are made in the following order: to the third-party partner until it receives a 13% internal rate of return on and of its aggregate unreturned capital contributions; to the Company until it receives a 13% internal rate of return on and of its aggregate unreturned capital contributions; and, thereafter, pro rata 35% to the third-party partner and 65% to the Company.</w:t>
      </w:r>
    </w:p>
    <w:p>
      <w:pPr>
        <w:jc w:val="both"/>
        <w:ind w:left="420" w:right="20" w:hanging="412"/>
        <w:spacing w:after="0" w:line="235" w:lineRule="auto"/>
        <w:tabs>
          <w:tab w:leader="none" w:pos="4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December 10, 2020, the Company made a loan (the Partnership Loan) to the 50/50 joint venture that owns Fashion District Philadelphia to fund the entirety of a $100 million repayment to reduce the mortgage loan on Fashion District Philadelphia from $301 million to $201 million. On August 26, 2022, the Company further increased the Partnership Loan to fund the entirety of an $83.1 million repayment to further reduce the mortgage loan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320" w:top="314" w:right="359" w:bottom="1440" w:gutter="0" w:footer="0" w:header="0"/>
        </w:sectPr>
      </w:pPr>
    </w:p>
    <w:bookmarkStart w:id="33" w:name="page34"/>
    <w:bookmarkEnd w:id="33"/>
    <w:p>
      <w:pPr>
        <w:jc w:val="center"/>
        <w:ind w:right="-7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Joint Venture List</w:t>
      </w:r>
    </w:p>
    <w:p>
      <w:pPr>
        <w:spacing w:after="0" w:line="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As of September 30, 2022</w:t>
      </w:r>
    </w:p>
    <w:p>
      <w:pPr>
        <w:spacing w:after="0" w:line="358" w:lineRule="exact"/>
        <w:rPr>
          <w:sz w:val="20"/>
          <w:szCs w:val="20"/>
          <w:color w:val="auto"/>
        </w:rPr>
      </w:pPr>
    </w:p>
    <w:p>
      <w:pPr>
        <w:ind w:left="412"/>
        <w:spacing w:after="0"/>
        <w:rPr>
          <w:sz w:val="20"/>
          <w:szCs w:val="20"/>
          <w:color w:val="auto"/>
        </w:rPr>
      </w:pPr>
      <w:r>
        <w:rPr>
          <w:rFonts w:ascii="Arial" w:cs="Arial" w:eastAsia="Arial" w:hAnsi="Arial"/>
          <w:sz w:val="14"/>
          <w:szCs w:val="14"/>
          <w:color w:val="auto"/>
        </w:rPr>
        <w:t>Fashion District Philadelphia to $111.5 million. Pursuant to the joint venture partnership agreement, the Partnership Loan plus 15% accrued interest must first be repaid</w:t>
      </w:r>
    </w:p>
    <w:p>
      <w:pPr>
        <w:spacing w:after="0" w:line="2" w:lineRule="exact"/>
        <w:rPr>
          <w:sz w:val="20"/>
          <w:szCs w:val="20"/>
          <w:color w:val="auto"/>
        </w:rPr>
      </w:pPr>
    </w:p>
    <w:p>
      <w:pPr>
        <w:ind w:left="412"/>
        <w:spacing w:after="0" w:line="221" w:lineRule="auto"/>
        <w:rPr>
          <w:sz w:val="20"/>
          <w:szCs w:val="20"/>
          <w:color w:val="auto"/>
        </w:rPr>
      </w:pPr>
      <w:r>
        <w:rPr>
          <w:rFonts w:ascii="Arial" w:cs="Arial" w:eastAsia="Arial" w:hAnsi="Arial"/>
          <w:sz w:val="14"/>
          <w:szCs w:val="14"/>
          <w:color w:val="auto"/>
        </w:rPr>
        <w:t>prior to the resumption of 50/50 cash distributions to the Company and its joint venture partner. The principal balance of the Partnership Loan at September 30, 2022 was $206.5 million.</w:t>
      </w:r>
    </w:p>
    <w:p>
      <w:pPr>
        <w:spacing w:after="0" w:line="1" w:lineRule="exact"/>
        <w:rPr>
          <w:sz w:val="20"/>
          <w:szCs w:val="20"/>
          <w:color w:val="auto"/>
        </w:rPr>
      </w:pPr>
    </w:p>
    <w:p>
      <w:pPr>
        <w:ind w:left="412" w:right="60" w:hanging="412"/>
        <w:spacing w:after="0" w:line="254" w:lineRule="auto"/>
        <w:tabs>
          <w:tab w:leader="none" w:pos="399"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joint venture was formed on April 30, 2015 and originally owned nine former Sears stores. The Company acquired 100% of one store and the joint venture sold another store on December 31, 2020 and the Company acquired 100% of two more stores on August 2, 2022. The joint venture now owns five stores (Chandler Fashion Center, Danbury Fair Mall, Freehold Raceway Mall, Los Cerritos Center, and Washington Square).</w:t>
      </w:r>
    </w:p>
    <w:p>
      <w:pPr>
        <w:spacing w:after="0" w:line="1" w:lineRule="exact"/>
        <w:rPr>
          <w:rFonts w:ascii="Arial" w:cs="Arial" w:eastAsia="Arial" w:hAnsi="Arial"/>
          <w:sz w:val="14"/>
          <w:szCs w:val="14"/>
          <w:color w:val="auto"/>
        </w:rPr>
      </w:pPr>
    </w:p>
    <w:p>
      <w:pPr>
        <w:ind w:left="412" w:right="80" w:hanging="412"/>
        <w:spacing w:after="0" w:line="269" w:lineRule="auto"/>
        <w:tabs>
          <w:tab w:leader="none" w:pos="399"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March 29, 2021, the Company sold the former Paradise Valley Mall for $100 million to a newly formed joint venture and retained a 5% joint venture interest. Construction started in Summer 2021 on the first phase of a multi-phase, multi-year project to convert this former regional town center Paradise Valley Mall into a mixed-use development with high-end grocery, restaurants, multi-family residences, offices, retail shops and other elements on the 92-acre site. The existing Costco and JC Penney stores currently remain open, while all of the other stores at the property have closed.</w:t>
      </w:r>
    </w:p>
    <w:p>
      <w:pPr>
        <w:spacing w:after="0" w:line="353"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72"/>
          </w:cols>
          <w:pgMar w:left="328" w:top="314" w:right="39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Debt Summary (at Company's pro rata share)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96"/>
              </w:rPr>
              <w:t>As of September 30, 2022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Fixed Rate</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7"/>
              </w:rPr>
              <w:t>Floating Rate</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6"/>
              </w:rPr>
              <w:t>Dollars in thousands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notes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3,722,923</w:t>
            </w: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536,580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4,259,503</w:t>
            </w:r>
          </w:p>
        </w:tc>
        <w:tc>
          <w:tcPr>
            <w:tcW w:w="0" w:type="dxa"/>
            <w:vAlign w:val="bottom"/>
          </w:tcPr>
          <w:p>
            <w:pPr>
              <w:spacing w:after="0"/>
              <w:rPr>
                <w:sz w:val="1"/>
                <w:szCs w:val="1"/>
                <w:color w:val="auto"/>
              </w:rPr>
            </w:pPr>
          </w:p>
        </w:tc>
      </w:tr>
      <w:tr>
        <w:trPr>
          <w:trHeight w:val="24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Bank and other notes payable</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91,541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91,541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per Consolidated Balance Sheet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3,722,923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628,121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4,351,044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Noncontrolling interests or financing arrangement share of debt from consolidated joint</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(359,648)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(55,772)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(415,420)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ventures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Adjusted Consolidated Debt</w:t>
            </w:r>
          </w:p>
        </w:tc>
        <w:tc>
          <w:tcPr>
            <w:tcW w:w="2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3,363,275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572,349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3,935,624</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Company’s share of debt from unconsolidated joint ventures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2,634,902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198,468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2,833,370</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Total Company’s Pro Rata Share of Debt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5,998,177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770,817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6,768,994</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interest rate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Weighted average maturity (years)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420" w:right="40" w:hanging="412"/>
        <w:spacing w:after="0" w:line="262" w:lineRule="auto"/>
        <w:tabs>
          <w:tab w:leader="none" w:pos="4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Company’s pro rata share of debt represents (i) consolidated debt, minus the Company’s partners’ share of the amount from consolidated joint ventures (calculated based upon the partners’ percentage ownership interest); plus (ii) the Company’s share of debt from unconsolidated joint ventures (calculated based upon the Company’s percentage ownership interest). Management believes that this measure provides useful information to investors regarding the Company’s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to the Company’s total debt determined in accordance with GAAP or any other GAAP financial measures and should only be considered together with and as a supplement to the Company’s financial information prepared in accordance with GAAP.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31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Outstanding Debt by Maturity Date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As of September 30, 2022</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Effective Interest</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4740" w:type="dxa"/>
            <w:vAlign w:val="bottom"/>
            <w:gridSpan w:val="3"/>
          </w:tcPr>
          <w:p>
            <w:pPr>
              <w:ind w:left="20"/>
              <w:spacing w:after="0"/>
              <w:rPr>
                <w:sz w:val="20"/>
                <w:szCs w:val="20"/>
                <w:color w:val="auto"/>
              </w:rPr>
            </w:pPr>
            <w:r>
              <w:rPr>
                <w:rFonts w:ascii="Arial" w:cs="Arial" w:eastAsia="Arial" w:hAnsi="Arial"/>
                <w:sz w:val="13"/>
                <w:szCs w:val="13"/>
                <w:b w:val="1"/>
                <w:bCs w:val="1"/>
                <w:color w:val="auto"/>
              </w:rPr>
              <w:t>Center/Entity (dollars in thousands)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Date</w:t>
            </w: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Rate (a)</w:t>
            </w:r>
          </w:p>
        </w:tc>
        <w:tc>
          <w:tcPr>
            <w:tcW w:w="140" w:type="dxa"/>
            <w:vAlign w:val="bottom"/>
          </w:tcPr>
          <w:p>
            <w:pPr>
              <w:spacing w:after="0"/>
              <w:rPr>
                <w:sz w:val="13"/>
                <w:szCs w:val="13"/>
                <w:color w:val="auto"/>
              </w:rPr>
            </w:pPr>
          </w:p>
        </w:tc>
        <w:tc>
          <w:tcPr>
            <w:tcW w:w="1220" w:type="dxa"/>
            <w:vAlign w:val="bottom"/>
          </w:tcPr>
          <w:p>
            <w:pPr>
              <w:jc w:val="right"/>
              <w:ind w:right="440"/>
              <w:spacing w:after="0"/>
              <w:rPr>
                <w:sz w:val="20"/>
                <w:szCs w:val="20"/>
                <w:color w:val="auto"/>
              </w:rPr>
            </w:pPr>
            <w:r>
              <w:rPr>
                <w:rFonts w:ascii="Arial" w:cs="Arial" w:eastAsia="Arial" w:hAnsi="Arial"/>
                <w:sz w:val="13"/>
                <w:szCs w:val="13"/>
                <w:b w:val="1"/>
                <w:bCs w:val="1"/>
                <w:color w:val="auto"/>
              </w:rPr>
              <w:t>Fixed</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339"/>
              <w:spacing w:after="0"/>
              <w:rPr>
                <w:sz w:val="20"/>
                <w:szCs w:val="20"/>
                <w:color w:val="auto"/>
              </w:rPr>
            </w:pPr>
            <w:r>
              <w:rPr>
                <w:rFonts w:ascii="Arial" w:cs="Arial" w:eastAsia="Arial" w:hAnsi="Arial"/>
                <w:sz w:val="13"/>
                <w:szCs w:val="13"/>
                <w:b w:val="1"/>
                <w:bCs w:val="1"/>
                <w:color w:val="auto"/>
              </w:rPr>
              <w:t>Floating</w:t>
            </w:r>
          </w:p>
        </w:tc>
        <w:tc>
          <w:tcPr>
            <w:tcW w:w="8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Total Debt Balance (a)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 Consolidated Assets: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Towne Mall (b)</w:t>
            </w: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11/01/22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18,934</w:t>
            </w:r>
          </w:p>
        </w:tc>
        <w:tc>
          <w:tcPr>
            <w:tcW w:w="4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18,934</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Green Acres Mall</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02/03/23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239,639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239,639</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Danbury Fair Mall</w:t>
            </w:r>
          </w:p>
        </w:tc>
        <w:tc>
          <w:tcPr>
            <w:tcW w:w="1000" w:type="dxa"/>
            <w:vAlign w:val="bottom"/>
          </w:tcPr>
          <w:p>
            <w:pPr>
              <w:jc w:val="center"/>
              <w:spacing w:after="0"/>
              <w:rPr>
                <w:sz w:val="20"/>
                <w:szCs w:val="20"/>
                <w:color w:val="auto"/>
              </w:rPr>
            </w:pPr>
            <w:r>
              <w:rPr>
                <w:rFonts w:ascii="Arial" w:cs="Arial" w:eastAsia="Arial" w:hAnsi="Arial"/>
                <w:sz w:val="16"/>
                <w:szCs w:val="16"/>
                <w:color w:val="auto"/>
              </w:rPr>
              <w:t>07/01/23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150,522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150,522</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Fashion Outlets of Niagara Falls USA</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10/06/23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91,903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91,903</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Oaks, The</w:t>
            </w:r>
          </w:p>
        </w:tc>
        <w:tc>
          <w:tcPr>
            <w:tcW w:w="1000" w:type="dxa"/>
            <w:vAlign w:val="bottom"/>
          </w:tcPr>
          <w:p>
            <w:pPr>
              <w:jc w:val="center"/>
              <w:spacing w:after="0"/>
              <w:rPr>
                <w:sz w:val="20"/>
                <w:szCs w:val="20"/>
                <w:color w:val="auto"/>
              </w:rPr>
            </w:pPr>
            <w:r>
              <w:rPr>
                <w:rFonts w:ascii="Arial" w:cs="Arial" w:eastAsia="Arial" w:hAnsi="Arial"/>
                <w:sz w:val="16"/>
                <w:szCs w:val="16"/>
                <w:color w:val="auto"/>
              </w:rPr>
              <w:t>06/05/24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167,050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167,050</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Chandler Fashion Center (c)</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07/05/24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128,100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128,100</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Victor Valley, Mall of</w:t>
            </w:r>
          </w:p>
        </w:tc>
        <w:tc>
          <w:tcPr>
            <w:tcW w:w="1000" w:type="dxa"/>
            <w:vAlign w:val="bottom"/>
          </w:tcPr>
          <w:p>
            <w:pPr>
              <w:jc w:val="center"/>
              <w:spacing w:after="0"/>
              <w:rPr>
                <w:sz w:val="20"/>
                <w:szCs w:val="20"/>
                <w:color w:val="auto"/>
              </w:rPr>
            </w:pPr>
            <w:r>
              <w:rPr>
                <w:rFonts w:ascii="Arial" w:cs="Arial" w:eastAsia="Arial" w:hAnsi="Arial"/>
                <w:sz w:val="16"/>
                <w:szCs w:val="16"/>
                <w:color w:val="auto"/>
              </w:rPr>
              <w:t>09/01/24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114,893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114,893</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Queens Center</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01/01/25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600,000</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Vintage Faire Mall</w:t>
            </w:r>
          </w:p>
        </w:tc>
        <w:tc>
          <w:tcPr>
            <w:tcW w:w="1000" w:type="dxa"/>
            <w:vAlign w:val="bottom"/>
          </w:tcPr>
          <w:p>
            <w:pPr>
              <w:jc w:val="center"/>
              <w:spacing w:after="0"/>
              <w:rPr>
                <w:sz w:val="20"/>
                <w:szCs w:val="20"/>
                <w:color w:val="auto"/>
              </w:rPr>
            </w:pPr>
            <w:r>
              <w:rPr>
                <w:rFonts w:ascii="Arial" w:cs="Arial" w:eastAsia="Arial" w:hAnsi="Arial"/>
                <w:sz w:val="16"/>
                <w:szCs w:val="16"/>
                <w:color w:val="auto"/>
              </w:rPr>
              <w:t>03/06/26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235,287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235,287</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Fresno Fashion Fair</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11/01/26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324,205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324,205</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SanTan Village Regional Center (d)</w:t>
            </w:r>
          </w:p>
        </w:tc>
        <w:tc>
          <w:tcPr>
            <w:tcW w:w="1000" w:type="dxa"/>
            <w:vAlign w:val="bottom"/>
          </w:tcPr>
          <w:p>
            <w:pPr>
              <w:jc w:val="center"/>
              <w:spacing w:after="0"/>
              <w:rPr>
                <w:sz w:val="20"/>
                <w:szCs w:val="20"/>
                <w:color w:val="auto"/>
              </w:rPr>
            </w:pPr>
            <w:r>
              <w:rPr>
                <w:rFonts w:ascii="Arial" w:cs="Arial" w:eastAsia="Arial" w:hAnsi="Arial"/>
                <w:sz w:val="16"/>
                <w:szCs w:val="16"/>
                <w:color w:val="auto"/>
              </w:rPr>
              <w:t>07/01/29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186,351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186,351</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Freehold Raceway Mall (c)</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11/01/29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199,817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199,817</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Kings Plaza Shopping Center</w:t>
            </w:r>
          </w:p>
        </w:tc>
        <w:tc>
          <w:tcPr>
            <w:tcW w:w="1000" w:type="dxa"/>
            <w:vAlign w:val="bottom"/>
          </w:tcPr>
          <w:p>
            <w:pPr>
              <w:jc w:val="center"/>
              <w:spacing w:after="0"/>
              <w:rPr>
                <w:sz w:val="20"/>
                <w:szCs w:val="20"/>
                <w:color w:val="auto"/>
              </w:rPr>
            </w:pPr>
            <w:r>
              <w:rPr>
                <w:rFonts w:ascii="Arial" w:cs="Arial" w:eastAsia="Arial" w:hAnsi="Arial"/>
                <w:sz w:val="16"/>
                <w:szCs w:val="16"/>
                <w:color w:val="auto"/>
              </w:rPr>
              <w:t>01/01/30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536,313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536,313</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Fashion Outlets of Chicago</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02/01/31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299,334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299,334</w:t>
            </w:r>
          </w:p>
        </w:tc>
      </w:tr>
      <w:tr>
        <w:trPr>
          <w:trHeight w:val="215"/>
        </w:trPr>
        <w:tc>
          <w:tcPr>
            <w:tcW w:w="47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Pacific View</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05/06/32</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70,927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70,927</w:t>
            </w: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Fixed Rate Debt for Consolidated Assets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3,363,275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3,363,275</w:t>
            </w:r>
          </w:p>
        </w:tc>
      </w:tr>
      <w:tr>
        <w:trPr>
          <w:trHeight w:val="209"/>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Santa Monica Place (e) (f)</w:t>
            </w:r>
          </w:p>
        </w:tc>
        <w:tc>
          <w:tcPr>
            <w:tcW w:w="1000" w:type="dxa"/>
            <w:vAlign w:val="bottom"/>
          </w:tcPr>
          <w:p>
            <w:pPr>
              <w:jc w:val="center"/>
              <w:spacing w:after="0"/>
              <w:rPr>
                <w:sz w:val="20"/>
                <w:szCs w:val="20"/>
                <w:color w:val="auto"/>
              </w:rPr>
            </w:pPr>
            <w:r>
              <w:rPr>
                <w:rFonts w:ascii="Arial" w:cs="Arial" w:eastAsia="Arial" w:hAnsi="Arial"/>
                <w:sz w:val="16"/>
                <w:szCs w:val="16"/>
                <w:color w:val="auto"/>
              </w:rPr>
              <w:t>12/09/22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299,875</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299,875</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Green Acres Commons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03/29/23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125,161</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Fashion District Philadelphia (g) (h)</w:t>
            </w:r>
          </w:p>
        </w:tc>
        <w:tc>
          <w:tcPr>
            <w:tcW w:w="1000" w:type="dxa"/>
            <w:vAlign w:val="bottom"/>
          </w:tcPr>
          <w:p>
            <w:pPr>
              <w:jc w:val="center"/>
              <w:spacing w:after="0"/>
              <w:rPr>
                <w:sz w:val="20"/>
                <w:szCs w:val="20"/>
                <w:color w:val="auto"/>
              </w:rPr>
            </w:pPr>
            <w:r>
              <w:rPr>
                <w:rFonts w:ascii="Arial" w:cs="Arial" w:eastAsia="Arial" w:hAnsi="Arial"/>
                <w:sz w:val="16"/>
                <w:szCs w:val="16"/>
                <w:color w:val="auto"/>
              </w:rPr>
              <w:t>01/22/24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55,772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55,772</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The Macerich Partnership, L.P. - Line of Credit (g)</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04/14/24</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91,541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91,541</w:t>
            </w:r>
          </w:p>
        </w:tc>
      </w:tr>
      <w:tr>
        <w:trPr>
          <w:trHeight w:val="210"/>
        </w:trPr>
        <w:tc>
          <w:tcPr>
            <w:tcW w:w="47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Total Floating Rate Debt for Consolidated Assets</w:t>
            </w: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572,349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572,349</w:t>
            </w:r>
          </w:p>
        </w:tc>
      </w:tr>
      <w:tr>
        <w:trPr>
          <w:trHeight w:val="20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for Consolidated Assets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4.30 %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3,363,275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572,349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3,935,624</w:t>
            </w:r>
          </w:p>
        </w:tc>
      </w:tr>
      <w:tr>
        <w:trPr>
          <w:trHeight w:val="196"/>
        </w:trPr>
        <w:tc>
          <w:tcPr>
            <w:tcW w:w="4740" w:type="dxa"/>
            <w:vAlign w:val="bottom"/>
            <w:gridSpan w:val="3"/>
          </w:tcPr>
          <w:p>
            <w:pPr>
              <w:ind w:left="20"/>
              <w:spacing w:after="0"/>
              <w:rPr>
                <w:sz w:val="20"/>
                <w:szCs w:val="20"/>
                <w:color w:val="auto"/>
              </w:rPr>
            </w:pPr>
            <w:r>
              <w:rPr>
                <w:rFonts w:ascii="Arial" w:cs="Arial" w:eastAsia="Arial" w:hAnsi="Arial"/>
                <w:sz w:val="16"/>
                <w:szCs w:val="16"/>
                <w:b w:val="1"/>
                <w:bCs w:val="1"/>
                <w:color w:val="auto"/>
              </w:rPr>
              <w:t>II. Unconsolidated Assets (At Company’s pro rata share):</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Washington Square (60%) (i)</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11/14/22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311,909</w:t>
            </w: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311,909</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Deptford Mall (51%)</w:t>
            </w:r>
          </w:p>
        </w:tc>
        <w:tc>
          <w:tcPr>
            <w:tcW w:w="1000" w:type="dxa"/>
            <w:vAlign w:val="bottom"/>
          </w:tcPr>
          <w:p>
            <w:pPr>
              <w:jc w:val="center"/>
              <w:spacing w:after="0"/>
              <w:rPr>
                <w:sz w:val="20"/>
                <w:szCs w:val="20"/>
                <w:color w:val="auto"/>
              </w:rPr>
            </w:pPr>
            <w:r>
              <w:rPr>
                <w:rFonts w:ascii="Arial" w:cs="Arial" w:eastAsia="Arial" w:hAnsi="Arial"/>
                <w:sz w:val="16"/>
                <w:szCs w:val="16"/>
                <w:color w:val="auto"/>
              </w:rPr>
              <w:t>04/03/23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83,177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83,177</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Scottsdale Fashion Square (50%)</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04/03/23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204,868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204,868</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Tysons Corner Center (50%)</w:t>
            </w:r>
          </w:p>
        </w:tc>
        <w:tc>
          <w:tcPr>
            <w:tcW w:w="1000" w:type="dxa"/>
            <w:vAlign w:val="bottom"/>
          </w:tcPr>
          <w:p>
            <w:pPr>
              <w:jc w:val="center"/>
              <w:spacing w:after="0"/>
              <w:rPr>
                <w:sz w:val="20"/>
                <w:szCs w:val="20"/>
                <w:color w:val="auto"/>
              </w:rPr>
            </w:pPr>
            <w:r>
              <w:rPr>
                <w:rFonts w:ascii="Arial" w:cs="Arial" w:eastAsia="Arial" w:hAnsi="Arial"/>
                <w:sz w:val="16"/>
                <w:szCs w:val="16"/>
                <w:color w:val="auto"/>
              </w:rPr>
              <w:t>01/01/24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346,396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346,396</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Paradise Valley (5%) (g)</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09/29/24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2,511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2,511</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South Plains Mall (60%)</w:t>
            </w: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11/06/25</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120,000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120,000</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Twenty Ninth Street (51%)</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02/06/26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76,500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76,500</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Country Club Plaza (50%)</w:t>
            </w:r>
          </w:p>
        </w:tc>
        <w:tc>
          <w:tcPr>
            <w:tcW w:w="1000" w:type="dxa"/>
            <w:vAlign w:val="bottom"/>
          </w:tcPr>
          <w:p>
            <w:pPr>
              <w:jc w:val="center"/>
              <w:spacing w:after="0"/>
              <w:rPr>
                <w:sz w:val="20"/>
                <w:szCs w:val="20"/>
                <w:color w:val="auto"/>
              </w:rPr>
            </w:pPr>
            <w:r>
              <w:rPr>
                <w:rFonts w:ascii="Arial" w:cs="Arial" w:eastAsia="Arial" w:hAnsi="Arial"/>
                <w:sz w:val="16"/>
                <w:szCs w:val="16"/>
                <w:color w:val="auto"/>
              </w:rPr>
              <w:t>04/01/26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149,477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149,477</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Lakewood Center (60%)</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06/01/26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203,143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203,143</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Kierland Commons (50%)</w:t>
            </w:r>
          </w:p>
        </w:tc>
        <w:tc>
          <w:tcPr>
            <w:tcW w:w="1000" w:type="dxa"/>
            <w:vAlign w:val="bottom"/>
          </w:tcPr>
          <w:p>
            <w:pPr>
              <w:jc w:val="center"/>
              <w:spacing w:after="0"/>
              <w:rPr>
                <w:sz w:val="20"/>
                <w:szCs w:val="20"/>
                <w:color w:val="auto"/>
              </w:rPr>
            </w:pPr>
            <w:r>
              <w:rPr>
                <w:rFonts w:ascii="Arial" w:cs="Arial" w:eastAsia="Arial" w:hAnsi="Arial"/>
                <w:sz w:val="16"/>
                <w:szCs w:val="16"/>
                <w:color w:val="auto"/>
              </w:rPr>
              <w:t>04/01/27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100,573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100,573</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Los Cerritos Center (60%)</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11/01/27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310,393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310,393</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Arrowhead Towne Center (60%)</w:t>
            </w:r>
          </w:p>
        </w:tc>
        <w:tc>
          <w:tcPr>
            <w:tcW w:w="1000" w:type="dxa"/>
            <w:vAlign w:val="bottom"/>
          </w:tcPr>
          <w:p>
            <w:pPr>
              <w:jc w:val="center"/>
              <w:spacing w:after="0"/>
              <w:rPr>
                <w:sz w:val="20"/>
                <w:szCs w:val="20"/>
                <w:color w:val="auto"/>
              </w:rPr>
            </w:pPr>
            <w:r>
              <w:rPr>
                <w:rFonts w:ascii="Arial" w:cs="Arial" w:eastAsia="Arial" w:hAnsi="Arial"/>
                <w:sz w:val="16"/>
                <w:szCs w:val="16"/>
                <w:color w:val="auto"/>
              </w:rPr>
              <w:t>02/01/28</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237,577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237,577</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Corte Madera, The Village at (50.1%)</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09/01/28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112,317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112,317</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West Acres - Development (19%)</w:t>
            </w:r>
          </w:p>
        </w:tc>
        <w:tc>
          <w:tcPr>
            <w:tcW w:w="1000" w:type="dxa"/>
            <w:vAlign w:val="bottom"/>
          </w:tcPr>
          <w:p>
            <w:pPr>
              <w:jc w:val="center"/>
              <w:spacing w:after="0"/>
              <w:rPr>
                <w:sz w:val="20"/>
                <w:szCs w:val="20"/>
                <w:color w:val="auto"/>
              </w:rPr>
            </w:pPr>
            <w:r>
              <w:rPr>
                <w:rFonts w:ascii="Arial" w:cs="Arial" w:eastAsia="Arial" w:hAnsi="Arial"/>
                <w:sz w:val="16"/>
                <w:szCs w:val="16"/>
                <w:color w:val="auto"/>
              </w:rPr>
              <w:t>10/10/29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827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827</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Tysons Tower (50%)</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10/11/29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94,555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94,555</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Broadway Plaza (50%)</w:t>
            </w:r>
          </w:p>
        </w:tc>
        <w:tc>
          <w:tcPr>
            <w:tcW w:w="1000" w:type="dxa"/>
            <w:vAlign w:val="bottom"/>
          </w:tcPr>
          <w:p>
            <w:pPr>
              <w:jc w:val="center"/>
              <w:spacing w:after="0"/>
              <w:rPr>
                <w:sz w:val="20"/>
                <w:szCs w:val="20"/>
                <w:color w:val="auto"/>
              </w:rPr>
            </w:pPr>
            <w:r>
              <w:rPr>
                <w:rFonts w:ascii="Arial" w:cs="Arial" w:eastAsia="Arial" w:hAnsi="Arial"/>
                <w:sz w:val="16"/>
                <w:szCs w:val="16"/>
                <w:color w:val="auto"/>
              </w:rPr>
              <w:t>04/01/30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223,027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223,027</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Tysons VITA (50%)</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12/01/30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44,524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44,524</w:t>
            </w:r>
          </w:p>
        </w:tc>
      </w:tr>
      <w:tr>
        <w:trPr>
          <w:trHeight w:val="215"/>
        </w:trPr>
        <w:tc>
          <w:tcPr>
            <w:tcW w:w="47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West Acres (19%)</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03/01/32</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13,128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13,128</w:t>
            </w: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Fixed Rate Debt for Unconsolidated Assets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2,634,902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2,634,902</w:t>
            </w:r>
          </w:p>
        </w:tc>
      </w:tr>
      <w:tr>
        <w:trPr>
          <w:trHeight w:val="209"/>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Boulevard Shops (50%)</w:t>
            </w:r>
          </w:p>
        </w:tc>
        <w:tc>
          <w:tcPr>
            <w:tcW w:w="1000" w:type="dxa"/>
            <w:vAlign w:val="bottom"/>
          </w:tcPr>
          <w:p>
            <w:pPr>
              <w:jc w:val="center"/>
              <w:spacing w:after="0"/>
              <w:rPr>
                <w:sz w:val="20"/>
                <w:szCs w:val="20"/>
                <w:color w:val="auto"/>
              </w:rPr>
            </w:pPr>
            <w:r>
              <w:rPr>
                <w:rFonts w:ascii="Arial" w:cs="Arial" w:eastAsia="Arial" w:hAnsi="Arial"/>
                <w:sz w:val="16"/>
                <w:szCs w:val="16"/>
                <w:color w:val="auto"/>
              </w:rPr>
              <w:t>12/05/23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4.67 %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11,456</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11,456</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One Westside (25%) (g)</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12/18/24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67,834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67,834</w:t>
            </w: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FlatIron Crossing (51%) (f) (g)</w:t>
            </w:r>
          </w:p>
        </w:tc>
        <w:tc>
          <w:tcPr>
            <w:tcW w:w="1000" w:type="dxa"/>
            <w:vAlign w:val="bottom"/>
          </w:tcPr>
          <w:p>
            <w:pPr>
              <w:jc w:val="center"/>
              <w:spacing w:after="0"/>
              <w:rPr>
                <w:sz w:val="20"/>
                <w:szCs w:val="20"/>
                <w:color w:val="auto"/>
              </w:rPr>
            </w:pPr>
            <w:r>
              <w:rPr>
                <w:rFonts w:ascii="Arial" w:cs="Arial" w:eastAsia="Arial" w:hAnsi="Arial"/>
                <w:sz w:val="16"/>
                <w:szCs w:val="16"/>
                <w:color w:val="auto"/>
              </w:rPr>
              <w:t>02/09/25</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87,401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87,401</w:t>
            </w:r>
          </w:p>
        </w:tc>
      </w:tr>
      <w:tr>
        <w:trPr>
          <w:trHeight w:val="217"/>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Atlas Park (50%) (f) (g)</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11/09/26</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31,777</w:t>
            </w:r>
          </w:p>
        </w:tc>
        <w:tc>
          <w:tcPr>
            <w:tcW w:w="8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31,777</w:t>
            </w:r>
          </w:p>
        </w:tc>
      </w:tr>
      <w:tr>
        <w:trPr>
          <w:trHeight w:val="209"/>
        </w:trPr>
        <w:tc>
          <w:tcPr>
            <w:tcW w:w="47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Total Floating Rate Debt for Unconsolidated Assets</w:t>
            </w: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198,468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198,468</w:t>
            </w: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for Unconsolidated Assets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2,634,902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198,468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2,833,370</w:t>
            </w:r>
          </w:p>
        </w:tc>
      </w:tr>
      <w:tr>
        <w:trPr>
          <w:trHeight w:val="209"/>
        </w:trPr>
        <w:tc>
          <w:tcPr>
            <w:tcW w:w="47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Debt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4.18 %</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5,998,177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770,817</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6,768,994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Percentage to Total</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88.61 %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11.39 %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100.00 %</w:t>
            </w:r>
          </w:p>
        </w:tc>
      </w:tr>
    </w:tbl>
    <w:p>
      <w:pPr>
        <w:spacing w:after="0" w:line="200" w:lineRule="exact"/>
        <w:rPr>
          <w:sz w:val="20"/>
          <w:szCs w:val="20"/>
          <w:color w:val="auto"/>
        </w:rPr>
      </w:pPr>
    </w:p>
    <w:p>
      <w:pPr>
        <w:sectPr>
          <w:pgSz w:w="11900" w:h="16838" w:orient="portrait"/>
          <w:cols w:equalWidth="0" w:num="1">
            <w:col w:w="11200"/>
          </w:cols>
          <w:pgMar w:left="340" w:top="314" w:right="3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00"/>
          </w:cols>
          <w:pgMar w:left="340" w:top="314" w:right="35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Outstanding Debt by Maturity Date</w:t>
      </w:r>
    </w:p>
    <w:p>
      <w:pPr>
        <w:spacing w:after="0" w:line="372" w:lineRule="exact"/>
        <w:rPr>
          <w:sz w:val="20"/>
          <w:szCs w:val="20"/>
          <w:color w:val="auto"/>
        </w:rPr>
      </w:pPr>
    </w:p>
    <w:p>
      <w:pPr>
        <w:jc w:val="both"/>
        <w:ind w:left="420" w:hanging="412"/>
        <w:spacing w:after="0" w:line="269" w:lineRule="auto"/>
        <w:tabs>
          <w:tab w:leader="none" w:pos="4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debt balances include the unamortized debt premiums/discounts and loan finance costs. Debt premiums/discounts represent the excess of the fair value of debt over the principal value of debt assumed in various acquisitions. Debt premiums/discounts and loan finance costs are amortized into interest expense over the remaining term of the related debt in a manner that approximates the effective interest method. The annual interest rate in the table represents the effective interest rate, including the debt premiums/discounts and loan finance costs.</w:t>
      </w:r>
    </w:p>
    <w:p>
      <w:pPr>
        <w:spacing w:after="0" w:line="196" w:lineRule="exact"/>
        <w:rPr>
          <w:rFonts w:ascii="Arial" w:cs="Arial" w:eastAsia="Arial" w:hAnsi="Arial"/>
          <w:sz w:val="14"/>
          <w:szCs w:val="14"/>
          <w:color w:val="auto"/>
        </w:rPr>
      </w:pPr>
    </w:p>
    <w:p>
      <w:pPr>
        <w:ind w:left="440" w:hanging="432"/>
        <w:spacing w:after="0"/>
        <w:tabs>
          <w:tab w:leader="none" w:pos="4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 did not repay this loan on its maturity date, and has begun the process of transferring control of this asset to the loan servicer.</w:t>
      </w:r>
    </w:p>
    <w:p>
      <w:pPr>
        <w:spacing w:after="0" w:line="244" w:lineRule="exact"/>
        <w:rPr>
          <w:rFonts w:ascii="Arial" w:cs="Arial" w:eastAsia="Arial" w:hAnsi="Arial"/>
          <w:sz w:val="14"/>
          <w:szCs w:val="14"/>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property is owned by a consolidated joint venture. The loan amount represents the Company's pro rata share of 50.1%</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property is owned by a consolidated joint venture. The loan amount represents the Company's pro rata share of 84.9%.</w:t>
      </w:r>
    </w:p>
    <w:p>
      <w:pPr>
        <w:spacing w:after="0" w:line="244" w:lineRule="exact"/>
        <w:rPr>
          <w:rFonts w:ascii="Arial" w:cs="Arial" w:eastAsia="Arial" w:hAnsi="Arial"/>
          <w:sz w:val="14"/>
          <w:szCs w:val="14"/>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 expects to close in November on a three-year extension of Santa Monica Place at the rate of SOFR plus 1.58%.</w:t>
      </w:r>
    </w:p>
    <w:p>
      <w:pPr>
        <w:spacing w:after="0" w:line="244" w:lineRule="exact"/>
        <w:rPr>
          <w:rFonts w:ascii="Arial" w:cs="Arial" w:eastAsia="Arial" w:hAnsi="Arial"/>
          <w:sz w:val="14"/>
          <w:szCs w:val="14"/>
          <w:color w:val="auto"/>
        </w:rPr>
      </w:pPr>
    </w:p>
    <w:p>
      <w:pPr>
        <w:ind w:left="420" w:right="100" w:hanging="412"/>
        <w:spacing w:after="0" w:line="256" w:lineRule="auto"/>
        <w:tabs>
          <w:tab w:leader="none" w:pos="4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loan requires an interest rate cap agreement to be in place at all times, which limits how high the prevailing floating loan rate index (i.e. LIBOR or SOFR) for the loan can rise. As of the date of this document, LIBOR/SOFR for this loan did not exceed the strike interest rate (the "Strike Rate") within the required interest rate cap agreement. When LIBOR/SOFR does exceed the Strike Rate, this loan will then be considered fixed rate debt. If LIBOR/SOFR for this loan thereafter no longer exceeds the Strike Rate, then this loan will once again be considered floating rate debt.</w:t>
      </w:r>
    </w:p>
    <w:p>
      <w:pPr>
        <w:spacing w:after="0" w:line="204" w:lineRule="exact"/>
        <w:rPr>
          <w:rFonts w:ascii="Arial" w:cs="Arial" w:eastAsia="Arial" w:hAnsi="Arial"/>
          <w:sz w:val="14"/>
          <w:szCs w:val="14"/>
          <w:color w:val="auto"/>
        </w:rPr>
      </w:pPr>
    </w:p>
    <w:p>
      <w:pPr>
        <w:ind w:left="420" w:right="120" w:hanging="412"/>
        <w:spacing w:after="0" w:line="244" w:lineRule="auto"/>
        <w:tabs>
          <w:tab w:leader="none" w:pos="4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maturity date assumes that all available extension options are fully exercised and that the Company and/or its affiliates do not opt to refinance the debt prior to these dates.</w:t>
      </w:r>
    </w:p>
    <w:p>
      <w:pPr>
        <w:spacing w:after="0" w:line="212" w:lineRule="exact"/>
        <w:rPr>
          <w:rFonts w:ascii="Arial" w:cs="Arial" w:eastAsia="Arial" w:hAnsi="Arial"/>
          <w:sz w:val="14"/>
          <w:szCs w:val="14"/>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property is owned by a consolidated joint venture. The loan amount represents the Company's pro rata share of 50.0%.</w:t>
      </w:r>
    </w:p>
    <w:p>
      <w:pPr>
        <w:spacing w:after="0" w:line="257" w:lineRule="exact"/>
        <w:rPr>
          <w:rFonts w:ascii="Arial" w:cs="Arial" w:eastAsia="Arial" w:hAnsi="Arial"/>
          <w:sz w:val="14"/>
          <w:szCs w:val="14"/>
          <w:color w:val="auto"/>
        </w:rPr>
      </w:pPr>
    </w:p>
    <w:p>
      <w:pPr>
        <w:ind w:left="420" w:right="320" w:hanging="412"/>
        <w:spacing w:after="0" w:line="285" w:lineRule="auto"/>
        <w:tabs>
          <w:tab w:leader="none" w:pos="413"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Company's joint venture expects to close in November on a four-year extension (including options) of the loan on Washington Square at a floating interest rate of SOFR plus 4.0%.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314" w:right="339" w:bottom="1440" w:gutter="0" w:footer="0" w:header="0"/>
        </w:sectPr>
      </w:pPr>
    </w:p>
    <w:bookmarkStart w:id="37" w:name="page38"/>
    <w:bookmarkEnd w:id="37"/>
    <w:p>
      <w:pPr>
        <w:jc w:val="center"/>
        <w:ind w:right="-2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jc w:val="center"/>
        <w:ind w:right="-259"/>
        <w:spacing w:after="0"/>
        <w:rPr>
          <w:sz w:val="20"/>
          <w:szCs w:val="20"/>
          <w:color w:val="auto"/>
        </w:rPr>
      </w:pPr>
      <w:r>
        <w:rPr>
          <w:rFonts w:ascii="Arial" w:cs="Arial" w:eastAsia="Arial" w:hAnsi="Arial"/>
          <w:sz w:val="16"/>
          <w:szCs w:val="16"/>
          <w:b w:val="1"/>
          <w:bCs w:val="1"/>
          <w:color w:val="auto"/>
        </w:rPr>
        <w:t>Supplemental Financial and Operating Information (Unaudited)</w:t>
      </w:r>
    </w:p>
    <w:p>
      <w:pPr>
        <w:jc w:val="center"/>
        <w:ind w:right="-259"/>
        <w:spacing w:after="0" w:line="228" w:lineRule="auto"/>
        <w:rPr>
          <w:sz w:val="20"/>
          <w:szCs w:val="20"/>
          <w:color w:val="auto"/>
        </w:rPr>
      </w:pPr>
      <w:r>
        <w:rPr>
          <w:rFonts w:ascii="Arial" w:cs="Arial" w:eastAsia="Arial" w:hAnsi="Arial"/>
          <w:sz w:val="16"/>
          <w:szCs w:val="16"/>
          <w:b w:val="1"/>
          <w:bCs w:val="1"/>
          <w:color w:val="auto"/>
        </w:rPr>
        <w:t>Development and Redevelopment Pipeline Forecast</w:t>
      </w:r>
    </w:p>
    <w:p>
      <w:pPr>
        <w:jc w:val="center"/>
        <w:ind w:right="-259"/>
        <w:spacing w:after="0" w:line="229" w:lineRule="auto"/>
        <w:rPr>
          <w:sz w:val="20"/>
          <w:szCs w:val="20"/>
          <w:color w:val="auto"/>
        </w:rPr>
      </w:pPr>
      <w:r>
        <w:rPr>
          <w:rFonts w:ascii="Arial" w:cs="Arial" w:eastAsia="Arial" w:hAnsi="Arial"/>
          <w:sz w:val="16"/>
          <w:szCs w:val="16"/>
          <w:b w:val="1"/>
          <w:bCs w:val="1"/>
          <w:color w:val="auto"/>
        </w:rPr>
        <w:t>(Dollars in millions)</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As of September 30, 2022</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In-Process Developments and Redevelopments:</w:t>
      </w:r>
    </w:p>
    <w:p>
      <w:pPr>
        <w:sectPr>
          <w:pgSz w:w="11900" w:h="16838" w:orient="portrait"/>
          <w:cols w:equalWidth="0" w:num="1">
            <w:col w:w="10980"/>
          </w:cols>
          <w:pgMar w:left="320" w:top="30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Property</w:t>
            </w:r>
          </w:p>
        </w:tc>
        <w:tc>
          <w:tcPr>
            <w:tcW w:w="80" w:type="dxa"/>
            <w:vAlign w:val="bottom"/>
          </w:tcPr>
          <w:p>
            <w:pPr>
              <w:spacing w:after="0"/>
              <w:rPr>
                <w:sz w:val="15"/>
                <w:szCs w:val="15"/>
                <w:color w:val="auto"/>
              </w:rPr>
            </w:pPr>
          </w:p>
        </w:tc>
        <w:tc>
          <w:tcPr>
            <w:tcW w:w="292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Project Type</w:t>
            </w:r>
          </w:p>
        </w:tc>
      </w:tr>
      <w:tr>
        <w:trPr>
          <w:trHeight w:val="191"/>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Santa Monica Place</w:t>
            </w:r>
          </w:p>
        </w:tc>
        <w:tc>
          <w:tcPr>
            <w:tcW w:w="2920" w:type="dxa"/>
            <w:vAlign w:val="bottom"/>
          </w:tcPr>
          <w:p>
            <w:pPr>
              <w:ind w:left="20"/>
              <w:spacing w:after="0"/>
              <w:rPr>
                <w:sz w:val="20"/>
                <w:szCs w:val="20"/>
                <w:color w:val="auto"/>
              </w:rPr>
            </w:pPr>
            <w:r>
              <w:rPr>
                <w:rFonts w:ascii="Arial" w:cs="Arial" w:eastAsia="Arial" w:hAnsi="Arial"/>
                <w:sz w:val="14"/>
                <w:szCs w:val="14"/>
                <w:color w:val="auto"/>
              </w:rPr>
              <w:t>Redevelopment of former</w:t>
            </w:r>
          </w:p>
        </w:tc>
      </w:tr>
      <w:tr>
        <w:trPr>
          <w:trHeight w:val="162"/>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Santa Monica, CA</w:t>
            </w:r>
          </w:p>
        </w:tc>
        <w:tc>
          <w:tcPr>
            <w:tcW w:w="2920" w:type="dxa"/>
            <w:vAlign w:val="bottom"/>
          </w:tcPr>
          <w:p>
            <w:pPr>
              <w:ind w:left="20"/>
              <w:spacing w:after="0"/>
              <w:rPr>
                <w:sz w:val="20"/>
                <w:szCs w:val="20"/>
                <w:color w:val="auto"/>
              </w:rPr>
            </w:pPr>
            <w:r>
              <w:rPr>
                <w:rFonts w:ascii="Arial" w:cs="Arial" w:eastAsia="Arial" w:hAnsi="Arial"/>
                <w:sz w:val="14"/>
                <w:szCs w:val="14"/>
                <w:color w:val="auto"/>
              </w:rPr>
              <w:t>Bloomingdale's/Arclight spaces with</w:t>
            </w:r>
          </w:p>
        </w:tc>
      </w:tr>
      <w:tr>
        <w:trPr>
          <w:trHeight w:val="175"/>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entertainment use, high-end fitness and co-</w:t>
            </w:r>
          </w:p>
        </w:tc>
      </w:tr>
      <w:tr>
        <w:trPr>
          <w:trHeight w:val="190"/>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working space</w:t>
            </w:r>
          </w:p>
        </w:tc>
      </w:tr>
      <w:tr>
        <w:trPr>
          <w:trHeight w:val="170"/>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Scottsdale Fashion</w:t>
            </w:r>
          </w:p>
        </w:tc>
        <w:tc>
          <w:tcPr>
            <w:tcW w:w="2920" w:type="dxa"/>
            <w:vAlign w:val="bottom"/>
          </w:tcPr>
          <w:p>
            <w:pPr>
              <w:ind w:left="20"/>
              <w:spacing w:after="0"/>
              <w:rPr>
                <w:sz w:val="20"/>
                <w:szCs w:val="20"/>
                <w:color w:val="auto"/>
              </w:rPr>
            </w:pPr>
            <w:r>
              <w:rPr>
                <w:rFonts w:ascii="Arial" w:cs="Arial" w:eastAsia="Arial" w:hAnsi="Arial"/>
                <w:sz w:val="14"/>
                <w:szCs w:val="14"/>
                <w:color w:val="auto"/>
              </w:rPr>
              <w:t>Redevelopment of two-level Nordstrom wing</w:t>
            </w:r>
          </w:p>
        </w:tc>
      </w:tr>
      <w:tr>
        <w:trPr>
          <w:trHeight w:val="139"/>
        </w:trPr>
        <w:tc>
          <w:tcPr>
            <w:tcW w:w="160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Square</w:t>
            </w:r>
          </w:p>
        </w:tc>
        <w:tc>
          <w:tcPr>
            <w:tcW w:w="2920" w:type="dxa"/>
            <w:vAlign w:val="bottom"/>
          </w:tcPr>
          <w:p>
            <w:pPr>
              <w:ind w:left="20"/>
              <w:spacing w:after="0" w:line="139" w:lineRule="exact"/>
              <w:rPr>
                <w:sz w:val="20"/>
                <w:szCs w:val="20"/>
                <w:color w:val="auto"/>
              </w:rPr>
            </w:pPr>
            <w:r>
              <w:rPr>
                <w:rFonts w:ascii="Arial" w:cs="Arial" w:eastAsia="Arial" w:hAnsi="Arial"/>
                <w:sz w:val="14"/>
                <w:szCs w:val="14"/>
                <w:color w:val="auto"/>
              </w:rPr>
              <w:t>with luxury-focused retail and restaurant</w:t>
            </w:r>
          </w:p>
        </w:tc>
      </w:tr>
      <w:tr>
        <w:trPr>
          <w:trHeight w:val="190"/>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Scottsdale, AZ</w:t>
            </w:r>
          </w:p>
        </w:tc>
        <w:tc>
          <w:tcPr>
            <w:tcW w:w="2920" w:type="dxa"/>
            <w:vAlign w:val="bottom"/>
          </w:tcPr>
          <w:p>
            <w:pPr>
              <w:ind w:left="20"/>
              <w:spacing w:after="0"/>
              <w:rPr>
                <w:sz w:val="20"/>
                <w:szCs w:val="20"/>
                <w:color w:val="auto"/>
              </w:rPr>
            </w:pPr>
            <w:r>
              <w:rPr>
                <w:rFonts w:ascii="Arial" w:cs="Arial" w:eastAsia="Arial" w:hAnsi="Arial"/>
                <w:sz w:val="14"/>
                <w:szCs w:val="14"/>
                <w:color w:val="auto"/>
              </w:rPr>
              <w:t>uses</w:t>
            </w:r>
          </w:p>
        </w:tc>
      </w:tr>
      <w:tr>
        <w:trPr>
          <w:trHeight w:val="203"/>
        </w:trPr>
        <w:tc>
          <w:tcPr>
            <w:tcW w:w="1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9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Pro Rata</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8"/>
        </w:trPr>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Total Cost (a)(b)</w:t>
            </w:r>
          </w:p>
        </w:tc>
        <w:tc>
          <w:tcPr>
            <w:tcW w:w="8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Ownership</w:t>
            </w:r>
          </w:p>
        </w:tc>
        <w:tc>
          <w:tcPr>
            <w:tcW w:w="11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5"/>
              </w:rPr>
              <w:t>Pro Rata Total</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Capitalized Costs</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Expected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w w:val="96"/>
              </w:rPr>
              <w:t>Stabilized Yield</w:t>
            </w:r>
          </w:p>
        </w:tc>
      </w:tr>
      <w:tr>
        <w:trPr>
          <w:trHeight w:val="185"/>
        </w:trPr>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at 100%</w:t>
            </w:r>
          </w:p>
        </w:tc>
        <w:tc>
          <w:tcPr>
            <w:tcW w:w="920" w:type="dxa"/>
            <w:vAlign w:val="bottom"/>
            <w:gridSpan w:val="2"/>
          </w:tcPr>
          <w:p>
            <w:pPr>
              <w:jc w:val="center"/>
              <w:ind w:left="1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5"/>
              </w:rPr>
              <w:t>Cost (a)(b)</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Incurred-to-Date(b)</w:t>
            </w: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Opening (a)</w:t>
            </w:r>
          </w:p>
        </w:tc>
        <w:tc>
          <w:tcPr>
            <w:tcW w:w="960" w:type="dxa"/>
            <w:vAlign w:val="bottom"/>
          </w:tcPr>
          <w:p>
            <w:pPr>
              <w:jc w:val="right"/>
              <w:ind w:right="173"/>
              <w:spacing w:after="0"/>
              <w:rPr>
                <w:sz w:val="20"/>
                <w:szCs w:val="20"/>
                <w:color w:val="auto"/>
              </w:rPr>
            </w:pPr>
            <w:r>
              <w:rPr>
                <w:rFonts w:ascii="Arial" w:cs="Arial" w:eastAsia="Arial" w:hAnsi="Arial"/>
                <w:sz w:val="13"/>
                <w:szCs w:val="13"/>
                <w:b w:val="1"/>
                <w:bCs w:val="1"/>
                <w:color w:val="auto"/>
              </w:rPr>
              <w:t>(a)(b)(c)</w:t>
            </w: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8"/>
        </w:trPr>
        <w:tc>
          <w:tcPr>
            <w:tcW w:w="400" w:type="dxa"/>
            <w:vAlign w:val="bottom"/>
          </w:tcPr>
          <w:p>
            <w:pPr>
              <w:jc w:val="center"/>
              <w:spacing w:after="0"/>
              <w:rPr>
                <w:sz w:val="20"/>
                <w:szCs w:val="20"/>
                <w:color w:val="auto"/>
              </w:rPr>
            </w:pPr>
            <w:r>
              <w:rPr>
                <w:rFonts w:ascii="Arial" w:cs="Arial" w:eastAsia="Arial" w:hAnsi="Arial"/>
                <w:sz w:val="14"/>
                <w:szCs w:val="14"/>
                <w:color w:val="auto"/>
              </w:rPr>
              <w:t>$35</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920" w:type="dxa"/>
            <w:vAlign w:val="bottom"/>
            <w:gridSpan w:val="2"/>
          </w:tcPr>
          <w:p>
            <w:pPr>
              <w:jc w:val="center"/>
              <w:ind w:left="11"/>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$35</w:t>
            </w:r>
          </w:p>
        </w:tc>
        <w:tc>
          <w:tcPr>
            <w:tcW w:w="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jc w:val="center"/>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22% - 24%</w:t>
            </w:r>
          </w:p>
        </w:tc>
      </w:tr>
      <w:tr>
        <w:trPr>
          <w:trHeight w:val="743"/>
        </w:trPr>
        <w:tc>
          <w:tcPr>
            <w:tcW w:w="400" w:type="dxa"/>
            <w:vAlign w:val="bottom"/>
          </w:tcPr>
          <w:p>
            <w:pPr>
              <w:jc w:val="center"/>
              <w:spacing w:after="0"/>
              <w:rPr>
                <w:sz w:val="20"/>
                <w:szCs w:val="20"/>
                <w:color w:val="auto"/>
              </w:rPr>
            </w:pPr>
            <w:r>
              <w:rPr>
                <w:rFonts w:ascii="Arial" w:cs="Arial" w:eastAsia="Arial" w:hAnsi="Arial"/>
                <w:sz w:val="14"/>
                <w:szCs w:val="14"/>
                <w:color w:val="auto"/>
              </w:rPr>
              <w:t>80</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92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50%</w:t>
            </w:r>
          </w:p>
        </w:tc>
        <w:tc>
          <w:tcPr>
            <w:tcW w:w="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40</w:t>
            </w:r>
          </w:p>
        </w:tc>
        <w:tc>
          <w:tcPr>
            <w:tcW w:w="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Pr>
          <w:p>
            <w:pPr>
              <w:jc w:val="center"/>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24"/>
                <w:szCs w:val="24"/>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13% - 15%</w:t>
            </w:r>
          </w:p>
        </w:tc>
      </w:tr>
      <w:tr>
        <w:trPr>
          <w:trHeight w:val="292"/>
        </w:trPr>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2"/>
        </w:trPr>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$115</w:t>
            </w: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Arial" w:cs="Arial" w:eastAsia="Arial" w:hAnsi="Arial"/>
                <w:sz w:val="14"/>
                <w:szCs w:val="14"/>
                <w:color w:val="auto"/>
              </w:rPr>
              <w:t>$130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-959485</wp:posOffset>
            </wp:positionV>
            <wp:extent cx="6883400"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83400" cy="48006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-170815</wp:posOffset>
            </wp:positionV>
            <wp:extent cx="688340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8340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80"/>
            <w:col w:w="6380"/>
          </w:cols>
          <w:pgMar w:left="320" w:top="301" w:right="599" w:bottom="1440" w:gutter="0" w:footer="0" w:header="0"/>
          <w:type w:val="continuous"/>
        </w:sectPr>
      </w:pPr>
    </w:p>
    <w:p>
      <w:pPr>
        <w:spacing w:after="0" w:line="115" w:lineRule="exact"/>
        <w:rPr>
          <w:sz w:val="20"/>
          <w:szCs w:val="20"/>
          <w:color w:val="auto"/>
        </w:rPr>
      </w:pPr>
    </w:p>
    <w:p>
      <w:pPr>
        <w:ind w:left="420" w:hanging="412"/>
        <w:spacing w:after="0" w:line="305" w:lineRule="auto"/>
        <w:tabs>
          <w:tab w:leader="none" w:pos="407" w:val="left"/>
        </w:tabs>
        <w:numPr>
          <w:ilvl w:val="0"/>
          <w:numId w:val="45"/>
        </w:numPr>
        <w:rPr>
          <w:rFonts w:ascii="Arial" w:cs="Arial" w:eastAsia="Arial" w:hAnsi="Arial"/>
          <w:sz w:val="14"/>
          <w:szCs w:val="14"/>
          <w:color w:val="auto"/>
        </w:rPr>
      </w:pPr>
      <w:r>
        <w:rPr>
          <w:rFonts w:ascii="Arial" w:cs="Arial" w:eastAsia="Arial" w:hAnsi="Arial"/>
          <w:sz w:val="14"/>
          <w:szCs w:val="14"/>
          <w:color w:val="auto"/>
        </w:rPr>
        <w:t>Much of this information is estimated and may change from time to time. See the Company's forward-looking disclosure in the Executive Summary for factors that may affect the information provided in this table.</w:t>
      </w:r>
    </w:p>
    <w:p>
      <w:pPr>
        <w:spacing w:after="0" w:line="184" w:lineRule="exact"/>
        <w:rPr>
          <w:rFonts w:ascii="Arial" w:cs="Arial" w:eastAsia="Arial" w:hAnsi="Arial"/>
          <w:sz w:val="14"/>
          <w:szCs w:val="14"/>
          <w:color w:val="auto"/>
        </w:rPr>
      </w:pPr>
    </w:p>
    <w:p>
      <w:pPr>
        <w:ind w:left="400" w:hanging="392"/>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excludes GAAP allocations of non cash and indirect costs.</w:t>
      </w:r>
    </w:p>
    <w:p>
      <w:pPr>
        <w:spacing w:after="0" w:line="257" w:lineRule="exact"/>
        <w:rPr>
          <w:rFonts w:ascii="Arial" w:cs="Arial" w:eastAsia="Arial" w:hAnsi="Arial"/>
          <w:sz w:val="14"/>
          <w:szCs w:val="14"/>
          <w:color w:val="auto"/>
        </w:rPr>
      </w:pPr>
    </w:p>
    <w:p>
      <w:pPr>
        <w:ind w:left="400" w:hanging="392"/>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Stabilized Yield is calculated based on stabilized income after development divided by project direct costs excluding GAAP allocations of non cash and indirect costs.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980"/>
          </w:cols>
          <w:pgMar w:left="320" w:top="301" w:right="599" w:bottom="1440" w:gutter="0" w:footer="0" w:header="0"/>
          <w:type w:val="continuous"/>
        </w:sectPr>
      </w:pPr>
    </w:p>
    <w:bookmarkStart w:id="38" w:name="page39"/>
    <w:bookmarkEnd w:id="38"/>
    <w:p>
      <w:pPr>
        <w:ind w:left="47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The Macerich Company</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Corporate Information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Exchange Listing</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Stock Exchange</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Symbol: MAC</w:t>
      </w:r>
    </w:p>
    <w:p>
      <w:pPr>
        <w:spacing w:after="0" w:line="248" w:lineRule="exact"/>
        <w:rPr>
          <w:sz w:val="20"/>
          <w:szCs w:val="20"/>
          <w:color w:val="auto"/>
        </w:rPr>
      </w:pPr>
    </w:p>
    <w:p>
      <w:pPr>
        <w:ind w:left="20" w:right="160" w:firstLine="396"/>
        <w:spacing w:after="0" w:line="304" w:lineRule="auto"/>
        <w:rPr>
          <w:sz w:val="20"/>
          <w:szCs w:val="20"/>
          <w:color w:val="auto"/>
        </w:rPr>
      </w:pPr>
      <w:r>
        <w:rPr>
          <w:rFonts w:ascii="Arial" w:cs="Arial" w:eastAsia="Arial" w:hAnsi="Arial"/>
          <w:sz w:val="16"/>
          <w:szCs w:val="16"/>
          <w:color w:val="auto"/>
        </w:rPr>
        <w:t>The following table shows high and low sales prices per share of common stock during each quarter in 2022, 2021 and 2020 and dividends per share of common stock declared and paid by quarter:</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380"/>
              <w:spacing w:after="0"/>
              <w:rPr>
                <w:sz w:val="20"/>
                <w:szCs w:val="20"/>
                <w:color w:val="auto"/>
              </w:rPr>
            </w:pPr>
            <w:r>
              <w:rPr>
                <w:rFonts w:ascii="Arial" w:cs="Arial" w:eastAsia="Arial" w:hAnsi="Arial"/>
                <w:sz w:val="13"/>
                <w:szCs w:val="13"/>
                <w:b w:val="1"/>
                <w:bCs w:val="1"/>
                <w:color w:val="auto"/>
              </w:rPr>
              <w:t>Market Quotation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per Share</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Dividends</w:t>
            </w:r>
          </w:p>
        </w:tc>
        <w:tc>
          <w:tcPr>
            <w:tcW w:w="34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3"/>
              <w:spacing w:after="0"/>
              <w:rPr>
                <w:sz w:val="20"/>
                <w:szCs w:val="20"/>
                <w:color w:val="auto"/>
              </w:rPr>
            </w:pPr>
            <w:r>
              <w:rPr>
                <w:rFonts w:ascii="Arial" w:cs="Arial" w:eastAsia="Arial" w:hAnsi="Arial"/>
                <w:sz w:val="13"/>
                <w:szCs w:val="13"/>
                <w:b w:val="1"/>
                <w:bCs w:val="1"/>
                <w:color w:val="auto"/>
              </w:rPr>
              <w:t>Declared</w:t>
            </w:r>
          </w:p>
        </w:tc>
        <w:tc>
          <w:tcPr>
            <w:tcW w:w="3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540" w:type="dxa"/>
            <w:vAlign w:val="bottom"/>
            <w:gridSpan w:val="2"/>
          </w:tcPr>
          <w:p>
            <w:pPr>
              <w:spacing w:after="0"/>
              <w:rPr>
                <w:sz w:val="20"/>
                <w:szCs w:val="20"/>
                <w:color w:val="auto"/>
              </w:rPr>
            </w:pPr>
            <w:r>
              <w:rPr>
                <w:rFonts w:ascii="Arial" w:cs="Arial" w:eastAsia="Arial" w:hAnsi="Arial"/>
                <w:sz w:val="13"/>
                <w:szCs w:val="13"/>
                <w:b w:val="1"/>
                <w:bCs w:val="1"/>
                <w:color w:val="auto"/>
              </w:rPr>
              <w:t>Quarter Ended:</w:t>
            </w:r>
          </w:p>
        </w:tc>
        <w:tc>
          <w:tcPr>
            <w:tcW w:w="28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13"/>
                <w:szCs w:val="13"/>
                <w:color w:val="auto"/>
              </w:rPr>
            </w:pPr>
          </w:p>
        </w:tc>
        <w:tc>
          <w:tcPr>
            <w:tcW w:w="800" w:type="dxa"/>
            <w:vAlign w:val="bottom"/>
          </w:tcPr>
          <w:p>
            <w:pPr>
              <w:jc w:val="right"/>
              <w:ind w:right="23"/>
              <w:spacing w:after="0"/>
              <w:rPr>
                <w:sz w:val="20"/>
                <w:szCs w:val="20"/>
                <w:color w:val="auto"/>
              </w:rPr>
            </w:pPr>
            <w:r>
              <w:rPr>
                <w:rFonts w:ascii="Arial" w:cs="Arial" w:eastAsia="Arial" w:hAnsi="Arial"/>
                <w:sz w:val="13"/>
                <w:szCs w:val="13"/>
                <w:b w:val="1"/>
                <w:bCs w:val="1"/>
                <w:color w:val="auto"/>
              </w:rPr>
              <w:t>and Paid</w:t>
            </w:r>
          </w:p>
        </w:tc>
        <w:tc>
          <w:tcPr>
            <w:tcW w:w="340" w:type="dxa"/>
            <w:vAlign w:val="bottom"/>
          </w:tcPr>
          <w:p>
            <w:pPr>
              <w:spacing w:after="0"/>
              <w:rPr>
                <w:sz w:val="13"/>
                <w:szCs w:val="13"/>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31, 2020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3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6"/>
                <w:szCs w:val="16"/>
                <w:color w:val="auto"/>
              </w:rPr>
              <w:t>June 30, 2020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13.18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4.81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0.50</w:t>
            </w:r>
          </w:p>
        </w:tc>
        <w:tc>
          <w:tcPr>
            <w:tcW w:w="340" w:type="dxa"/>
            <w:vAlign w:val="bottom"/>
          </w:tcPr>
          <w:p>
            <w:pPr>
              <w:ind w:left="40"/>
              <w:spacing w:after="0"/>
              <w:rPr>
                <w:sz w:val="20"/>
                <w:szCs w:val="20"/>
                <w:color w:val="auto"/>
              </w:rPr>
            </w:pPr>
            <w:r>
              <w:rPr>
                <w:rFonts w:ascii="Arial" w:cs="Arial" w:eastAsia="Arial" w:hAnsi="Arial"/>
                <w:sz w:val="13"/>
                <w:szCs w:val="13"/>
                <w:color w:val="auto"/>
              </w:rPr>
              <w:t>(a)</w:t>
            </w:r>
          </w:p>
        </w:tc>
      </w:tr>
      <w:tr>
        <w:trPr>
          <w:trHeight w:val="217"/>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30, 2020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12.47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3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31,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6"/>
                <w:szCs w:val="16"/>
                <w:color w:val="auto"/>
              </w:rPr>
              <w:t>June 30, 2021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18.88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11.67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3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30,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6"/>
                <w:szCs w:val="16"/>
                <w:color w:val="auto"/>
              </w:rPr>
              <w:t>December 31, 2021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15.49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3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31, 2022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6"/>
                <w:szCs w:val="16"/>
                <w:color w:val="auto"/>
              </w:rPr>
              <w:t>June 30, 2022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15.77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3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30, 2022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34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 The dividend of $0.50 per share of the Company’s common stock declared on March 16, 2020, consisted of a combination of 80% shares of common stock and 20% in cash.</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Dividend Reinvestment Plan</w:t>
      </w:r>
    </w:p>
    <w:p>
      <w:pPr>
        <w:spacing w:after="0" w:line="2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Stockholders may automatically reinvest their dividends in additional common stock of the Company through the Direct Investment Program, which also provides for purchase by voluntary cash contributions. For additional information, please contact Computershare Trust Company, N.A. at 877-373-6374.</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6"/>
                <w:szCs w:val="16"/>
                <w:b w:val="1"/>
                <w:bCs w:val="1"/>
                <w:color w:val="auto"/>
              </w:rPr>
              <w:t>Corporate Headquarters</w:t>
            </w:r>
          </w:p>
        </w:tc>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Transfer Agent</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The Macerich Company</w:t>
            </w:r>
          </w:p>
        </w:tc>
        <w:tc>
          <w:tcPr>
            <w:tcW w:w="2460" w:type="dxa"/>
            <w:vAlign w:val="bottom"/>
            <w:gridSpan w:val="2"/>
          </w:tcPr>
          <w:p>
            <w:pPr>
              <w:spacing w:after="0"/>
              <w:rPr>
                <w:sz w:val="20"/>
                <w:szCs w:val="20"/>
                <w:color w:val="auto"/>
              </w:rPr>
            </w:pPr>
            <w:r>
              <w:rPr>
                <w:rFonts w:ascii="Arial" w:cs="Arial" w:eastAsia="Arial" w:hAnsi="Arial"/>
                <w:sz w:val="16"/>
                <w:szCs w:val="16"/>
                <w:color w:val="auto"/>
              </w:rPr>
              <w:t>Computershare</w:t>
            </w:r>
          </w:p>
        </w:tc>
      </w:tr>
      <w:tr>
        <w:trPr>
          <w:trHeight w:val="216"/>
        </w:trPr>
        <w:tc>
          <w:tcPr>
            <w:tcW w:w="4080" w:type="dxa"/>
            <w:vAlign w:val="bottom"/>
          </w:tcPr>
          <w:p>
            <w:pPr>
              <w:spacing w:after="0"/>
              <w:rPr>
                <w:sz w:val="20"/>
                <w:szCs w:val="20"/>
                <w:color w:val="auto"/>
              </w:rPr>
            </w:pPr>
            <w:r>
              <w:rPr>
                <w:rFonts w:ascii="Arial" w:cs="Arial" w:eastAsia="Arial" w:hAnsi="Arial"/>
                <w:sz w:val="16"/>
                <w:szCs w:val="16"/>
                <w:color w:val="auto"/>
              </w:rPr>
              <w:t>401 Wilshire Boulevard, Suite 700</w:t>
            </w:r>
          </w:p>
        </w:tc>
        <w:tc>
          <w:tcPr>
            <w:tcW w:w="2460" w:type="dxa"/>
            <w:vAlign w:val="bottom"/>
            <w:gridSpan w:val="2"/>
          </w:tcPr>
          <w:p>
            <w:pPr>
              <w:spacing w:after="0"/>
              <w:rPr>
                <w:sz w:val="20"/>
                <w:szCs w:val="20"/>
                <w:color w:val="auto"/>
              </w:rPr>
            </w:pPr>
            <w:r>
              <w:rPr>
                <w:rFonts w:ascii="Arial" w:cs="Arial" w:eastAsia="Arial" w:hAnsi="Arial"/>
                <w:sz w:val="16"/>
                <w:szCs w:val="16"/>
                <w:color w:val="auto"/>
              </w:rPr>
              <w:t>P.O. Box 43078</w:t>
            </w:r>
          </w:p>
        </w:tc>
      </w:tr>
      <w:tr>
        <w:trPr>
          <w:trHeight w:val="216"/>
        </w:trPr>
        <w:tc>
          <w:tcPr>
            <w:tcW w:w="4080" w:type="dxa"/>
            <w:vAlign w:val="bottom"/>
          </w:tcPr>
          <w:p>
            <w:pPr>
              <w:spacing w:after="0"/>
              <w:rPr>
                <w:sz w:val="20"/>
                <w:szCs w:val="20"/>
                <w:color w:val="auto"/>
              </w:rPr>
            </w:pPr>
            <w:r>
              <w:rPr>
                <w:rFonts w:ascii="Arial" w:cs="Arial" w:eastAsia="Arial" w:hAnsi="Arial"/>
                <w:sz w:val="16"/>
                <w:szCs w:val="16"/>
                <w:color w:val="auto"/>
              </w:rPr>
              <w:t>Santa Monica, California 90401</w:t>
            </w:r>
          </w:p>
        </w:tc>
        <w:tc>
          <w:tcPr>
            <w:tcW w:w="2460" w:type="dxa"/>
            <w:vAlign w:val="bottom"/>
            <w:gridSpan w:val="2"/>
          </w:tcPr>
          <w:p>
            <w:pPr>
              <w:spacing w:after="0"/>
              <w:rPr>
                <w:sz w:val="20"/>
                <w:szCs w:val="20"/>
                <w:color w:val="auto"/>
              </w:rPr>
            </w:pPr>
            <w:r>
              <w:rPr>
                <w:rFonts w:ascii="Arial" w:cs="Arial" w:eastAsia="Arial" w:hAnsi="Arial"/>
                <w:sz w:val="16"/>
                <w:szCs w:val="16"/>
                <w:color w:val="auto"/>
              </w:rPr>
              <w:t>Providence, RI 02940-3078</w:t>
            </w:r>
          </w:p>
        </w:tc>
      </w:tr>
      <w:tr>
        <w:trPr>
          <w:trHeight w:val="216"/>
        </w:trPr>
        <w:tc>
          <w:tcPr>
            <w:tcW w:w="4080" w:type="dxa"/>
            <w:vAlign w:val="bottom"/>
          </w:tcPr>
          <w:p>
            <w:pPr>
              <w:spacing w:after="0"/>
              <w:rPr>
                <w:sz w:val="20"/>
                <w:szCs w:val="20"/>
                <w:color w:val="auto"/>
              </w:rPr>
            </w:pPr>
            <w:r>
              <w:rPr>
                <w:rFonts w:ascii="Arial" w:cs="Arial" w:eastAsia="Arial" w:hAnsi="Arial"/>
                <w:sz w:val="16"/>
                <w:szCs w:val="16"/>
                <w:color w:val="auto"/>
              </w:rPr>
              <w:t>310-394-6000</w:t>
            </w:r>
          </w:p>
        </w:tc>
        <w:tc>
          <w:tcPr>
            <w:tcW w:w="1820" w:type="dxa"/>
            <w:vAlign w:val="bottom"/>
          </w:tcPr>
          <w:p>
            <w:pPr>
              <w:spacing w:after="0"/>
              <w:rPr>
                <w:sz w:val="20"/>
                <w:szCs w:val="20"/>
                <w:color w:val="auto"/>
              </w:rPr>
            </w:pPr>
            <w:r>
              <w:rPr>
                <w:rFonts w:ascii="Arial" w:cs="Arial" w:eastAsia="Arial" w:hAnsi="Arial"/>
                <w:sz w:val="16"/>
                <w:szCs w:val="16"/>
                <w:color w:val="auto"/>
              </w:rPr>
              <w:t>877-373-6374</w:t>
            </w:r>
          </w:p>
        </w:tc>
        <w:tc>
          <w:tcPr>
            <w:tcW w:w="6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6"/>
                <w:szCs w:val="16"/>
                <w:color w:val="auto"/>
              </w:rPr>
              <w:t>www.macerich.com</w:t>
            </w:r>
          </w:p>
        </w:tc>
        <w:tc>
          <w:tcPr>
            <w:tcW w:w="2460" w:type="dxa"/>
            <w:vAlign w:val="bottom"/>
            <w:gridSpan w:val="2"/>
          </w:tcPr>
          <w:p>
            <w:pPr>
              <w:spacing w:after="0"/>
              <w:rPr>
                <w:sz w:val="20"/>
                <w:szCs w:val="20"/>
                <w:color w:val="auto"/>
              </w:rPr>
            </w:pPr>
            <w:r>
              <w:rPr>
                <w:rFonts w:ascii="Arial" w:cs="Arial" w:eastAsia="Arial" w:hAnsi="Arial"/>
                <w:sz w:val="16"/>
                <w:szCs w:val="16"/>
                <w:color w:val="auto"/>
              </w:rPr>
              <w:t>1-781-575-2879 International calls</w:t>
            </w:r>
          </w:p>
        </w:tc>
      </w:tr>
      <w:tr>
        <w:trPr>
          <w:trHeight w:val="178"/>
        </w:trPr>
        <w:tc>
          <w:tcPr>
            <w:tcW w:w="4080" w:type="dxa"/>
            <w:vAlign w:val="bottom"/>
          </w:tcPr>
          <w:p>
            <w:pPr>
              <w:spacing w:after="0"/>
              <w:rPr>
                <w:sz w:val="15"/>
                <w:szCs w:val="15"/>
                <w:color w:val="auto"/>
              </w:rPr>
            </w:pPr>
          </w:p>
        </w:tc>
        <w:tc>
          <w:tcPr>
            <w:tcW w:w="2460" w:type="dxa"/>
            <w:vAlign w:val="bottom"/>
            <w:gridSpan w:val="2"/>
          </w:tcPr>
          <w:p>
            <w:pPr>
              <w:spacing w:after="0" w:line="178" w:lineRule="exact"/>
              <w:rPr>
                <w:sz w:val="20"/>
                <w:szCs w:val="20"/>
                <w:color w:val="auto"/>
              </w:rPr>
            </w:pPr>
            <w:r>
              <w:rPr>
                <w:rFonts w:ascii="Arial" w:cs="Arial" w:eastAsia="Arial" w:hAnsi="Arial"/>
                <w:sz w:val="16"/>
                <w:szCs w:val="16"/>
                <w:color w:val="auto"/>
              </w:rPr>
              <w:t>www.computershare.com</w:t>
            </w:r>
          </w:p>
        </w:tc>
      </w:tr>
      <w:tr>
        <w:trPr>
          <w:trHeight w:val="553"/>
        </w:trPr>
        <w:tc>
          <w:tcPr>
            <w:tcW w:w="4080" w:type="dxa"/>
            <w:vAlign w:val="bottom"/>
          </w:tcPr>
          <w:p>
            <w:pPr>
              <w:spacing w:after="0"/>
              <w:rPr>
                <w:sz w:val="20"/>
                <w:szCs w:val="20"/>
                <w:color w:val="auto"/>
              </w:rPr>
            </w:pPr>
            <w:r>
              <w:rPr>
                <w:rFonts w:ascii="Arial" w:cs="Arial" w:eastAsia="Arial" w:hAnsi="Arial"/>
                <w:sz w:val="16"/>
                <w:szCs w:val="16"/>
                <w:b w:val="1"/>
                <w:bCs w:val="1"/>
                <w:color w:val="auto"/>
              </w:rPr>
              <w:t>Macerich Website</w:t>
            </w:r>
          </w:p>
        </w:tc>
        <w:tc>
          <w:tcPr>
            <w:tcW w:w="1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bl>
    <w:p>
      <w:pPr>
        <w:spacing w:after="0" w:line="2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an electronic version of our annual report, our SEC filings and documents relating to Corporate Governance, please visit macerich.com.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Samantha Greening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424-229-3333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samantha.greening@macerich.com</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sectPr>
      <w:pgSz w:w="11900" w:h="16838" w:orient="portrait"/>
      <w:cols w:equalWidth="0" w:num="1">
        <w:col w:w="11240"/>
      </w:cols>
      <w:pgMar w:left="32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4"/>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2"/>
      <w:numFmt w:val="bullet"/>
      <w:start w:val="1"/>
    </w:lvl>
  </w:abstractNum>
  <w:abstractNum w:abstractNumId="19">
    <w:nsid w:val="22221A70"/>
    <w:multiLevelType w:val="hybridMultilevel"/>
    <w:lvl w:ilvl="0">
      <w:lvlJc w:val="left"/>
      <w:lvlText w:val="3"/>
      <w:numFmt w:val="bullet"/>
      <w:start w:val="1"/>
    </w:lvl>
  </w:abstractNum>
  <w:abstractNum w:abstractNumId="20">
    <w:nsid w:val="4516DDE9"/>
    <w:multiLevelType w:val="hybridMultilevel"/>
    <w:lvl w:ilvl="0">
      <w:lvlJc w:val="left"/>
      <w:lvlText w:val="4"/>
      <w:numFmt w:val="bullet"/>
      <w:start w:val="1"/>
    </w:lvl>
  </w:abstractNum>
  <w:abstractNum w:abstractNumId="21">
    <w:nsid w:val="3006C83E"/>
    <w:multiLevelType w:val="hybridMultilevel"/>
    <w:lvl w:ilvl="0">
      <w:lvlJc w:val="left"/>
      <w:lvlText w:val="5"/>
      <w:numFmt w:val="bullet"/>
      <w:start w:val="1"/>
    </w:lvl>
  </w:abstractNum>
  <w:abstractNum w:abstractNumId="22">
    <w:nsid w:val="614FD4A1"/>
    <w:multiLevelType w:val="hybridMultilevel"/>
    <w:lvl w:ilvl="0">
      <w:lvlJc w:val="left"/>
      <w:lvlText w:val="6"/>
      <w:numFmt w:val="bullet"/>
      <w:start w:val="1"/>
    </w:lvl>
  </w:abstractNum>
  <w:abstractNum w:abstractNumId="23">
    <w:nsid w:val="419AC241"/>
    <w:multiLevelType w:val="hybridMultilevel"/>
    <w:lvl w:ilvl="0">
      <w:lvlJc w:val="left"/>
      <w:lvlText w:val="7"/>
      <w:numFmt w:val="bullet"/>
      <w:start w:val="1"/>
    </w:lvl>
  </w:abstractNum>
  <w:abstractNum w:abstractNumId="24">
    <w:nsid w:val="5577F8E1"/>
    <w:multiLevelType w:val="hybridMultilevel"/>
    <w:lvl w:ilvl="0">
      <w:lvlJc w:val="left"/>
      <w:lvlText w:val="8"/>
      <w:numFmt w:val="bullet"/>
      <w:start w:val="1"/>
    </w:lvl>
  </w:abstractNum>
  <w:abstractNum w:abstractNumId="25">
    <w:nsid w:val="440BADFC"/>
    <w:multiLevelType w:val="hybridMultilevel"/>
    <w:lvl w:ilvl="0">
      <w:lvlJc w:val="left"/>
      <w:lvlText w:val="9"/>
      <w:numFmt w:val="bullet"/>
      <w:start w:val="1"/>
    </w:lvl>
  </w:abstractNum>
  <w:abstractNum w:abstractNumId="26">
    <w:nsid w:val="5072367"/>
    <w:multiLevelType w:val="hybridMultilevel"/>
    <w:lvl w:ilvl="0">
      <w:lvlJc w:val="left"/>
      <w:lvlText w:val="%1"/>
      <w:numFmt w:val="decimal"/>
      <w:start w:val="10"/>
    </w:lvl>
  </w:abstractNum>
  <w:abstractNum w:abstractNumId="27">
    <w:nsid w:val="3804823E"/>
    <w:multiLevelType w:val="hybridMultilevel"/>
    <w:lvl w:ilvl="0">
      <w:lvlJc w:val="left"/>
      <w:lvlText w:val="%1"/>
      <w:numFmt w:val="decimal"/>
      <w:start w:val="12"/>
    </w:lvl>
  </w:abstractNum>
  <w:abstractNum w:abstractNumId="28">
    <w:nsid w:val="77465F01"/>
    <w:multiLevelType w:val="hybridMultilevel"/>
    <w:lvl w:ilvl="0">
      <w:lvlJc w:val="left"/>
      <w:lvlText w:val="%1"/>
      <w:numFmt w:val="decimal"/>
      <w:start w:val="14"/>
    </w:lvl>
  </w:abstractNum>
  <w:abstractNum w:abstractNumId="29">
    <w:nsid w:val="7724C67E"/>
    <w:multiLevelType w:val="hybridMultilevel"/>
    <w:lvl w:ilvl="0">
      <w:lvlJc w:val="left"/>
      <w:lvlText w:val="%1"/>
      <w:numFmt w:val="decimal"/>
      <w:start w:val="16"/>
    </w:lvl>
  </w:abstractNum>
  <w:abstractNum w:abstractNumId="30">
    <w:nsid w:val="5C482A97"/>
    <w:multiLevelType w:val="hybridMultilevel"/>
    <w:lvl w:ilvl="0">
      <w:lvlJc w:val="left"/>
      <w:lvlText w:val="%1"/>
      <w:numFmt w:val="decimal"/>
      <w:start w:val="21"/>
    </w:lvl>
  </w:abstractNum>
  <w:abstractNum w:abstractNumId="31">
    <w:nsid w:val="2463B9EA"/>
    <w:multiLevelType w:val="hybridMultilevel"/>
    <w:lvl w:ilvl="0">
      <w:lvlJc w:val="left"/>
      <w:lvlText w:val="%1"/>
      <w:numFmt w:val="decimal"/>
      <w:start w:val="29"/>
    </w:lvl>
  </w:abstractNum>
  <w:abstractNum w:abstractNumId="32">
    <w:nsid w:val="5E884ADC"/>
    <w:multiLevelType w:val="hybridMultilevel"/>
    <w:lvl w:ilvl="0">
      <w:lvlJc w:val="left"/>
      <w:lvlText w:val="%1"/>
      <w:numFmt w:val="decimal"/>
      <w:start w:val="32"/>
    </w:lvl>
  </w:abstractNum>
  <w:abstractNum w:abstractNumId="33">
    <w:nsid w:val="51EAD36B"/>
    <w:multiLevelType w:val="hybridMultilevel"/>
    <w:lvl w:ilvl="0">
      <w:lvlJc w:val="left"/>
      <w:lvlText w:val="%1"/>
      <w:numFmt w:val="decimal"/>
      <w:start w:val="34"/>
    </w:lvl>
  </w:abstractNum>
  <w:abstractNum w:abstractNumId="34">
    <w:nsid w:val="2D517796"/>
    <w:multiLevelType w:val="hybridMultilevel"/>
    <w:lvl w:ilvl="0">
      <w:lvlJc w:val="left"/>
      <w:lvlText w:val="1"/>
      <w:numFmt w:val="bullet"/>
      <w:start w:val="1"/>
    </w:lvl>
  </w:abstractNum>
  <w:abstractNum w:abstractNumId="35">
    <w:nsid w:val="580BD78F"/>
    <w:multiLevelType w:val="hybridMultilevel"/>
    <w:lvl w:ilvl="0">
      <w:lvlJc w:val="left"/>
      <w:lvlText w:val="2"/>
      <w:numFmt w:val="bullet"/>
      <w:start w:val="1"/>
    </w:lvl>
  </w:abstractNum>
  <w:abstractNum w:abstractNumId="36">
    <w:nsid w:val="153EA438"/>
    <w:multiLevelType w:val="hybridMultilevel"/>
    <w:lvl w:ilvl="0">
      <w:lvlJc w:val="left"/>
      <w:lvlText w:val="3"/>
      <w:numFmt w:val="bullet"/>
      <w:start w:val="1"/>
    </w:lvl>
  </w:abstractNum>
  <w:abstractNum w:abstractNumId="37">
    <w:nsid w:val="3855585C"/>
    <w:multiLevelType w:val="hybridMultilevel"/>
    <w:lvl w:ilvl="0">
      <w:lvlJc w:val="left"/>
      <w:lvlText w:val="4"/>
      <w:numFmt w:val="bullet"/>
      <w:start w:val="1"/>
    </w:lvl>
  </w:abstractNum>
  <w:abstractNum w:abstractNumId="38">
    <w:nsid w:val="70A64E2A"/>
    <w:multiLevelType w:val="hybridMultilevel"/>
    <w:lvl w:ilvl="0">
      <w:lvlJc w:val="left"/>
      <w:lvlText w:val="5"/>
      <w:numFmt w:val="bullet"/>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7"/>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2022-11-03T06:08:38Z</dcterms:created>
  <dcterms:modified xsi:type="dcterms:W3CDTF">2022-11-03T06:08:38Z</dcterms:modified>
</cp:coreProperties>
</file>