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92"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7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1-12504</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THE MACERICH COMPANY</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351" w:right="259" w:bottom="1440" w:gutter="0" w:footer="0" w:header="0"/>
        </w:sectPr>
      </w:pPr>
    </w:p>
    <w:p>
      <w:pPr>
        <w:spacing w:after="0" w:line="286" w:lineRule="exact"/>
        <w:rPr>
          <w:sz w:val="24"/>
          <w:szCs w:val="24"/>
          <w:color w:val="auto"/>
        </w:rPr>
      </w:pPr>
    </w:p>
    <w:p>
      <w:pPr>
        <w:ind w:left="2280"/>
        <w:spacing w:after="0"/>
        <w:rPr>
          <w:sz w:val="20"/>
          <w:szCs w:val="20"/>
          <w:color w:val="auto"/>
        </w:rPr>
      </w:pPr>
      <w:r>
        <w:rPr>
          <w:rFonts w:ascii="Arial" w:cs="Arial" w:eastAsia="Arial" w:hAnsi="Arial"/>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95-4448705</w:t>
      </w:r>
    </w:p>
    <w:p>
      <w:pPr>
        <w:spacing w:after="0" w:line="89" w:lineRule="exact"/>
        <w:rPr>
          <w:sz w:val="24"/>
          <w:szCs w:val="24"/>
          <w:color w:val="auto"/>
        </w:rPr>
      </w:pPr>
    </w:p>
    <w:p>
      <w:pPr>
        <w:sectPr>
          <w:pgSz w:w="11900" w:h="16838" w:orient="portrait"/>
          <w:cols w:equalWidth="0" w:num="2">
            <w:col w:w="7420" w:space="720"/>
            <w:col w:w="3260"/>
          </w:cols>
          <w:pgMar w:left="240" w:top="351" w:right="259" w:bottom="1440" w:gutter="0" w:footer="0" w:header="0"/>
          <w:type w:val="continuous"/>
        </w:sect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35"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298" w:lineRule="exact"/>
        <w:rPr>
          <w:sz w:val="24"/>
          <w:szCs w:val="24"/>
          <w:color w:val="auto"/>
        </w:rPr>
      </w:pPr>
    </w:p>
    <w:p>
      <w:pPr>
        <w:sectPr>
          <w:pgSz w:w="11900" w:h="16838" w:orient="portrait"/>
          <w:cols w:equalWidth="0" w:num="2">
            <w:col w:w="6380" w:space="720"/>
            <w:col w:w="4300"/>
          </w:cols>
          <w:pgMar w:left="240" w:top="351" w:right="25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401 Wilshire Boulevard, Suite 700, Santa Monica, California 90401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 including zip code)</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(310) 394-6000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57" w:lineRule="exact"/>
        <w:rPr>
          <w:sz w:val="24"/>
          <w:szCs w:val="24"/>
          <w:color w:val="auto"/>
        </w:rPr>
      </w:pPr>
    </w:p>
    <w:p>
      <w:pPr>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w:t>
      </w:r>
    </w:p>
    <w:p>
      <w:pPr>
        <w:spacing w:after="0" w:line="235" w:lineRule="exact"/>
        <w:rPr>
          <w:sz w:val="24"/>
          <w:szCs w:val="24"/>
          <w:color w:val="auto"/>
        </w:rPr>
      </w:pPr>
    </w:p>
    <w:p>
      <w:pPr>
        <w:jc w:val="center"/>
        <w:ind w:right="-19"/>
        <w:spacing w:after="0"/>
        <w:tabs>
          <w:tab w:leader="none" w:pos="3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79" w:lineRule="exact"/>
        <w:rPr>
          <w:sz w:val="24"/>
          <w:szCs w:val="24"/>
          <w:color w:val="auto"/>
        </w:rPr>
      </w:pPr>
    </w:p>
    <w:p>
      <w:pPr>
        <w:ind w:right="80" w:firstLine="432"/>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twelve (12) months (or for such shorter period that the registrant was required to submit such files).</w:t>
      </w:r>
    </w:p>
    <w:p>
      <w:pPr>
        <w:spacing w:after="0" w:line="201" w:lineRule="exact"/>
        <w:rPr>
          <w:sz w:val="24"/>
          <w:szCs w:val="24"/>
          <w:color w:val="auto"/>
        </w:rPr>
      </w:pPr>
    </w:p>
    <w:p>
      <w:pPr>
        <w:jc w:val="center"/>
        <w:ind w:right="-19"/>
        <w:spacing w:after="0"/>
        <w:tabs>
          <w:tab w:leader="none" w:pos="3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79" w:lineRule="exact"/>
        <w:rPr>
          <w:sz w:val="24"/>
          <w:szCs w:val="24"/>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27" w:lineRule="exact"/>
        <w:rPr>
          <w:sz w:val="24"/>
          <w:szCs w:val="24"/>
          <w:color w:val="auto"/>
        </w:rPr>
      </w:pPr>
    </w:p>
    <w:p>
      <w:pPr>
        <w:ind w:left="500"/>
        <w:spacing w:after="0"/>
        <w:tabs>
          <w:tab w:leader="none" w:pos="3500" w:val="left"/>
          <w:tab w:leader="none" w:pos="6080" w:val="left"/>
          <w:tab w:leader="none" w:pos="922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79" w:lineRule="exact"/>
        <w:rPr>
          <w:sz w:val="24"/>
          <w:szCs w:val="24"/>
          <w:color w:val="auto"/>
        </w:rPr>
      </w:pPr>
    </w:p>
    <w:p>
      <w:pPr>
        <w:ind w:left="9300"/>
        <w:spacing w:after="0"/>
        <w:rPr>
          <w:sz w:val="20"/>
          <w:szCs w:val="20"/>
          <w:color w:val="auto"/>
        </w:rPr>
      </w:pPr>
      <w:r>
        <w:rPr>
          <w:rFonts w:ascii="Arial" w:cs="Arial" w:eastAsia="Arial" w:hAnsi="Arial"/>
          <w:sz w:val="16"/>
          <w:szCs w:val="16"/>
          <w:color w:val="auto"/>
        </w:rPr>
        <w:t>Emerging growth company o</w:t>
      </w:r>
    </w:p>
    <w:p>
      <w:pPr>
        <w:spacing w:after="0" w:line="19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8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9" w:lineRule="exact"/>
        <w:rPr>
          <w:sz w:val="24"/>
          <w:szCs w:val="24"/>
          <w:color w:val="auto"/>
        </w:rPr>
      </w:pPr>
    </w:p>
    <w:p>
      <w:pPr>
        <w:jc w:val="center"/>
        <w:ind w:right="-19"/>
        <w:spacing w:after="0"/>
        <w:tabs>
          <w:tab w:leader="none" w:pos="3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NO x</w:t>
      </w:r>
    </w:p>
    <w:p>
      <w:pPr>
        <w:spacing w:after="0" w:line="27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Number of shares outstanding as of November 2, 2018 of the registrant's common stock, par value $0.01 per share: 141,050,902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60" w:type="dxa"/>
            <w:vAlign w:val="bottom"/>
            <w:gridSpan w:val="9"/>
          </w:tcPr>
          <w:p>
            <w:pPr>
              <w:jc w:val="center"/>
              <w:ind w:right="2880"/>
              <w:spacing w:after="0"/>
              <w:rPr>
                <w:sz w:val="20"/>
                <w:szCs w:val="20"/>
                <w:color w:val="auto"/>
              </w:rPr>
            </w:pPr>
            <w:r>
              <w:rPr>
                <w:rFonts w:ascii="Arial" w:cs="Arial" w:eastAsia="Arial" w:hAnsi="Arial"/>
                <w:sz w:val="18"/>
                <w:szCs w:val="18"/>
                <w:b w:val="1"/>
                <w:bCs w:val="1"/>
                <w:color w:val="auto"/>
              </w:rPr>
              <w:t>THE MACERICH COMPANY</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740" w:type="dxa"/>
            <w:vAlign w:val="bottom"/>
            <w:gridSpan w:val="8"/>
          </w:tcPr>
          <w:p>
            <w:pPr>
              <w:jc w:val="center"/>
              <w:ind w:right="3600"/>
              <w:spacing w:after="0"/>
              <w:rPr>
                <w:sz w:val="20"/>
                <w:szCs w:val="20"/>
                <w:color w:val="auto"/>
              </w:rPr>
            </w:pPr>
            <w:r>
              <w:rPr>
                <w:rFonts w:ascii="Arial" w:cs="Arial" w:eastAsia="Arial" w:hAnsi="Arial"/>
                <w:sz w:val="18"/>
                <w:szCs w:val="18"/>
                <w:b w:val="1"/>
                <w:bCs w:val="1"/>
                <w:color w:val="auto"/>
                <w:w w:val="99"/>
              </w:rPr>
              <w:t>FORM 10-Q</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740" w:type="dxa"/>
            <w:vAlign w:val="bottom"/>
            <w:gridSpan w:val="8"/>
          </w:tcPr>
          <w:p>
            <w:pPr>
              <w:jc w:val="center"/>
              <w:ind w:right="3600"/>
              <w:spacing w:after="0"/>
              <w:rPr>
                <w:sz w:val="20"/>
                <w:szCs w:val="20"/>
                <w:color w:val="auto"/>
              </w:rPr>
            </w:pPr>
            <w:r>
              <w:rPr>
                <w:rFonts w:ascii="Arial" w:cs="Arial" w:eastAsia="Arial" w:hAnsi="Arial"/>
                <w:sz w:val="18"/>
                <w:szCs w:val="18"/>
                <w:b w:val="1"/>
                <w:bCs w:val="1"/>
                <w:color w:val="auto"/>
              </w:rPr>
              <w:t>INDEX</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3"/>
        </w:trPr>
        <w:tc>
          <w:tcPr>
            <w:tcW w:w="860" w:type="dxa"/>
            <w:vAlign w:val="bottom"/>
            <w:gridSpan w:val="4"/>
          </w:tcPr>
          <w:p>
            <w:pPr>
              <w:spacing w:after="0"/>
              <w:rPr>
                <w:sz w:val="20"/>
                <w:szCs w:val="20"/>
                <w:color w:val="auto"/>
              </w:rPr>
            </w:pPr>
            <w:r>
              <w:rPr>
                <w:rFonts w:ascii="Arial" w:cs="Arial" w:eastAsia="Arial" w:hAnsi="Arial"/>
                <w:sz w:val="18"/>
                <w:szCs w:val="18"/>
                <w:b w:val="1"/>
                <w:bCs w:val="1"/>
                <w:color w:val="auto"/>
              </w:rPr>
              <w:t>Part I</w:t>
            </w:r>
          </w:p>
        </w:tc>
        <w:tc>
          <w:tcPr>
            <w:tcW w:w="7880" w:type="dxa"/>
            <w:vAlign w:val="bottom"/>
            <w:gridSpan w:val="17"/>
          </w:tcPr>
          <w:p>
            <w:pPr>
              <w:spacing w:after="0"/>
              <w:rPr>
                <w:sz w:val="20"/>
                <w:szCs w:val="20"/>
                <w:color w:val="auto"/>
              </w:rPr>
            </w:pPr>
            <w:r>
              <w:rPr>
                <w:rFonts w:ascii="Arial" w:cs="Arial" w:eastAsia="Arial" w:hAnsi="Arial"/>
                <w:sz w:val="18"/>
                <w:szCs w:val="18"/>
                <w:b w:val="1"/>
                <w:bCs w:val="1"/>
                <w:color w:val="auto"/>
              </w:rPr>
              <w:t>Financial Information</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86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788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42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September 30, 2018 and December 31, 2017</w:t>
              </w:r>
            </w:hyperlink>
          </w:p>
        </w:tc>
        <w:tc>
          <w:tcPr>
            <w:tcW w:w="2140" w:type="dxa"/>
            <w:vAlign w:val="bottom"/>
            <w:gridSpan w:val="6"/>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17"/>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Consolidated Statements of Operations for the three and nine months ended September 30, 2018 and 2017</w:t>
              </w:r>
            </w:hyperlink>
          </w:p>
        </w:tc>
        <w:tc>
          <w:tcPr>
            <w:tcW w:w="4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for the three and nine months ended September 30,</w:t>
              </w:r>
            </w:hyperlink>
          </w:p>
        </w:tc>
        <w:tc>
          <w:tcPr>
            <w:tcW w:w="1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2018 and 2017</w:t>
              </w:r>
            </w:hyperlink>
          </w:p>
        </w:tc>
        <w:tc>
          <w:tcPr>
            <w:tcW w:w="6800" w:type="dxa"/>
            <w:vAlign w:val="bottom"/>
            <w:gridSpan w:val="14"/>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Equity for the nine months ended September 30, 2018</w:t>
              </w:r>
            </w:hyperlink>
          </w:p>
        </w:tc>
        <w:tc>
          <w:tcPr>
            <w:tcW w:w="42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for the nine months ended September 30, 2018 and 2017</w:t>
              </w:r>
            </w:hyperlink>
          </w:p>
        </w:tc>
        <w:tc>
          <w:tcPr>
            <w:tcW w:w="880" w:type="dxa"/>
            <w:vAlign w:val="bottom"/>
            <w:gridSpan w:val="3"/>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r>
      <w:tr>
        <w:trPr>
          <w:trHeight w:val="37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17"/>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w:t>
              </w:r>
            </w:hyperlink>
          </w:p>
        </w:tc>
        <w:tc>
          <w:tcPr>
            <w:tcW w:w="42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2.</w:t>
              </w:r>
            </w:hyperlink>
          </w:p>
        </w:tc>
        <w:tc>
          <w:tcPr>
            <w:tcW w:w="7880" w:type="dxa"/>
            <w:vAlign w:val="bottom"/>
            <w:gridSpan w:val="17"/>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42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3.</w:t>
              </w:r>
            </w:hyperlink>
          </w:p>
        </w:tc>
        <w:tc>
          <w:tcPr>
            <w:tcW w:w="7880" w:type="dxa"/>
            <w:vAlign w:val="bottom"/>
            <w:gridSpan w:val="1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Quantitative and Qualitative Disclosures About Market Risk</w:t>
              </w:r>
            </w:hyperlink>
          </w:p>
        </w:tc>
        <w:tc>
          <w:tcPr>
            <w:tcW w:w="42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4.</w:t>
              </w:r>
            </w:hyperlink>
          </w:p>
        </w:tc>
        <w:tc>
          <w:tcPr>
            <w:tcW w:w="7880" w:type="dxa"/>
            <w:vAlign w:val="bottom"/>
            <w:gridSpan w:val="17"/>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Controls and Procedures</w:t>
              </w:r>
            </w:hyperlink>
          </w:p>
        </w:tc>
        <w:tc>
          <w:tcPr>
            <w:tcW w:w="42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12"/>
        </w:trPr>
        <w:tc>
          <w:tcPr>
            <w:tcW w:w="86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7880" w:type="dxa"/>
            <w:vAlign w:val="bottom"/>
            <w:gridSpan w:val="17"/>
          </w:tcPr>
          <w:p>
            <w:pPr>
              <w:spacing w:after="0"/>
              <w:rPr>
                <w:sz w:val="20"/>
                <w:szCs w:val="20"/>
                <w:color w:val="auto"/>
              </w:rPr>
            </w:pPr>
            <w:r>
              <w:rPr>
                <w:rFonts w:ascii="Arial" w:cs="Arial" w:eastAsia="Arial" w:hAnsi="Arial"/>
                <w:sz w:val="18"/>
                <w:szCs w:val="18"/>
                <w:b w:val="1"/>
                <w:bCs w:val="1"/>
                <w:color w:val="auto"/>
              </w:rPr>
              <w:t>Other Information</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640" w:type="dxa"/>
            <w:vAlign w:val="bottom"/>
            <w:tcBorders>
              <w:bottom w:val="single" w:sz="8" w:color="0000FF"/>
            </w:tcBorders>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1.</w:t>
              </w:r>
            </w:hyperlink>
          </w:p>
        </w:tc>
        <w:tc>
          <w:tcPr>
            <w:tcW w:w="220" w:type="dxa"/>
            <w:vAlign w:val="bottom"/>
            <w:gridSpan w:val="2"/>
          </w:tcPr>
          <w:p>
            <w:pPr>
              <w:spacing w:after="0"/>
              <w:rPr>
                <w:sz w:val="24"/>
                <w:szCs w:val="24"/>
                <w:color w:val="auto"/>
              </w:rPr>
            </w:pP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Legal Proceedings</w:t>
              </w:r>
            </w:hyperlink>
          </w:p>
        </w:tc>
        <w:tc>
          <w:tcPr>
            <w:tcW w:w="6540" w:type="dxa"/>
            <w:vAlign w:val="bottom"/>
            <w:gridSpan w:val="12"/>
          </w:tcPr>
          <w:p>
            <w:pPr>
              <w:spacing w:after="0"/>
              <w:rPr>
                <w:sz w:val="24"/>
                <w:szCs w:val="24"/>
                <w:color w:val="auto"/>
              </w:rPr>
            </w:pPr>
          </w:p>
        </w:tc>
        <w:tc>
          <w:tcPr>
            <w:tcW w:w="42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372"/>
        </w:trPr>
        <w:tc>
          <w:tcPr>
            <w:tcW w:w="640" w:type="dxa"/>
            <w:vAlign w:val="bottom"/>
            <w:gridSpan w:val="2"/>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Item 1A.</w:t>
              </w:r>
            </w:hyperlink>
          </w:p>
        </w:tc>
        <w:tc>
          <w:tcPr>
            <w:tcW w:w="220" w:type="dxa"/>
            <w:vAlign w:val="bottom"/>
            <w:gridSpan w:val="2"/>
          </w:tcPr>
          <w:p>
            <w:pPr>
              <w:spacing w:after="0"/>
              <w:rPr>
                <w:sz w:val="24"/>
                <w:szCs w:val="24"/>
                <w:color w:val="auto"/>
              </w:rPr>
            </w:pPr>
          </w:p>
        </w:tc>
        <w:tc>
          <w:tcPr>
            <w:tcW w:w="7880" w:type="dxa"/>
            <w:vAlign w:val="bottom"/>
            <w:gridSpan w:val="1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Risk Factors</w:t>
              </w:r>
            </w:hyperlink>
          </w:p>
        </w:tc>
        <w:tc>
          <w:tcPr>
            <w:tcW w:w="42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64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2.</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1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42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372"/>
        </w:trPr>
        <w:tc>
          <w:tcPr>
            <w:tcW w:w="740" w:type="dxa"/>
            <w:vAlign w:val="bottom"/>
            <w:tcBorders>
              <w:top w:val="single" w:sz="8" w:color="0000FF"/>
            </w:tcBorders>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3.</w:t>
              </w:r>
            </w:hyperlink>
          </w:p>
        </w:tc>
        <w:tc>
          <w:tcPr>
            <w:tcW w:w="120" w:type="dxa"/>
            <w:vAlign w:val="bottom"/>
          </w:tcPr>
          <w:p>
            <w:pPr>
              <w:spacing w:after="0"/>
              <w:rPr>
                <w:sz w:val="24"/>
                <w:szCs w:val="24"/>
                <w:color w:val="auto"/>
              </w:rPr>
            </w:pPr>
          </w:p>
        </w:tc>
        <w:tc>
          <w:tcPr>
            <w:tcW w:w="4360" w:type="dxa"/>
            <w:vAlign w:val="bottom"/>
            <w:tcBorders>
              <w:top w:val="single" w:sz="8" w:color="0000FF"/>
            </w:tcBorders>
            <w:gridSpan w:val="1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Defaults Upon Senior Securities</w:t>
              </w:r>
            </w:hyperlink>
          </w:p>
        </w:tc>
        <w:tc>
          <w:tcPr>
            <w:tcW w:w="3520" w:type="dxa"/>
            <w:vAlign w:val="bottom"/>
            <w:gridSpan w:val="7"/>
          </w:tcPr>
          <w:p>
            <w:pPr>
              <w:spacing w:after="0"/>
              <w:rPr>
                <w:sz w:val="24"/>
                <w:szCs w:val="24"/>
                <w:color w:val="auto"/>
              </w:rPr>
            </w:pPr>
          </w:p>
        </w:tc>
        <w:tc>
          <w:tcPr>
            <w:tcW w:w="42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372"/>
        </w:trPr>
        <w:tc>
          <w:tcPr>
            <w:tcW w:w="740" w:type="dxa"/>
            <w:vAlign w:val="bottom"/>
            <w:tcBorders>
              <w:top w:val="single" w:sz="8" w:color="0000FF"/>
            </w:tcBorders>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4.</w:t>
              </w:r>
            </w:hyperlink>
          </w:p>
        </w:tc>
        <w:tc>
          <w:tcPr>
            <w:tcW w:w="120" w:type="dxa"/>
            <w:vAlign w:val="bottom"/>
          </w:tcPr>
          <w:p>
            <w:pPr>
              <w:spacing w:after="0"/>
              <w:rPr>
                <w:sz w:val="24"/>
                <w:szCs w:val="24"/>
                <w:color w:val="auto"/>
              </w:rPr>
            </w:pPr>
          </w:p>
        </w:tc>
        <w:tc>
          <w:tcPr>
            <w:tcW w:w="2320" w:type="dxa"/>
            <w:vAlign w:val="bottom"/>
            <w:tcBorders>
              <w:top w:val="single" w:sz="8" w:color="0000FF"/>
            </w:tcBorders>
            <w:gridSpan w:val="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Mine Safety Disclosures</w:t>
              </w:r>
            </w:hyperlink>
          </w:p>
        </w:tc>
        <w:tc>
          <w:tcPr>
            <w:tcW w:w="5560" w:type="dxa"/>
            <w:vAlign w:val="bottom"/>
            <w:gridSpan w:val="10"/>
          </w:tcPr>
          <w:p>
            <w:pPr>
              <w:spacing w:after="0"/>
              <w:rPr>
                <w:sz w:val="24"/>
                <w:szCs w:val="24"/>
                <w:color w:val="auto"/>
              </w:rPr>
            </w:pPr>
          </w:p>
        </w:tc>
        <w:tc>
          <w:tcPr>
            <w:tcW w:w="42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120" w:type="dxa"/>
            <w:vAlign w:val="bottom"/>
            <w:gridSpan w:val="1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5.</w:t>
              </w:r>
            </w:hyperlink>
          </w:p>
        </w:tc>
        <w:tc>
          <w:tcPr>
            <w:tcW w:w="7880" w:type="dxa"/>
            <w:vAlign w:val="bottom"/>
            <w:gridSpan w:val="1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Other Information</w:t>
              </w:r>
            </w:hyperlink>
          </w:p>
        </w:tc>
        <w:tc>
          <w:tcPr>
            <w:tcW w:w="42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560" w:type="dxa"/>
            <w:vAlign w:val="bottom"/>
            <w:gridSpan w:val="1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6.</w:t>
              </w:r>
            </w:hyperlink>
          </w:p>
        </w:tc>
        <w:tc>
          <w:tcPr>
            <w:tcW w:w="7880" w:type="dxa"/>
            <w:vAlign w:val="bottom"/>
            <w:gridSpan w:val="17"/>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42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860" w:type="dxa"/>
            <w:vAlign w:val="bottom"/>
            <w:gridSpan w:val="4"/>
          </w:tcPr>
          <w:p>
            <w:pPr>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3"/>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507"/>
        </w:trPr>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10"/>
          </w:tcPr>
          <w:p>
            <w:pPr>
              <w:jc w:val="center"/>
              <w:ind w:left="2970"/>
              <w:spacing w:after="0"/>
              <w:rPr>
                <w:sz w:val="20"/>
                <w:szCs w:val="20"/>
                <w:color w:val="auto"/>
              </w:rPr>
            </w:pPr>
            <w:r>
              <w:rPr>
                <w:rFonts w:ascii="Arial" w:cs="Arial" w:eastAsia="Arial" w:hAnsi="Arial"/>
                <w:sz w:val="18"/>
                <w:szCs w:val="18"/>
                <w:color w:val="auto"/>
                <w:w w:val="99"/>
              </w:rPr>
              <w:t>2</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9160"/>
          </w:cols>
          <w:pgMar w:left="1380" w:top="364" w:right="13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1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6,821,038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7,109,230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91,038</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50,621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52,067</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Tenant and other receivables, net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112,653</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Deferred charges and other assets, net</w:t>
            </w: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387,449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449,190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from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82,162</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1,465,174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1,709,522</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9,010,730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9,605,862</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Arial" w:cs="Arial" w:eastAsia="Arial" w:hAnsi="Arial"/>
                <w:sz w:val="18"/>
                <w:szCs w:val="18"/>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Mortgage 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Related parties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167,747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171,569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3,917,114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4,066,511</w:t>
            </w:r>
          </w:p>
        </w:tc>
        <w:tc>
          <w:tcPr>
            <w:tcW w:w="0" w:type="dxa"/>
            <w:vAlign w:val="bottom"/>
          </w:tcPr>
          <w:p>
            <w:pPr>
              <w:spacing w:after="0"/>
              <w:rPr>
                <w:sz w:val="1"/>
                <w:szCs w:val="1"/>
                <w:color w:val="auto"/>
              </w:rPr>
            </w:pPr>
          </w:p>
        </w:tc>
      </w:tr>
      <w:tr>
        <w:trPr>
          <w:trHeight w:val="237"/>
        </w:trPr>
        <w:tc>
          <w:tcPr>
            <w:tcW w:w="6700" w:type="dxa"/>
            <w:vAlign w:val="bottom"/>
          </w:tcPr>
          <w:p>
            <w:pPr>
              <w:ind w:left="5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4,084,861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4,238,080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 and other 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932,184</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61,308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58,412</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288,780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325,701</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Distributions in excess of investments in unconsolidated joint ventures</w:t>
            </w: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115,299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83,486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arrangement obligation</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384,431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00" w:type="dxa"/>
            <w:vAlign w:val="bottom"/>
          </w:tcPr>
          <w:p>
            <w:pPr>
              <w:ind w:left="5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5,722,801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5,637,863</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80"/>
              <w:spacing w:after="0"/>
              <w:rPr>
                <w:sz w:val="20"/>
                <w:szCs w:val="20"/>
                <w:color w:val="auto"/>
              </w:rPr>
            </w:pPr>
            <w:r>
              <w:rPr>
                <w:rFonts w:ascii="Arial" w:cs="Arial" w:eastAsia="Arial" w:hAnsi="Arial"/>
                <w:sz w:val="18"/>
                <w:szCs w:val="18"/>
                <w:color w:val="auto"/>
                <w:w w:val="95"/>
              </w:rPr>
              <w:t>Common stock, $0.01 par value, 250,000,000 shares authorized, 141,199,860 and</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80"/>
              <w:spacing w:after="0"/>
              <w:rPr>
                <w:sz w:val="20"/>
                <w:szCs w:val="20"/>
                <w:color w:val="auto"/>
              </w:rPr>
            </w:pPr>
            <w:r>
              <w:rPr>
                <w:rFonts w:ascii="Arial" w:cs="Arial" w:eastAsia="Arial" w:hAnsi="Arial"/>
                <w:sz w:val="18"/>
                <w:szCs w:val="18"/>
                <w:color w:val="auto"/>
                <w:w w:val="91"/>
              </w:rPr>
              <w:t>140,993,985 shares issued and outstanding at September 30, 2018 and December 31,</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380"/>
              <w:spacing w:after="0"/>
              <w:rPr>
                <w:sz w:val="20"/>
                <w:szCs w:val="20"/>
                <w:color w:val="auto"/>
              </w:rPr>
            </w:pPr>
            <w:r>
              <w:rPr>
                <w:rFonts w:ascii="Arial" w:cs="Arial" w:eastAsia="Arial" w:hAnsi="Arial"/>
                <w:sz w:val="18"/>
                <w:szCs w:val="18"/>
                <w:color w:val="auto"/>
              </w:rPr>
              <w:t>2017, respectively</w:t>
            </w:r>
          </w:p>
        </w:tc>
        <w:tc>
          <w:tcPr>
            <w:tcW w:w="14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4,563,103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4,510,489</w:t>
            </w:r>
          </w:p>
        </w:tc>
        <w:tc>
          <w:tcPr>
            <w:tcW w:w="0" w:type="dxa"/>
            <w:vAlign w:val="bottom"/>
          </w:tcPr>
          <w:p>
            <w:pPr>
              <w:spacing w:after="0"/>
              <w:rPr>
                <w:sz w:val="1"/>
                <w:szCs w:val="1"/>
                <w:color w:val="auto"/>
              </w:rPr>
            </w:pP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(1,520,209)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(830,279)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6700" w:type="dxa"/>
            <w:vAlign w:val="bottom"/>
          </w:tcPr>
          <w:p>
            <w:pPr>
              <w:ind w:left="5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3,044,448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3,681,578</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243,481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286,421</w:t>
            </w:r>
          </w:p>
        </w:tc>
        <w:tc>
          <w:tcPr>
            <w:tcW w:w="0" w:type="dxa"/>
            <w:vAlign w:val="bottom"/>
          </w:tcPr>
          <w:p>
            <w:pPr>
              <w:spacing w:after="0"/>
              <w:rPr>
                <w:sz w:val="1"/>
                <w:szCs w:val="1"/>
                <w:color w:val="auto"/>
              </w:rPr>
            </w:pPr>
          </w:p>
        </w:tc>
      </w:tr>
      <w:tr>
        <w:trPr>
          <w:trHeight w:val="237"/>
        </w:trPr>
        <w:tc>
          <w:tcPr>
            <w:tcW w:w="6700" w:type="dxa"/>
            <w:vAlign w:val="bottom"/>
          </w:tcPr>
          <w:p>
            <w:pPr>
              <w:ind w:left="58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3,287,929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3,967,999</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9,010,730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9,605,862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20"/>
          </w:cols>
          <w:pgMar w:left="240" w:top="121" w:right="13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For the Three Months Ended</w:t>
            </w:r>
          </w:p>
        </w:tc>
        <w:tc>
          <w:tcPr>
            <w:tcW w:w="120" w:type="dxa"/>
            <w:vAlign w:val="bottom"/>
          </w:tcPr>
          <w:p>
            <w:pPr>
              <w:spacing w:after="0"/>
              <w:rPr>
                <w:sz w:val="14"/>
                <w:szCs w:val="14"/>
                <w:color w:val="auto"/>
              </w:rPr>
            </w:pPr>
          </w:p>
        </w:tc>
        <w:tc>
          <w:tcPr>
            <w:tcW w:w="190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w w:val="95"/>
              </w:rPr>
              <w:t>For the Nine Months Ended</w:t>
            </w:r>
          </w:p>
        </w:tc>
        <w:tc>
          <w:tcPr>
            <w:tcW w:w="0" w:type="dxa"/>
            <w:vAlign w:val="bottom"/>
          </w:tcPr>
          <w:p>
            <w:pPr>
              <w:spacing w:after="0"/>
              <w:rPr>
                <w:sz w:val="1"/>
                <w:szCs w:val="1"/>
                <w:color w:val="auto"/>
              </w:rPr>
            </w:pPr>
          </w:p>
        </w:tc>
      </w:tr>
      <w:tr>
        <w:trPr>
          <w:trHeight w:val="192"/>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90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440" w:type="dxa"/>
            <w:vAlign w:val="bottom"/>
          </w:tcPr>
          <w:p>
            <w:pPr>
              <w:ind w:left="140"/>
              <w:spacing w:after="0"/>
              <w:rPr>
                <w:sz w:val="20"/>
                <w:szCs w:val="20"/>
                <w:color w:val="auto"/>
              </w:rPr>
            </w:pPr>
            <w:r>
              <w:rPr>
                <w:rFonts w:ascii="Arial" w:cs="Arial" w:eastAsia="Arial" w:hAnsi="Arial"/>
                <w:sz w:val="14"/>
                <w:szCs w:val="14"/>
                <w:color w:val="auto"/>
              </w:rPr>
              <w:t>Minimum rents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146,256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144,991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431,546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443,439</w:t>
            </w: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Percentage rents</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6,784</w:t>
            </w:r>
          </w:p>
        </w:tc>
        <w:tc>
          <w:tcPr>
            <w:tcW w:w="0" w:type="dxa"/>
            <w:vAlign w:val="bottom"/>
          </w:tcPr>
          <w:p>
            <w:pPr>
              <w:spacing w:after="0"/>
              <w:rPr>
                <w:sz w:val="1"/>
                <w:szCs w:val="1"/>
                <w:color w:val="auto"/>
              </w:rPr>
            </w:pPr>
          </w:p>
        </w:tc>
      </w:tr>
      <w:tr>
        <w:trPr>
          <w:trHeight w:val="264"/>
        </w:trPr>
        <w:tc>
          <w:tcPr>
            <w:tcW w:w="4440" w:type="dxa"/>
            <w:vAlign w:val="bottom"/>
          </w:tcPr>
          <w:p>
            <w:pPr>
              <w:ind w:left="140"/>
              <w:spacing w:after="0"/>
              <w:rPr>
                <w:sz w:val="20"/>
                <w:szCs w:val="20"/>
                <w:color w:val="auto"/>
              </w:rPr>
            </w:pPr>
            <w:r>
              <w:rPr>
                <w:rFonts w:ascii="Arial" w:cs="Arial" w:eastAsia="Arial" w:hAnsi="Arial"/>
                <w:sz w:val="14"/>
                <w:szCs w:val="14"/>
                <w:color w:val="auto"/>
              </w:rPr>
              <w:t>Tenant recoveries</w:t>
            </w:r>
          </w:p>
        </w:tc>
        <w:tc>
          <w:tcPr>
            <w:tcW w:w="1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68,045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72,897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202,899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214,257</w:t>
            </w: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40,484</w:t>
            </w: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Management Companies</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11,052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10,056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32,090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31,955</w:t>
            </w:r>
          </w:p>
        </w:tc>
        <w:tc>
          <w:tcPr>
            <w:tcW w:w="0" w:type="dxa"/>
            <w:vAlign w:val="bottom"/>
          </w:tcPr>
          <w:p>
            <w:pPr>
              <w:spacing w:after="0"/>
              <w:rPr>
                <w:sz w:val="1"/>
                <w:szCs w:val="1"/>
                <w:color w:val="auto"/>
              </w:rPr>
            </w:pPr>
          </w:p>
        </w:tc>
      </w:tr>
      <w:tr>
        <w:trPr>
          <w:trHeight w:val="256"/>
        </w:trPr>
        <w:tc>
          <w:tcPr>
            <w:tcW w:w="4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242,198</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242,451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713,477</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736,919</w:t>
            </w:r>
          </w:p>
        </w:tc>
        <w:tc>
          <w:tcPr>
            <w:tcW w:w="0" w:type="dxa"/>
            <w:vAlign w:val="bottom"/>
          </w:tcPr>
          <w:p>
            <w:pPr>
              <w:spacing w:after="0"/>
              <w:rPr>
                <w:sz w:val="1"/>
                <w:szCs w:val="1"/>
                <w:color w:val="auto"/>
              </w:rPr>
            </w:pPr>
          </w:p>
        </w:tc>
      </w:tr>
      <w:tr>
        <w:trPr>
          <w:trHeight w:val="258"/>
        </w:trPr>
        <w:tc>
          <w:tcPr>
            <w:tcW w:w="4440" w:type="dxa"/>
            <w:vAlign w:val="bottom"/>
          </w:tcPr>
          <w:p>
            <w:pPr>
              <w:ind w:left="2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Shopping center and operating expenses</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72,101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75,598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214,683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222,527</w:t>
            </w:r>
          </w:p>
        </w:tc>
        <w:tc>
          <w:tcPr>
            <w:tcW w:w="0" w:type="dxa"/>
            <w:vAlign w:val="bottom"/>
          </w:tcPr>
          <w:p>
            <w:pPr>
              <w:spacing w:after="0"/>
              <w:rPr>
                <w:sz w:val="1"/>
                <w:szCs w:val="1"/>
                <w:color w:val="auto"/>
              </w:rPr>
            </w:pPr>
          </w:p>
        </w:tc>
      </w:tr>
      <w:tr>
        <w:trPr>
          <w:trHeight w:val="264"/>
        </w:trPr>
        <w:tc>
          <w:tcPr>
            <w:tcW w:w="4440" w:type="dxa"/>
            <w:vAlign w:val="bottom"/>
          </w:tcPr>
          <w:p>
            <w:pPr>
              <w:ind w:left="140"/>
              <w:spacing w:after="0"/>
              <w:rPr>
                <w:sz w:val="20"/>
                <w:szCs w:val="20"/>
                <w:color w:val="auto"/>
              </w:rPr>
            </w:pPr>
            <w:r>
              <w:rPr>
                <w:rFonts w:ascii="Arial" w:cs="Arial" w:eastAsia="Arial" w:hAnsi="Arial"/>
                <w:sz w:val="14"/>
                <w:szCs w:val="14"/>
                <w:color w:val="auto"/>
              </w:rPr>
              <w:t>Management Companies' operating expenses</w:t>
            </w:r>
          </w:p>
        </w:tc>
        <w:tc>
          <w:tcPr>
            <w:tcW w:w="1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21,526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22,046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80,815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76,779</w:t>
            </w: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REIT general and administrative expenses</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21,208</w:t>
            </w:r>
          </w:p>
        </w:tc>
        <w:tc>
          <w:tcPr>
            <w:tcW w:w="0" w:type="dxa"/>
            <w:vAlign w:val="bottom"/>
          </w:tcPr>
          <w:p>
            <w:pPr>
              <w:spacing w:after="0"/>
              <w:rPr>
                <w:sz w:val="1"/>
                <w:szCs w:val="1"/>
                <w:color w:val="auto"/>
              </w:rPr>
            </w:pPr>
          </w:p>
        </w:tc>
      </w:tr>
      <w:tr>
        <w:trPr>
          <w:trHeight w:val="264"/>
        </w:trPr>
        <w:tc>
          <w:tcPr>
            <w:tcW w:w="4440" w:type="dxa"/>
            <w:vAlign w:val="bottom"/>
          </w:tcPr>
          <w:p>
            <w:pPr>
              <w:ind w:left="140"/>
              <w:spacing w:after="0"/>
              <w:rPr>
                <w:sz w:val="20"/>
                <w:szCs w:val="20"/>
                <w:color w:val="auto"/>
              </w:rPr>
            </w:pPr>
            <w:r>
              <w:rPr>
                <w:rFonts w:ascii="Arial" w:cs="Arial" w:eastAsia="Arial" w:hAnsi="Arial"/>
                <w:sz w:val="14"/>
                <w:szCs w:val="14"/>
                <w:color w:val="auto"/>
              </w:rPr>
              <w:t>Costs related to shareholder activism</w:t>
            </w:r>
          </w:p>
        </w:tc>
        <w:tc>
          <w:tcPr>
            <w:tcW w:w="12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19,369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81,803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83,147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240,608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249,463</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180,869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186,078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573,889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569,977</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440" w:type="dxa"/>
            <w:vAlign w:val="bottom"/>
          </w:tcPr>
          <w:p>
            <w:pPr>
              <w:ind w:left="360"/>
              <w:spacing w:after="0"/>
              <w:rPr>
                <w:sz w:val="20"/>
                <w:szCs w:val="20"/>
                <w:color w:val="auto"/>
              </w:rPr>
            </w:pPr>
            <w:r>
              <w:rPr>
                <w:rFonts w:ascii="Arial" w:cs="Arial" w:eastAsia="Arial" w:hAnsi="Arial"/>
                <w:sz w:val="14"/>
                <w:szCs w:val="14"/>
                <w:color w:val="auto"/>
              </w:rPr>
              <w:t>Related parties</w:t>
            </w:r>
          </w:p>
        </w:tc>
        <w:tc>
          <w:tcPr>
            <w:tcW w:w="1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8,481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6,567</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43,853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41,090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127,996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120,320</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44,927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43,265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136,477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126,887</w:t>
            </w:r>
          </w:p>
        </w:tc>
        <w:tc>
          <w:tcPr>
            <w:tcW w:w="0" w:type="dxa"/>
            <w:vAlign w:val="bottom"/>
          </w:tcPr>
          <w:p>
            <w:pPr>
              <w:spacing w:after="0"/>
              <w:rPr>
                <w:sz w:val="1"/>
                <w:szCs w:val="1"/>
                <w:color w:val="auto"/>
              </w:rPr>
            </w:pPr>
          </w:p>
        </w:tc>
      </w:tr>
      <w:tr>
        <w:trPr>
          <w:trHeight w:val="256"/>
        </w:trPr>
        <w:tc>
          <w:tcPr>
            <w:tcW w:w="4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expenses</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225,796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229,343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710,366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696,864</w:t>
            </w:r>
          </w:p>
        </w:tc>
        <w:tc>
          <w:tcPr>
            <w:tcW w:w="0" w:type="dxa"/>
            <w:vAlign w:val="bottom"/>
          </w:tcPr>
          <w:p>
            <w:pPr>
              <w:spacing w:after="0"/>
              <w:rPr>
                <w:sz w:val="1"/>
                <w:szCs w:val="1"/>
                <w:color w:val="auto"/>
              </w:rPr>
            </w:pPr>
          </w:p>
        </w:tc>
      </w:tr>
      <w:tr>
        <w:trPr>
          <w:trHeight w:val="264"/>
        </w:trPr>
        <w:tc>
          <w:tcPr>
            <w:tcW w:w="4440" w:type="dxa"/>
            <w:vAlign w:val="bottom"/>
          </w:tcPr>
          <w:p>
            <w:pPr>
              <w:ind w:left="20"/>
              <w:spacing w:after="0"/>
              <w:rPr>
                <w:sz w:val="20"/>
                <w:szCs w:val="20"/>
                <w:color w:val="auto"/>
              </w:rPr>
            </w:pPr>
            <w:r>
              <w:rPr>
                <w:rFonts w:ascii="Arial" w:cs="Arial" w:eastAsia="Arial" w:hAnsi="Arial"/>
                <w:sz w:val="14"/>
                <w:szCs w:val="14"/>
                <w:color w:val="auto"/>
              </w:rPr>
              <w:t>Equity in income of unconsolidated joint ventures</w:t>
            </w:r>
          </w:p>
        </w:tc>
        <w:tc>
          <w:tcPr>
            <w:tcW w:w="1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18,789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23,993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51,330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56,772</w:t>
            </w: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Co-venture expense</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(11,150)</w:t>
            </w:r>
          </w:p>
        </w:tc>
        <w:tc>
          <w:tcPr>
            <w:tcW w:w="0" w:type="dxa"/>
            <w:vAlign w:val="bottom"/>
          </w:tcPr>
          <w:p>
            <w:pPr>
              <w:spacing w:after="0"/>
              <w:rPr>
                <w:sz w:val="1"/>
                <w:szCs w:val="1"/>
                <w:color w:val="auto"/>
              </w:rPr>
            </w:pPr>
          </w:p>
        </w:tc>
      </w:tr>
      <w:tr>
        <w:trPr>
          <w:trHeight w:val="264"/>
        </w:trPr>
        <w:tc>
          <w:tcPr>
            <w:tcW w:w="444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or write down of assets, net</w:t>
            </w: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46,516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(11,854)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37,234</w:t>
            </w:r>
          </w:p>
        </w:tc>
        <w:tc>
          <w:tcPr>
            <w:tcW w:w="0" w:type="dxa"/>
            <w:vAlign w:val="bottom"/>
          </w:tcPr>
          <w:p>
            <w:pPr>
              <w:spacing w:after="0"/>
              <w:rPr>
                <w:sz w:val="1"/>
                <w:szCs w:val="1"/>
                <w:color w:val="auto"/>
              </w:rPr>
            </w:pPr>
          </w:p>
        </w:tc>
      </w:tr>
      <w:tr>
        <w:trPr>
          <w:trHeight w:val="250"/>
        </w:trPr>
        <w:tc>
          <w:tcPr>
            <w:tcW w:w="4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81,241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19,228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55,726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123,089</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7,213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7,455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9,710</w:t>
            </w:r>
          </w:p>
        </w:tc>
        <w:tc>
          <w:tcPr>
            <w:tcW w:w="0" w:type="dxa"/>
            <w:vAlign w:val="bottom"/>
          </w:tcPr>
          <w:p>
            <w:pPr>
              <w:spacing w:after="0"/>
              <w:rPr>
                <w:sz w:val="1"/>
                <w:szCs w:val="1"/>
                <w:color w:val="auto"/>
              </w:rPr>
            </w:pPr>
          </w:p>
        </w:tc>
      </w:tr>
      <w:tr>
        <w:trPr>
          <w:trHeight w:val="28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attributable to the Company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74,028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17,498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48,271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113,379</w:t>
            </w:r>
          </w:p>
        </w:tc>
        <w:tc>
          <w:tcPr>
            <w:tcW w:w="0" w:type="dxa"/>
            <w:vAlign w:val="bottom"/>
          </w:tcPr>
          <w:p>
            <w:pPr>
              <w:spacing w:after="0"/>
              <w:rPr>
                <w:sz w:val="1"/>
                <w:szCs w:val="1"/>
                <w:color w:val="auto"/>
              </w:rPr>
            </w:pPr>
          </w:p>
        </w:tc>
      </w:tr>
      <w:tr>
        <w:trPr>
          <w:trHeight w:val="25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6"/>
              </w:rPr>
              <w:t>Earnings per common share—attributable to common stockholders:</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4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5"/>
              </w:rPr>
              <w:t>141,196,000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2"/>
              </w:rPr>
              <w:t>141,299,000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5"/>
              </w:rPr>
              <w:t>141,120,000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2"/>
              </w:rPr>
              <w:t>142,188,000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tcPr>
          <w:p>
            <w:pPr>
              <w:ind w:left="140"/>
              <w:spacing w:after="0"/>
              <w:rPr>
                <w:sz w:val="20"/>
                <w:szCs w:val="20"/>
                <w:color w:val="auto"/>
              </w:rPr>
            </w:pPr>
            <w:r>
              <w:rPr>
                <w:rFonts w:ascii="Arial" w:cs="Arial" w:eastAsia="Arial" w:hAnsi="Arial"/>
                <w:sz w:val="14"/>
                <w:szCs w:val="14"/>
                <w:color w:val="auto"/>
              </w:rPr>
              <w:t>Diluted</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5"/>
              </w:rPr>
              <w:t>141,196,000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2"/>
              </w:rPr>
              <w:t>141,310,000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5"/>
              </w:rPr>
              <w:t>141,125,000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2"/>
              </w:rPr>
              <w:t>142,223,000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2" w:right="1440"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MACERICH 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0219"/>
          </w:cols>
          <w:pgMar w:left="24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Interest rate cap/swap agreements</w:t>
      </w:r>
    </w:p>
    <w:p>
      <w:pPr>
        <w:spacing w:after="0" w:line="10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Comprehensive income</w:t>
      </w:r>
    </w:p>
    <w:p>
      <w:pPr>
        <w:spacing w:after="0" w:line="109" w:lineRule="exact"/>
        <w:rPr>
          <w:sz w:val="20"/>
          <w:szCs w:val="20"/>
          <w:color w:val="auto"/>
        </w:rPr>
      </w:pPr>
    </w:p>
    <w:p>
      <w:pPr>
        <w:ind w:left="1440" w:right="720"/>
        <w:spacing w:after="0" w:line="486" w:lineRule="auto"/>
        <w:rPr>
          <w:sz w:val="20"/>
          <w:szCs w:val="20"/>
          <w:color w:val="auto"/>
        </w:rPr>
      </w:pPr>
      <w:r>
        <w:rPr>
          <w:rFonts w:ascii="Arial" w:cs="Arial" w:eastAsia="Arial" w:hAnsi="Arial"/>
          <w:sz w:val="13"/>
          <w:szCs w:val="13"/>
          <w:color w:val="auto"/>
        </w:rPr>
        <w:t>Less net income attributable to noncontrolling interests Comprehensive income attributable to the Company</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4"/>
              </w:rPr>
              <w:t>For the Three Months Ended</w:t>
            </w:r>
          </w:p>
        </w:tc>
        <w:tc>
          <w:tcPr>
            <w:tcW w:w="120" w:type="dxa"/>
            <w:vAlign w:val="bottom"/>
          </w:tcPr>
          <w:p>
            <w:pPr>
              <w:spacing w:after="0"/>
              <w:rPr>
                <w:sz w:val="14"/>
                <w:szCs w:val="14"/>
                <w:color w:val="auto"/>
              </w:rPr>
            </w:pPr>
          </w:p>
        </w:tc>
        <w:tc>
          <w:tcPr>
            <w:tcW w:w="182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192"/>
        </w:trPr>
        <w:tc>
          <w:tcPr>
            <w:tcW w:w="200" w:type="dxa"/>
            <w:vAlign w:val="bottom"/>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82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r>
      <w:tr>
        <w:trPr>
          <w:trHeight w:val="244"/>
        </w:trPr>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81,241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19,228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55,726</w:t>
            </w:r>
          </w:p>
        </w:tc>
        <w:tc>
          <w:tcPr>
            <w:tcW w:w="120" w:type="dxa"/>
            <w:vAlign w:val="bottom"/>
          </w:tcPr>
          <w:p>
            <w:pPr>
              <w:spacing w:after="0"/>
              <w:rPr>
                <w:sz w:val="21"/>
                <w:szCs w:val="21"/>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123,089</w:t>
            </w:r>
          </w:p>
        </w:tc>
      </w:tr>
      <w:tr>
        <w:trPr>
          <w:trHeight w:val="546"/>
        </w:trPr>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4"/>
        </w:trPr>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81,416</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19,228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55,910</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123,089</w:t>
            </w:r>
          </w:p>
        </w:tc>
      </w:tr>
      <w:tr>
        <w:trPr>
          <w:trHeight w:val="276"/>
        </w:trPr>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7,455</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9,710</w:t>
            </w:r>
          </w:p>
        </w:tc>
      </w:tr>
      <w:tr>
        <w:trPr>
          <w:trHeight w:val="237"/>
        </w:trPr>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74,203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48,455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113,379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-1045845</wp:posOffset>
            </wp:positionV>
            <wp:extent cx="547116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71160" cy="171450"/>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-702310</wp:posOffset>
            </wp:positionV>
            <wp:extent cx="547116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71160" cy="171450"/>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-359410</wp:posOffset>
            </wp:positionV>
            <wp:extent cx="547116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71160" cy="171450"/>
                    </a:xfrm>
                    <a:prstGeom prst="rect">
                      <a:avLst/>
                    </a:prstGeom>
                    <a:noFill/>
                  </pic:spPr>
                </pic:pic>
              </a:graphicData>
            </a:graphic>
          </wp:anchor>
        </w:drawing>
      </w:r>
    </w:p>
    <w:p>
      <w:pPr>
        <w:spacing w:after="0" w:line="256" w:lineRule="exact"/>
        <w:rPr>
          <w:sz w:val="20"/>
          <w:szCs w:val="20"/>
          <w:color w:val="auto"/>
        </w:rPr>
      </w:pPr>
    </w:p>
    <w:p>
      <w:pPr>
        <w:sectPr>
          <w:pgSz w:w="11900" w:h="16838" w:orient="portrait"/>
          <w:cols w:equalWidth="0" w:num="2">
            <w:col w:w="5320" w:space="720"/>
            <w:col w:w="4179"/>
          </w:cols>
          <w:pgMar w:left="240" w:top="122" w:right="1440" w:bottom="1440" w:gutter="0" w:footer="0" w:header="0"/>
          <w:type w:val="continuous"/>
        </w:sectPr>
      </w:pPr>
    </w:p>
    <w:p>
      <w:pPr>
        <w:ind w:left="280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122" w:right="1440"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159"/>
        <w:spacing w:after="0"/>
        <w:rPr>
          <w:sz w:val="20"/>
          <w:szCs w:val="20"/>
          <w:color w:val="auto"/>
        </w:rPr>
      </w:pPr>
      <w:r>
        <w:rPr>
          <w:rFonts w:ascii="Arial" w:cs="Arial" w:eastAsia="Arial" w:hAnsi="Arial"/>
          <w:sz w:val="18"/>
          <w:szCs w:val="18"/>
          <w:b w:val="1"/>
          <w:bCs w:val="1"/>
          <w:color w:val="auto"/>
        </w:rPr>
        <w:t>CONSOLIDATED STATEMENT OF EQUITY</w:t>
      </w:r>
    </w:p>
    <w:p>
      <w:pPr>
        <w:spacing w:after="0" w:line="279" w:lineRule="exact"/>
        <w:rPr>
          <w:sz w:val="20"/>
          <w:szCs w:val="20"/>
          <w:color w:val="auto"/>
        </w:rPr>
      </w:pPr>
    </w:p>
    <w:p>
      <w:pPr>
        <w:jc w:val="center"/>
        <w:ind w:right="-115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1180" w:type="dxa"/>
        <w:tblCellMar>
          <w:top w:w="0" w:type="dxa"/>
          <w:left w:w="0" w:type="dxa"/>
          <w:bottom w:w="0" w:type="dxa"/>
          <w:right w:w="0" w:type="dxa"/>
        </w:tblCellMar>
      </w:tblPr>
      <w:tr>
        <w:trPr>
          <w:trHeight w:val="174"/>
        </w:trPr>
        <w:tc>
          <w:tcPr>
            <w:tcW w:w="9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660"/>
              <w:spacing w:after="0"/>
              <w:rPr>
                <w:sz w:val="20"/>
                <w:szCs w:val="20"/>
                <w:color w:val="auto"/>
              </w:rPr>
            </w:pPr>
            <w:r>
              <w:rPr>
                <w:rFonts w:ascii="Arial" w:cs="Arial" w:eastAsia="Arial" w:hAnsi="Arial"/>
                <w:sz w:val="13"/>
                <w:szCs w:val="13"/>
                <w:b w:val="1"/>
                <w:bCs w:val="1"/>
                <w:color w:val="auto"/>
                <w:w w:val="97"/>
              </w:rPr>
              <w:t>Stockholders' Equity</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156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22"/>
                <w:szCs w:val="2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5"/>
              </w:rPr>
              <w:t>Par</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Paid-in</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Stockholders'</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98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(Loss) Income</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Interests</w:t>
            </w:r>
          </w:p>
        </w:tc>
        <w:tc>
          <w:tcPr>
            <w:tcW w:w="82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143"/>
        </w:trPr>
        <w:tc>
          <w:tcPr>
            <w:tcW w:w="9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at</w:t>
            </w: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January 1, 2018</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140,993,985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4,510,489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(830,279)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3,681,578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286,421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3,967,999</w:t>
            </w:r>
          </w:p>
        </w:tc>
        <w:tc>
          <w:tcPr>
            <w:tcW w:w="0" w:type="dxa"/>
            <w:vAlign w:val="bottom"/>
          </w:tcPr>
          <w:p>
            <w:pPr>
              <w:spacing w:after="0"/>
              <w:rPr>
                <w:sz w:val="1"/>
                <w:szCs w:val="1"/>
                <w:color w:val="auto"/>
              </w:rPr>
            </w:pPr>
          </w:p>
        </w:tc>
      </w:tr>
      <w:tr>
        <w:trPr>
          <w:trHeight w:val="264"/>
        </w:trPr>
        <w:tc>
          <w:tcPr>
            <w:tcW w:w="9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48,271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48,271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7,455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55,726</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effect of</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adoption of</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ASU 2014-09</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(424,859)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(424,859)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(424,859)</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Interest rate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20"/>
              <w:spacing w:after="0" w:line="149" w:lineRule="exact"/>
              <w:rPr>
                <w:sz w:val="20"/>
                <w:szCs w:val="20"/>
                <w:color w:val="auto"/>
              </w:rPr>
            </w:pPr>
            <w:r>
              <w:rPr>
                <w:rFonts w:ascii="Arial" w:cs="Arial" w:eastAsia="Arial" w:hAnsi="Arial"/>
                <w:sz w:val="14"/>
                <w:szCs w:val="14"/>
                <w:color w:val="auto"/>
              </w:rPr>
              <w:t>cap/swap</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rPr>
              <w:t>agreements</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of share and</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unit-based</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28,218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28,219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28,219</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Employee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w w:val="92"/>
              </w:rPr>
              <w:t>stock purchases</w:t>
            </w:r>
          </w:p>
        </w:tc>
        <w:tc>
          <w:tcPr>
            <w:tcW w:w="860" w:type="dxa"/>
            <w:vAlign w:val="bottom"/>
          </w:tcPr>
          <w:p>
            <w:pPr>
              <w:jc w:val="right"/>
              <w:spacing w:after="0"/>
              <w:rPr>
                <w:sz w:val="20"/>
                <w:szCs w:val="20"/>
                <w:color w:val="auto"/>
              </w:rPr>
            </w:pPr>
            <w:r>
              <w:rPr>
                <w:rFonts w:ascii="Arial" w:cs="Arial" w:eastAsia="Arial" w:hAnsi="Arial"/>
                <w:sz w:val="14"/>
                <w:szCs w:val="14"/>
                <w:color w:val="auto"/>
              </w:rPr>
              <w:t>17,240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declared</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($2.22) per</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(313,342)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(313,342)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(313,342)</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Distributions to</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20"/>
              <w:spacing w:after="0" w:line="149" w:lineRule="exact"/>
              <w:rPr>
                <w:sz w:val="20"/>
                <w:szCs w:val="20"/>
                <w:color w:val="auto"/>
              </w:rPr>
            </w:pPr>
            <w:r>
              <w:rPr>
                <w:rFonts w:ascii="Arial" w:cs="Arial" w:eastAsia="Arial" w:hAnsi="Arial"/>
                <w:sz w:val="14"/>
                <w:szCs w:val="14"/>
                <w:color w:val="auto"/>
              </w:rPr>
              <w:t>noncontrolling</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rPr>
              <w:t>interests</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(26,101)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(26,101)</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from</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noncontrolling</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Conversion of</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20"/>
              <w:spacing w:after="0" w:line="149" w:lineRule="exact"/>
              <w:rPr>
                <w:sz w:val="20"/>
                <w:szCs w:val="20"/>
                <w:color w:val="auto"/>
              </w:rPr>
            </w:pPr>
            <w:r>
              <w:rPr>
                <w:rFonts w:ascii="Arial" w:cs="Arial" w:eastAsia="Arial" w:hAnsi="Arial"/>
                <w:sz w:val="14"/>
                <w:szCs w:val="14"/>
                <w:color w:val="auto"/>
              </w:rPr>
              <w:t>noncontrolling</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20"/>
              <w:spacing w:after="0" w:line="149" w:lineRule="exact"/>
              <w:rPr>
                <w:sz w:val="20"/>
                <w:szCs w:val="20"/>
                <w:color w:val="auto"/>
              </w:rPr>
            </w:pPr>
            <w:r>
              <w:rPr>
                <w:rFonts w:ascii="Arial" w:cs="Arial" w:eastAsia="Arial" w:hAnsi="Arial"/>
                <w:sz w:val="14"/>
                <w:szCs w:val="14"/>
                <w:color w:val="auto"/>
              </w:rPr>
              <w:t>interests to</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w w:val="94"/>
              </w:rPr>
              <w:t>common shares</w:t>
            </w:r>
          </w:p>
        </w:tc>
        <w:tc>
          <w:tcPr>
            <w:tcW w:w="860" w:type="dxa"/>
            <w:vAlign w:val="bottom"/>
          </w:tcPr>
          <w:p>
            <w:pPr>
              <w:jc w:val="right"/>
              <w:spacing w:after="0"/>
              <w:rPr>
                <w:sz w:val="20"/>
                <w:szCs w:val="20"/>
                <w:color w:val="auto"/>
              </w:rPr>
            </w:pPr>
            <w:r>
              <w:rPr>
                <w:rFonts w:ascii="Arial" w:cs="Arial" w:eastAsia="Arial" w:hAnsi="Arial"/>
                <w:sz w:val="14"/>
                <w:szCs w:val="14"/>
                <w:color w:val="auto"/>
              </w:rPr>
              <w:t>66,711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of</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noncontrolling</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57"/>
        </w:trPr>
        <w:tc>
          <w:tcPr>
            <w:tcW w:w="980" w:type="dxa"/>
            <w:vAlign w:val="bottom"/>
          </w:tcPr>
          <w:p>
            <w:pPr>
              <w:ind w:left="20"/>
              <w:spacing w:after="0" w:line="157" w:lineRule="exact"/>
              <w:rPr>
                <w:sz w:val="20"/>
                <w:szCs w:val="20"/>
                <w:color w:val="auto"/>
              </w:rPr>
            </w:pPr>
            <w:r>
              <w:rPr>
                <w:rFonts w:ascii="Arial" w:cs="Arial" w:eastAsia="Arial" w:hAnsi="Arial"/>
                <w:sz w:val="14"/>
                <w:szCs w:val="14"/>
                <w:color w:val="auto"/>
              </w:rPr>
              <w:t>Adjustment of</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20"/>
              <w:spacing w:after="0" w:line="149" w:lineRule="exact"/>
              <w:rPr>
                <w:sz w:val="20"/>
                <w:szCs w:val="20"/>
                <w:color w:val="auto"/>
              </w:rPr>
            </w:pPr>
            <w:r>
              <w:rPr>
                <w:rFonts w:ascii="Arial" w:cs="Arial" w:eastAsia="Arial" w:hAnsi="Arial"/>
                <w:sz w:val="14"/>
                <w:szCs w:val="14"/>
                <w:color w:val="auto"/>
              </w:rPr>
              <w:t>noncontrolling</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20"/>
              <w:spacing w:after="0" w:line="149" w:lineRule="exact"/>
              <w:rPr>
                <w:sz w:val="20"/>
                <w:szCs w:val="20"/>
                <w:color w:val="auto"/>
              </w:rPr>
            </w:pPr>
            <w:r>
              <w:rPr>
                <w:rFonts w:ascii="Arial" w:cs="Arial" w:eastAsia="Arial" w:hAnsi="Arial"/>
                <w:sz w:val="14"/>
                <w:szCs w:val="14"/>
                <w:color w:val="auto"/>
              </w:rPr>
              <w:t>interests in</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20"/>
              <w:spacing w:after="0" w:line="149" w:lineRule="exact"/>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rPr>
                <w:sz w:val="20"/>
                <w:szCs w:val="20"/>
                <w:color w:val="auto"/>
              </w:rPr>
            </w:pPr>
            <w:r>
              <w:rPr>
                <w:rFonts w:ascii="Arial" w:cs="Arial" w:eastAsia="Arial" w:hAnsi="Arial"/>
                <w:sz w:val="14"/>
                <w:szCs w:val="14"/>
                <w:color w:val="auto"/>
              </w:rPr>
              <w:t>Partnership</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24,002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24,002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(24,002)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9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at</w:t>
            </w: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September 30,</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141,199,860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1,412</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4,563,103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(1,520,209)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3,044,448</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243,481</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6"/>
              </w:rPr>
              <w:t>3,287,929</w:t>
            </w:r>
          </w:p>
        </w:tc>
        <w:tc>
          <w:tcPr>
            <w:tcW w:w="0" w:type="dxa"/>
            <w:vAlign w:val="bottom"/>
          </w:tcPr>
          <w:p>
            <w:pPr>
              <w:spacing w:after="0"/>
              <w:rPr>
                <w:sz w:val="1"/>
                <w:szCs w:val="1"/>
                <w:color w:val="auto"/>
              </w:rPr>
            </w:pPr>
          </w:p>
        </w:tc>
      </w:tr>
      <w:tr>
        <w:trPr>
          <w:trHeight w:val="181"/>
        </w:trPr>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60"/>
          </w:cols>
          <w:pgMar w:left="240" w:top="121" w:right="139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MACERICH COMPANY</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For the Nine Months Ended</w:t>
      </w:r>
    </w:p>
    <w:p>
      <w:pPr>
        <w:spacing w:after="0" w:line="4"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13335</wp:posOffset>
            </wp:positionV>
            <wp:extent cx="1346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87" w:lineRule="exact"/>
        <w:rPr>
          <w:sz w:val="20"/>
          <w:szCs w:val="20"/>
          <w:color w:val="auto"/>
        </w:rPr>
      </w:pPr>
    </w:p>
    <w:tbl>
      <w:tblPr>
        <w:tblLayout w:type="fixed"/>
        <w:tblInd w:w="1320" w:type="dxa"/>
        <w:tblCellMar>
          <w:top w:w="0" w:type="dxa"/>
          <w:left w:w="0" w:type="dxa"/>
          <w:bottom w:w="0" w:type="dxa"/>
          <w:right w:w="0" w:type="dxa"/>
        </w:tblCellMar>
      </w:tblPr>
      <w:tr>
        <w:trPr>
          <w:trHeight w:val="192"/>
        </w:trPr>
        <w:tc>
          <w:tcPr>
            <w:tcW w:w="6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r>
      <w:tr>
        <w:trPr>
          <w:trHeight w:val="236"/>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55,726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123,089</w:t>
            </w: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Loss (gain) on sale or write down of assets, net</w:t>
            </w: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(37,234)</w:t>
            </w: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246,038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253,793</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Amortization of premium on mortgage notes payable</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(2,799)</w:t>
            </w: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share and unit-based plans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25,159</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Straight-line rent adjustment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(7,502)</w:t>
            </w: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above and below-market leases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3,787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3,806</w:t>
            </w: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Equity in income of unconsolidated joint ventures</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(51,330)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(56,772)</w:t>
            </w: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Distributions of income from unconsolidated joint ventures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Change in fair value of financing arrangement obligation</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Co-venture expense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11,150</w:t>
            </w:r>
          </w:p>
        </w:tc>
      </w:tr>
      <w:tr>
        <w:trPr>
          <w:trHeight w:val="243"/>
        </w:trPr>
        <w:tc>
          <w:tcPr>
            <w:tcW w:w="6680" w:type="dxa"/>
            <w:vAlign w:val="bottom"/>
          </w:tcPr>
          <w:p>
            <w:pPr>
              <w:ind w:left="260"/>
              <w:spacing w:after="0"/>
              <w:rPr>
                <w:sz w:val="20"/>
                <w:szCs w:val="20"/>
                <w:color w:val="auto"/>
              </w:rPr>
            </w:pPr>
            <w:r>
              <w:rPr>
                <w:rFonts w:ascii="Arial" w:cs="Arial" w:eastAsia="Arial" w:hAnsi="Arial"/>
                <w:sz w:val="18"/>
                <w:szCs w:val="18"/>
                <w:color w:val="auto"/>
              </w:rPr>
              <w:t>Changes in assets and liabilities, net of dispositions:</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Tenant and other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w:t>
            </w:r>
          </w:p>
        </w:tc>
      </w:tr>
      <w:tr>
        <w:trPr>
          <w:trHeight w:val="243"/>
        </w:trPr>
        <w:tc>
          <w:tcPr>
            <w:tcW w:w="668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7,143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11,743</w:t>
            </w: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Due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(13,004)</w:t>
            </w:r>
          </w:p>
        </w:tc>
      </w:tr>
      <w:tr>
        <w:trPr>
          <w:trHeight w:val="243"/>
        </w:trPr>
        <w:tc>
          <w:tcPr>
            <w:tcW w:w="668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6,692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11,263</w:t>
            </w: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(23,094)</w:t>
            </w:r>
          </w:p>
        </w:tc>
      </w:tr>
      <w:tr>
        <w:trPr>
          <w:trHeight w:val="237"/>
        </w:trPr>
        <w:tc>
          <w:tcPr>
            <w:tcW w:w="668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247,161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299,850</w:t>
            </w:r>
          </w:p>
        </w:tc>
      </w:tr>
      <w:tr>
        <w:trPr>
          <w:trHeight w:val="27"/>
        </w:trPr>
        <w:tc>
          <w:tcPr>
            <w:tcW w:w="6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Development, redevelopment, expansion and renovation of properties</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(133,325)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(90,758)</w:t>
            </w: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improvements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(34,425)</w:t>
            </w: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Proceeds from repayment of notes receivable</w:t>
            </w: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628</w:t>
            </w: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leasing costs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(25,045)</w:t>
            </w: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Distributions from unconsolidated joint ventures</w:t>
            </w: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541,336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226,152</w:t>
            </w:r>
          </w:p>
        </w:tc>
      </w:tr>
      <w:tr>
        <w:trPr>
          <w:trHeight w:val="27"/>
        </w:trPr>
        <w:tc>
          <w:tcPr>
            <w:tcW w:w="6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Contributions to unconsolidated joint ventures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(179,060)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(80,332)</w:t>
            </w:r>
          </w:p>
        </w:tc>
      </w:tr>
      <w:tr>
        <w:trPr>
          <w:trHeight w:val="243"/>
        </w:trPr>
        <w:tc>
          <w:tcPr>
            <w:tcW w:w="6680" w:type="dxa"/>
            <w:vAlign w:val="bottom"/>
          </w:tcPr>
          <w:p>
            <w:pPr>
              <w:ind w:left="160"/>
              <w:spacing w:after="0"/>
              <w:rPr>
                <w:sz w:val="20"/>
                <w:szCs w:val="20"/>
                <w:color w:val="auto"/>
              </w:rPr>
            </w:pPr>
            <w:r>
              <w:rPr>
                <w:rFonts w:ascii="Arial" w:cs="Arial" w:eastAsia="Arial" w:hAnsi="Arial"/>
                <w:sz w:val="18"/>
                <w:szCs w:val="18"/>
                <w:color w:val="auto"/>
              </w:rPr>
              <w:t>Proceeds from sale of assets</w:t>
            </w: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83,029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168,471</w:t>
            </w:r>
          </w:p>
        </w:tc>
      </w:tr>
      <w:tr>
        <w:trPr>
          <w:trHeight w:val="27"/>
        </w:trPr>
        <w:tc>
          <w:tcPr>
            <w:tcW w:w="6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256,159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164,691</w:t>
            </w:r>
          </w:p>
        </w:tc>
      </w:tr>
      <w:tr>
        <w:trPr>
          <w:trHeight w:val="574"/>
        </w:trPr>
        <w:tc>
          <w:tcPr>
            <w:tcW w:w="6680" w:type="dxa"/>
            <w:vAlign w:val="bottom"/>
          </w:tcPr>
          <w:p>
            <w:pPr>
              <w:ind w:left="4340"/>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bl>
    <w:p>
      <w:pPr>
        <w:sectPr>
          <w:pgSz w:w="11900" w:h="16838" w:orient="portrait"/>
          <w:cols w:equalWidth="0" w:num="1">
            <w:col w:w="10219"/>
          </w:cols>
          <w:pgMar w:left="240" w:top="121" w:right="1440"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MACERICH COMPANY</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w:t>
      </w:r>
    </w:p>
    <w:p>
      <w:pPr>
        <w:spacing w:after="0" w:line="18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0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92"/>
        </w:trPr>
        <w:tc>
          <w:tcPr>
            <w:tcW w:w="6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6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160"/>
              <w:spacing w:after="0"/>
              <w:rPr>
                <w:sz w:val="20"/>
                <w:szCs w:val="20"/>
                <w:color w:val="auto"/>
              </w:rPr>
            </w:pPr>
            <w:r>
              <w:rPr>
                <w:rFonts w:ascii="Arial" w:cs="Arial" w:eastAsia="Arial" w:hAnsi="Arial"/>
                <w:sz w:val="18"/>
                <w:szCs w:val="18"/>
                <w:color w:val="auto"/>
              </w:rPr>
              <w:t>Proceeds from mortgages, bank and other notes payable</w:t>
            </w:r>
          </w:p>
        </w:tc>
        <w:tc>
          <w:tcPr>
            <w:tcW w:w="1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295,000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510,000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Payments on mortgages, bank and other notes payable</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(457,710)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(424,439)</w:t>
            </w:r>
          </w:p>
        </w:tc>
        <w:tc>
          <w:tcPr>
            <w:tcW w:w="0" w:type="dxa"/>
            <w:vAlign w:val="bottom"/>
          </w:tcPr>
          <w:p>
            <w:pPr>
              <w:spacing w:after="0"/>
              <w:rPr>
                <w:sz w:val="1"/>
                <w:szCs w:val="1"/>
                <w:color w:val="auto"/>
              </w:rPr>
            </w:pPr>
          </w:p>
        </w:tc>
      </w:tr>
      <w:tr>
        <w:trPr>
          <w:trHeight w:val="243"/>
        </w:trPr>
        <w:tc>
          <w:tcPr>
            <w:tcW w:w="6660" w:type="dxa"/>
            <w:vAlign w:val="bottom"/>
          </w:tcPr>
          <w:p>
            <w:pPr>
              <w:ind w:left="160"/>
              <w:spacing w:after="0"/>
              <w:rPr>
                <w:sz w:val="20"/>
                <w:szCs w:val="20"/>
                <w:color w:val="auto"/>
              </w:rPr>
            </w:pPr>
            <w:r>
              <w:rPr>
                <w:rFonts w:ascii="Arial" w:cs="Arial" w:eastAsia="Arial" w:hAnsi="Arial"/>
                <w:sz w:val="18"/>
                <w:szCs w:val="18"/>
                <w:color w:val="auto"/>
              </w:rPr>
              <w:t>Deferred financing costs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Payment of finance deposits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43"/>
        </w:trPr>
        <w:tc>
          <w:tcPr>
            <w:tcW w:w="6660" w:type="dxa"/>
            <w:vAlign w:val="bottom"/>
          </w:tcPr>
          <w:p>
            <w:pPr>
              <w:ind w:left="160"/>
              <w:spacing w:after="0"/>
              <w:rPr>
                <w:sz w:val="20"/>
                <w:szCs w:val="20"/>
                <w:color w:val="auto"/>
              </w:rPr>
            </w:pPr>
            <w:r>
              <w:rPr>
                <w:rFonts w:ascii="Arial" w:cs="Arial" w:eastAsia="Arial" w:hAnsi="Arial"/>
                <w:sz w:val="18"/>
                <w:szCs w:val="18"/>
                <w:color w:val="auto"/>
              </w:rPr>
              <w:t>Proceeds from share and unit-based plans</w:t>
            </w:r>
          </w:p>
        </w:tc>
        <w:tc>
          <w:tcPr>
            <w:tcW w:w="1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(221,428)</w:t>
            </w:r>
          </w:p>
        </w:tc>
        <w:tc>
          <w:tcPr>
            <w:tcW w:w="0" w:type="dxa"/>
            <w:vAlign w:val="bottom"/>
          </w:tcPr>
          <w:p>
            <w:pPr>
              <w:spacing w:after="0"/>
              <w:rPr>
                <w:sz w:val="1"/>
                <w:szCs w:val="1"/>
                <w:color w:val="auto"/>
              </w:rPr>
            </w:pPr>
          </w:p>
        </w:tc>
      </w:tr>
      <w:tr>
        <w:trPr>
          <w:trHeight w:val="243"/>
        </w:trPr>
        <w:tc>
          <w:tcPr>
            <w:tcW w:w="6660" w:type="dxa"/>
            <w:vAlign w:val="bottom"/>
          </w:tcPr>
          <w:p>
            <w:pPr>
              <w:ind w:left="160"/>
              <w:spacing w:after="0"/>
              <w:rPr>
                <w:sz w:val="20"/>
                <w:szCs w:val="20"/>
                <w:color w:val="auto"/>
              </w:rPr>
            </w:pPr>
            <w:r>
              <w:rPr>
                <w:rFonts w:ascii="Arial" w:cs="Arial" w:eastAsia="Arial" w:hAnsi="Arial"/>
                <w:sz w:val="18"/>
                <w:szCs w:val="18"/>
                <w:color w:val="auto"/>
              </w:rPr>
              <w:t>Redemption of noncontrolling interests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Contribution from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60" w:type="dxa"/>
            <w:vAlign w:val="bottom"/>
          </w:tcPr>
          <w:p>
            <w:pPr>
              <w:ind w:left="160"/>
              <w:spacing w:after="0"/>
              <w:rPr>
                <w:sz w:val="20"/>
                <w:szCs w:val="20"/>
                <w:color w:val="auto"/>
              </w:rPr>
            </w:pPr>
            <w:r>
              <w:rPr>
                <w:rFonts w:ascii="Arial" w:cs="Arial" w:eastAsia="Arial" w:hAnsi="Arial"/>
                <w:sz w:val="18"/>
                <w:szCs w:val="18"/>
                <w:color w:val="auto"/>
              </w:rPr>
              <w:t>Dividends and distributions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(339,443)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8"/>
              </w:rPr>
              <w:t>(328,733)</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Distributions to co-venture partner</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(11,005)</w:t>
            </w:r>
          </w:p>
        </w:tc>
        <w:tc>
          <w:tcPr>
            <w:tcW w:w="0" w:type="dxa"/>
            <w:vAlign w:val="bottom"/>
          </w:tcPr>
          <w:p>
            <w:pPr>
              <w:spacing w:after="0"/>
              <w:rPr>
                <w:sz w:val="1"/>
                <w:szCs w:val="1"/>
                <w:color w:val="auto"/>
              </w:rPr>
            </w:pPr>
          </w:p>
        </w:tc>
      </w:tr>
      <w:tr>
        <w:trPr>
          <w:trHeight w:val="237"/>
        </w:trPr>
        <w:tc>
          <w:tcPr>
            <w:tcW w:w="6660" w:type="dxa"/>
            <w:vAlign w:val="bottom"/>
          </w:tcPr>
          <w:p>
            <w:pPr>
              <w:ind w:left="16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(502,325)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(486,714)</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(22,173)</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1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143,105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143,997</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121,824</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Supplemental cash flow information:</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payments for interest, net of amounts capitalized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142,680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124,686</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Non-cash investing and financing transactions:</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Accrued development costs included in accounts payable and accrued expenses and other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48,827</w:t>
            </w: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30,706</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160"/>
              <w:spacing w:after="0"/>
              <w:rPr>
                <w:sz w:val="20"/>
                <w:szCs w:val="20"/>
                <w:color w:val="auto"/>
              </w:rPr>
            </w:pPr>
            <w:r>
              <w:rPr>
                <w:rFonts w:ascii="Arial" w:cs="Arial" w:eastAsia="Arial" w:hAnsi="Arial"/>
                <w:sz w:val="18"/>
                <w:szCs w:val="18"/>
                <w:color w:val="auto"/>
                <w:w w:val="94"/>
              </w:rPr>
              <w:t>Mortgage notes payable assumed in exchange for investments in unconsolidated joint</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60" w:type="dxa"/>
            <w:vAlign w:val="bottom"/>
            <w:vMerge w:val="continue"/>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12"/>
              <w:spacing w:after="0"/>
              <w:rPr>
                <w:sz w:val="20"/>
                <w:szCs w:val="20"/>
                <w:color w:val="auto"/>
              </w:rPr>
            </w:pPr>
            <w:r>
              <w:rPr>
                <w:rFonts w:ascii="Arial" w:cs="Arial" w:eastAsia="Arial" w:hAnsi="Arial"/>
                <w:sz w:val="18"/>
                <w:szCs w:val="18"/>
                <w:color w:val="auto"/>
              </w:rPr>
              <w:t>139,249</w:t>
            </w:r>
          </w:p>
        </w:tc>
        <w:tc>
          <w:tcPr>
            <w:tcW w:w="10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ventures</w:t>
            </w:r>
          </w:p>
        </w:tc>
        <w:tc>
          <w:tcPr>
            <w:tcW w:w="16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Disposition of property in exchange for investments in unconsolidated joint ventures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36,305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660" w:type="dxa"/>
            <w:vAlign w:val="bottom"/>
          </w:tcPr>
          <w:p>
            <w:pPr>
              <w:ind w:left="160"/>
              <w:spacing w:after="0"/>
              <w:rPr>
                <w:sz w:val="20"/>
                <w:szCs w:val="20"/>
                <w:color w:val="auto"/>
              </w:rPr>
            </w:pPr>
            <w:r>
              <w:rPr>
                <w:rFonts w:ascii="Arial" w:cs="Arial" w:eastAsia="Arial" w:hAnsi="Arial"/>
                <w:sz w:val="18"/>
                <w:szCs w:val="18"/>
                <w:color w:val="auto"/>
              </w:rPr>
              <w:t>Conversion of Operating Partnership Units to common stock</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15,195</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121" w:right="1440"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Macerich Company (the "Company") is involved in the acquisition, ownership, development, redevelopment, management and leasing of regional and community/power shopping centers (the "Centers") located throughout the United States.</w:t>
      </w:r>
    </w:p>
    <w:p>
      <w:pPr>
        <w:spacing w:after="0" w:line="224"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The Company commenced operations effective with the completion of its initial public offering on March 16, 1994. As of September 30, 2018, the Company was the sole general partner of and held a 93% ownership interest in The Macerich Partnership, L.P. (the "Operating Partnership"). The Company was organized to qualify as a real estate investment trust ("REIT") under the Internal Revenue Code of 1986, as amended (the "Code").</w:t>
      </w:r>
    </w:p>
    <w:p>
      <w:pPr>
        <w:spacing w:after="0" w:line="22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24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All references to the Company in this Quarterly Report on Form 10-Q include the Company, those entities owned or controlled by the Company and predecessors of the Company, unless the context indicates otherwise.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27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24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Operating Partnership's consolidated VIEs included the following assets and liabilities:</w:t>
      </w:r>
    </w:p>
    <w:p>
      <w:pPr>
        <w:spacing w:after="0" w:line="200" w:lineRule="exact"/>
        <w:rPr>
          <w:sz w:val="20"/>
          <w:szCs w:val="20"/>
          <w:color w:val="auto"/>
        </w:rPr>
      </w:pPr>
    </w:p>
    <w:p>
      <w:pPr>
        <w:spacing w:after="0" w:line="220"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0" w:type="dxa"/>
            <w:vAlign w:val="bottom"/>
          </w:tcPr>
          <w:p>
            <w:pPr>
              <w:jc w:val="right"/>
              <w:ind w:right="74"/>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6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140"/>
              <w:spacing w:after="0"/>
              <w:rPr>
                <w:sz w:val="20"/>
                <w:szCs w:val="20"/>
                <w:color w:val="auto"/>
              </w:rPr>
            </w:pPr>
            <w:r>
              <w:rPr>
                <w:rFonts w:ascii="Arial" w:cs="Arial" w:eastAsia="Arial" w:hAnsi="Arial"/>
                <w:sz w:val="18"/>
                <w:szCs w:val="18"/>
                <w:color w:val="auto"/>
              </w:rPr>
              <w:t>Property, net</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264,946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288,881</w:t>
            </w:r>
          </w:p>
        </w:tc>
      </w:tr>
      <w:tr>
        <w:trPr>
          <w:trHeight w:val="27"/>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60,586</w:t>
            </w:r>
          </w:p>
        </w:tc>
      </w:tr>
      <w:tr>
        <w:trPr>
          <w:trHeight w:val="297"/>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292,525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349,467</w:t>
            </w:r>
          </w:p>
        </w:tc>
      </w:tr>
      <w:tr>
        <w:trPr>
          <w:trHeight w:val="237"/>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6440" w:type="dxa"/>
            <w:vAlign w:val="bottom"/>
          </w:tcPr>
          <w:p>
            <w:pPr>
              <w:ind w:left="140"/>
              <w:spacing w:after="0"/>
              <w:rPr>
                <w:sz w:val="20"/>
                <w:szCs w:val="20"/>
                <w:color w:val="auto"/>
              </w:rPr>
            </w:pPr>
            <w:r>
              <w:rPr>
                <w:rFonts w:ascii="Arial" w:cs="Arial" w:eastAsia="Arial" w:hAnsi="Arial"/>
                <w:sz w:val="18"/>
                <w:szCs w:val="18"/>
                <w:color w:val="auto"/>
              </w:rPr>
              <w:t>Mortgage notes payable</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126,279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129,436</w:t>
            </w:r>
          </w:p>
        </w:tc>
      </w:tr>
      <w:tr>
        <w:trPr>
          <w:trHeight w:val="27"/>
        </w:trPr>
        <w:tc>
          <w:tcPr>
            <w:tcW w:w="6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72,705</w:t>
            </w:r>
          </w:p>
        </w:tc>
      </w:tr>
      <w:tr>
        <w:trPr>
          <w:trHeight w:val="257"/>
        </w:trPr>
        <w:tc>
          <w:tcPr>
            <w:tcW w:w="644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166,913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202,141</w:t>
            </w: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intercompany accounts and transactions have been eliminated in the consolidated financial statements.</w:t>
      </w:r>
    </w:p>
    <w:p>
      <w:pPr>
        <w:sectPr>
          <w:pgSz w:w="11900" w:h="16838" w:orient="portrait"/>
          <w:cols w:equalWidth="0" w:num="1">
            <w:col w:w="11320"/>
          </w:cols>
          <w:pgMar w:left="240" w:top="121" w:right="339" w:bottom="1440" w:gutter="0" w:footer="0" w:header="0"/>
        </w:sect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20"/>
          </w:cols>
          <w:pgMar w:left="240" w:top="121"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unaudited interim consolidated financial statements should be read in conjunction with the Company's audited consolidated financial statements and notes thereto included in the Company's Annual Report on Form 10-K for the year ended December 31, 2017.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2017 has been derived from the audited financial statements but does not include all disclosures required by GAAP.</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Shareholder Activism Costs:</w:t>
      </w:r>
    </w:p>
    <w:p>
      <w:pPr>
        <w:spacing w:after="0" w:line="27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During the three months ended June 30, 2018, the Company incurred $19,369 in costs associated with activities related to shareholder activism. These costs were primarily for legal and advisory services.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w:t>
      </w:r>
    </w:p>
    <w:p>
      <w:pPr>
        <w:spacing w:after="0" w:line="2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(ASC 606)," which outlines a comprehensive model for entities to use in accounting for revenue arising from contracts with customers. The standard states that “an entity recognizes revenue to depict the transfer of promised goods or services to customers in an amount that reflects the consideration to which the entity expects to be entitled in exchange for those goods or services.” While the standard specifically references contracts with customers, it may apply to certain other transactions such as the sale of real estate or equipment. The standard applies to the Company's recognition of management companies and other revenues. The Company's adoption of the standard on January 1, 2018 did not have an impact on the pattern of revenue recognition for management companies and other revenues.</w:t>
      </w:r>
    </w:p>
    <w:p>
      <w:pPr>
        <w:spacing w:after="0" w:line="243"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Additionally, under ASC 606, the Company changed its accounting for its joint venture in Chandler Freehold from a co-venture arrangement to a financing arrangement (See Note 11—Financing Arrangement). Upon adoption of the standard on January 1, 2018, the Company replaced its $31,150 distributions in excess of co-venture obligation (See Note 8—Deferred Charges and Other Assets, net) with a financing arrangement obligation of $393,709 on its consolidated balance sheets. This resulted in the recognition of a $424,859 increase in the Company’s accumulated deficit as a cumulative effect adjustment under the modified retrospective method of adoption.</w:t>
      </w:r>
    </w:p>
    <w:p>
      <w:pPr>
        <w:spacing w:after="0" w:line="242"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In February 2016, the FASB issued ASU 2016-02, which sets out principles for the recognition, measurement, presentation and disclosure of leases for both parties to a contract (i.e. lessees and lessors). The standard requires that lessors expense, on an as-incurred basis, certain initial direct costs that are not incremental in negotiating a lease. Under existing standards, certain of these costs are capitalizable and therefore this new standard may result in certain of these costs being expensed as incurred after adoption. Under the standard, lessees apply a dual approach, classifying leases as either finance or operating leases. A lessee is required to record a right-of-use asset and a lease liability for all leases with a term of greater than twelve months, regardless of their lease classification. The Company is a lessee on ground leases at certain properties, on certain office space leases and on certain other improvements and equipment. The standard is effective for the Company under a modified retrospective approach beginning January 1, 2019.</w:t>
      </w:r>
    </w:p>
    <w:p>
      <w:pPr>
        <w:spacing w:after="0" w:line="22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FASB has provided a transition package of practical expedients for implementation, which include (i) relief from re-assessing whether an expired or existing contract meets the definition of a lease, (ii) relief from re-assessing the classification of expired or existing leases at the adoption date and (iii) allowing previously capitalized initial direct leasing costs to continue to be amortized. In July 2018, the FASB issued ASU 2018-11, “Leases: Targeted improvements”, which provides companies with an additional transition option that would permit the application of the standard as of the adoption date rather than to all periods presented. The Company plans to utilize this transition option when it adopts the new standard on January 1, 2019 and also plans to elect to use the transition practical expedients package available to the Company under the new standard.</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256" w:right="25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(Continued)</w:t>
      </w:r>
    </w:p>
    <w:p>
      <w:pPr>
        <w:spacing w:after="0" w:line="27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Under ASU 2016-02, initial direct costs for both lessees and lessors would include only those costs that are incremental to the arrangement and would not have been incurred if the lease had not been obtained. As a result, the Company will no longer be able to capitalize internal leasing costs and instead will be required to expense these costs as incurred. The Company capitalized internal leasing costs of $5,141 and $5,376 during the three months ended September 30, 2018 and 2017, respectively, and $16,928 and $17,075 during the nine months ended September 30, 2018 and 2017, respectively.</w:t>
      </w:r>
    </w:p>
    <w:p>
      <w:pPr>
        <w:spacing w:after="0" w:line="20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For leases where the Company is the lessee, the adoption of the standard will significantly change the accounting on the Company's consolidated balance sheets since these leases will be required to be recorded on the Company’s consolidated balance sheets as an obligation of the Company. Existing leases executed before the January 1, 2019 adoption date will continue to be accounted for as operating leases and the new guidance will not have a material impact on the Company's recognition of lease expense.</w:t>
      </w:r>
    </w:p>
    <w:p>
      <w:pPr>
        <w:spacing w:after="0" w:line="24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On November 17, 2016, the FASB issued ASU 2016-18, “Restricted Cash,” which requires that the statement of cash flows explain the change during a reporting period in the total of cash, cash equivalents, and amounts generally described as restricted cash and restricted cash equivalents. This standard states that transfers between cash, cash equivalents, and restricted cash are not part of the entity’s operating, investing, and financing activities. Therefore, restricted cash should be included with cash and cash equivalents when reconciling the beginning-of-period and end-of-period total amounts shown on the statement of cash flows. On January 1, 2018, the Company adopted the standard and retrospectively applied the guidance of the standard to the prior period presented, which resulted in an increase of $785 in net cash provided by investing activities on its consolidated statements of cash flows for the nine months ended September 30, 2017.</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a reconciliation of the beginning of period and end of period cash, cash equivalents and restricted cash reported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 to the totals shown on its consolidated statements of cash flows:</w:t>
      </w:r>
    </w:p>
    <w:p>
      <w:pPr>
        <w:spacing w:after="0" w:line="148"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For the Nine Months Ended</w:t>
      </w:r>
    </w:p>
    <w:p>
      <w:pPr>
        <w:spacing w:after="0" w:line="4"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13335</wp:posOffset>
            </wp:positionV>
            <wp:extent cx="1294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87" w:lineRule="exact"/>
        <w:rPr>
          <w:sz w:val="20"/>
          <w:szCs w:val="20"/>
          <w:color w:val="auto"/>
        </w:rPr>
      </w:pPr>
    </w:p>
    <w:tbl>
      <w:tblPr>
        <w:tblLayout w:type="fixed"/>
        <w:tblInd w:w="1320" w:type="dxa"/>
        <w:tblCellMar>
          <w:top w:w="0" w:type="dxa"/>
          <w:left w:w="0" w:type="dxa"/>
          <w:bottom w:w="0" w:type="dxa"/>
          <w:right w:w="0" w:type="dxa"/>
        </w:tblCellMar>
      </w:tblPr>
      <w:tr>
        <w:trPr>
          <w:trHeight w:val="192"/>
        </w:trPr>
        <w:tc>
          <w:tcPr>
            <w:tcW w:w="6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91,038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94,046</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49,951</w:t>
            </w:r>
          </w:p>
        </w:tc>
      </w:tr>
      <w:tr>
        <w:trPr>
          <w:trHeight w:val="297"/>
        </w:trPr>
        <w:tc>
          <w:tcPr>
            <w:tcW w:w="67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Cash, cash equivalents and restricted cash</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143,105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143,997</w:t>
            </w: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 of period</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93,479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71,088</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50,736</w:t>
            </w:r>
          </w:p>
        </w:tc>
      </w:tr>
      <w:tr>
        <w:trPr>
          <w:trHeight w:val="257"/>
        </w:trPr>
        <w:tc>
          <w:tcPr>
            <w:tcW w:w="6760" w:type="dxa"/>
            <w:vAlign w:val="bottom"/>
          </w:tcPr>
          <w:p>
            <w:pPr>
              <w:ind w:left="160"/>
              <w:spacing w:after="0"/>
              <w:rPr>
                <w:sz w:val="20"/>
                <w:szCs w:val="20"/>
                <w:color w:val="auto"/>
              </w:rPr>
            </w:pPr>
            <w:r>
              <w:rPr>
                <w:rFonts w:ascii="Arial" w:cs="Arial" w:eastAsia="Arial" w:hAnsi="Arial"/>
                <w:sz w:val="18"/>
                <w:szCs w:val="18"/>
                <w:color w:val="auto"/>
              </w:rPr>
              <w:t>Cash, cash equivalents and restricted cash</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121,824</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January 5, 2017, the FASB issued ASU 2017-01, “Business Combinations,” which clarifies the definition of a business. The objective of the standard is to add further guidance that assists entities in evaluating whether a transaction will be accounted for as an acquisition of an asset or a business. The guidance requires an entity to evaluate if substantially all of the fair value of the gross assets acquired is concentrated in a single identifiable asset or a group of similar identifiable assets. If so, the set of transferred assets and activities are not a business and should be treated as an asset acquisition. The guidance also requires a business to include at least one substantive process and narrows the definition of outputs. The primary difference between business combinations and asset acquisitions is the recognition of transaction costs, which are expensed as period costs for business combinations and capitalized for asset acquisitions. The Company's adoption of this standard on January 1, 2018 did not have a significant impact on its consolidated financial statements.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56"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(Continued)</w:t>
      </w:r>
    </w:p>
    <w:p>
      <w:pPr>
        <w:spacing w:after="0" w:line="2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February 2017, the FASB issued ASU No. 2017-05, “Other Income-Gains and Losses from the Derecognition of Nonfinancial Assets (Subtopic 610-20): Clarifying the Scope of Asset Derecognition Guidance and Accounting for Partial Sales of Nonfinancial Assets,” which clarifies the scope of asset derecognition and adds further guidance for recognizing gains and losses from the transfer of nonfinancial assets in contracts with non-customers. The Company has concluded that property sales represent transactions with non-customers. Sales of property generally represent only one performance obligation and are recognized when an enforceable contract is in place, collectability is ensured and control is transferred to the buyer. As a result of the adoption of the standard on January 1, 2018, the Company will prospectively measure the noncontrolling interest retained in partial sale transactions of real estate at fair value.</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August 2017, the FASB issued ASU 2017-12, “Targeted Improvements to Accounting for Hedging Activities,” which aims to (i) improve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transparency and understandability of information conveyed to financial statement users about an entity’s risk management activities by better aligning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entity’s financial reporting for hedging relationships with those risk management activities and (ii) reduce the complexity of and simplify the application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hedge accounting by preparers. The standard is effective for the Company beginning January 1, 2019, with early adoption permitted. The Company does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expect the adoption of this standard to have a significant impact on its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reconciles the numerator and denominator used in the computation of EPS for the three and nine months ended September 30, 2018 and 2017 (shares in thousands):</w:t>
      </w:r>
    </w:p>
    <w:p>
      <w:pPr>
        <w:spacing w:after="0" w:line="23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1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4"/>
              </w:rPr>
              <w:t>For the Three Months Ended</w:t>
            </w:r>
          </w:p>
        </w:tc>
        <w:tc>
          <w:tcPr>
            <w:tcW w:w="1900" w:type="dxa"/>
            <w:vAlign w:val="bottom"/>
            <w:gridSpan w:val="5"/>
          </w:tcPr>
          <w:p>
            <w:pPr>
              <w:jc w:val="right"/>
              <w:spacing w:after="0"/>
              <w:rPr>
                <w:sz w:val="20"/>
                <w:szCs w:val="20"/>
                <w:color w:val="auto"/>
              </w:rPr>
            </w:pPr>
            <w:r>
              <w:rPr>
                <w:rFonts w:ascii="Arial" w:cs="Arial" w:eastAsia="Arial" w:hAnsi="Arial"/>
                <w:sz w:val="14"/>
                <w:szCs w:val="14"/>
                <w:b w:val="1"/>
                <w:bCs w:val="1"/>
                <w:color w:val="auto"/>
                <w:w w:val="98"/>
              </w:rPr>
              <w:t>For the Nine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76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1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81,241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19,228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55,726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95"/>
              </w:rPr>
              <w:t>123,089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9,710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Net income attributable to the Company</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74,028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17,498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48,271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5"/>
              </w:rPr>
              <w:t>113,379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Allocation of earnings to participating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w w:val="99"/>
              </w:rPr>
              <w:t>Numerator for basic and diluted EPS—net income attributable to</w:t>
            </w:r>
          </w:p>
        </w:tc>
        <w:tc>
          <w:tcPr>
            <w:tcW w:w="2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73,750</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17,305</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47,447</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w w:val="95"/>
              </w:rPr>
              <w:t>112,812</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stockholders</w:t>
            </w:r>
          </w:p>
        </w:tc>
        <w:tc>
          <w:tcPr>
            <w:tcW w:w="220" w:type="dxa"/>
            <w:vAlign w:val="bottom"/>
            <w:tcBorders>
              <w:bottom w:val="single" w:sz="8" w:color="auto"/>
            </w:tcBorders>
            <w:vMerge w:val="continue"/>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w w:val="94"/>
              </w:rPr>
              <w:t>Denominator for basic EPS—weighted average number of common</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shares outstanding</w:t>
            </w:r>
          </w:p>
        </w:tc>
        <w:tc>
          <w:tcPr>
            <w:tcW w:w="22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92"/>
              </w:rPr>
              <w:t>141,196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95"/>
              </w:rPr>
              <w:t>141,299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92"/>
              </w:rPr>
              <w:t>141,120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95"/>
              </w:rPr>
              <w:t>142,188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securities(1):</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Share and unit-based compensation plans</w:t>
            </w:r>
          </w:p>
        </w:tc>
        <w:tc>
          <w:tcPr>
            <w:tcW w:w="2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Denominator for diluted EPS—weighted average number of common</w:t>
            </w:r>
          </w:p>
        </w:tc>
        <w:tc>
          <w:tcPr>
            <w:tcW w:w="2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w w:val="92"/>
              </w:rPr>
              <w:t>141,196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5"/>
              </w:rPr>
              <w:t>141,310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w w:val="92"/>
              </w:rPr>
              <w:t>141,125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5"/>
              </w:rPr>
              <w:t>142,223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outstanding</w:t>
            </w: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EPS—net income attributable to common stockholders:</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51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0" w:type="dxa"/>
            <w:vAlign w:val="bottom"/>
            <w:tcBorders>
              <w:bottom w:val="single" w:sz="8" w:color="auto"/>
            </w:tcBorders>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20" w:right="40" w:hanging="412"/>
        <w:spacing w:after="0" w:line="286" w:lineRule="auto"/>
        <w:tabs>
          <w:tab w:leader="none" w:pos="420" w:val="left"/>
        </w:tabs>
        <w:numPr>
          <w:ilvl w:val="0"/>
          <w:numId w:val="1"/>
        </w:numPr>
        <w:rPr>
          <w:rFonts w:ascii="Arial" w:cs="Arial" w:eastAsia="Arial" w:hAnsi="Arial"/>
          <w:sz w:val="15"/>
          <w:szCs w:val="15"/>
          <w:color w:val="auto"/>
        </w:rPr>
      </w:pPr>
      <w:r>
        <w:rPr>
          <w:rFonts w:ascii="Arial" w:cs="Arial" w:eastAsia="Arial" w:hAnsi="Arial"/>
          <w:sz w:val="15"/>
          <w:szCs w:val="15"/>
          <w:color w:val="auto"/>
        </w:rPr>
        <w:t>Diluted EPS excludes 90,619 convertible preferred partnership units for the three and nine months ended September 30, 2018 and 2017, as their impact was antidilutive. Diluted EPS excludes 10,377,936 and 10,324,376 Operating Partnership units ("OP Units") for the three months ended September 30, 2018 and 2017, respectively, and 10,355,946 and 10,479,806 OP Units for the nine months ended September 30, 2018 and 2017, respectively, as their impact was antidilutive.</w:t>
      </w:r>
    </w:p>
    <w:p>
      <w:pPr>
        <w:sectPr>
          <w:pgSz w:w="11900" w:h="16838" w:orient="portrait"/>
          <w:cols w:equalWidth="0" w:num="1">
            <w:col w:w="11380"/>
          </w:cols>
          <w:pgMar w:left="240" w:top="256" w:right="279" w:bottom="1440" w:gutter="0" w:footer="0" w:header="0"/>
        </w:sect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40" w:top="256" w:right="27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made the following recent investments and dispositions in its unconsolidated joint ventures:</w:t>
      </w:r>
    </w:p>
    <w:p>
      <w:pPr>
        <w:spacing w:after="0" w:line="279" w:lineRule="exact"/>
        <w:rPr>
          <w:sz w:val="20"/>
          <w:szCs w:val="20"/>
          <w:color w:val="auto"/>
        </w:rPr>
      </w:pPr>
    </w:p>
    <w:p>
      <w:pPr>
        <w:ind w:right="280" w:firstLine="432"/>
        <w:spacing w:after="0" w:line="312" w:lineRule="auto"/>
        <w:rPr>
          <w:sz w:val="20"/>
          <w:szCs w:val="20"/>
          <w:color w:val="auto"/>
        </w:rPr>
      </w:pPr>
      <w:r>
        <w:rPr>
          <w:rFonts w:ascii="Arial" w:cs="Arial" w:eastAsia="Arial" w:hAnsi="Arial"/>
          <w:sz w:val="16"/>
          <w:szCs w:val="16"/>
          <w:color w:val="auto"/>
        </w:rPr>
        <w:t>On March 17, 2017, the Company's joint venture in Country Club Plaza sold an office building for $78,000, resulting in a gain on sale of assets of $4,580. The Company's pro rata share of the gain on the sale of assets of $2,290 was included in equity in income from unconsolidated joint ventures. The Company used its share of the proceeds to fund repurchases under the 2017 Stock Buyback Program (See Note 13—Stockholders' Equity).</w:t>
      </w:r>
    </w:p>
    <w:p>
      <w:pPr>
        <w:spacing w:after="0" w:line="20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On September 18, 2017, the Company's joint venture in Fashion District Philadelphia sold its ownership interest in an office building for $61,500, resulting in a gain on sale of assets of $13,426. The Company's pro rata share of the gain on the sale of assets of $6,713 was included in equity in income from unconsolidated joint ventures. The Company used its share of the proceeds to fund repurchases under the 2017 Stock Buyback Program (See Note 13— Stockholders' Equity).</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December 14, 2017, the Company’s joint venture in Westcor/Queen Creek LLC sold land for $30,491, resulting in a gain on sale of assets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$14,853. The Company’s share of the gain on sale was $5,436, which was included in equity in income of unconsolidated joint ventures. The Company 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portion of the proceeds to pay down its line of credit and for general corporate purposes.</w:t>
      </w:r>
    </w:p>
    <w:p>
      <w:pPr>
        <w:spacing w:after="0" w:line="265"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On February 16, 2018, the Company's joint venture in Fashion District Philadelphia sold its ownership interest in an office building for $41,800, resulting in a gain on sale of assets of $5,545. The Company's pro rata share of the gain on the sale of assets of $2,773 was included in equity in income from unconsolidated joint ventures. The Company used its share of the proceeds to pay down its line of credit and for general corporate purposes.</w:t>
      </w:r>
    </w:p>
    <w:p>
      <w:pPr>
        <w:spacing w:after="0" w:line="201"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On July 6, 2018, the Company’s joint venture in The Market at Estrella Falls, a 298,000 square foot community center in Goodyear, Arizona, sold the property for $49,100, resulting in a gain on sale of assets of $12,598. The Company's share of the gain of $2,996 was included in equity in income from unconsolidated joint ventures. The proceeds were used to pay off the $24,118 mortgage loan payable on the property, settle development obligations and for distributions to the partners. The Company used its share of the net proceeds for general corporate purposes.</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August 31, 2018, the Company completed the sale of a 75% ownership interest in Westside Pavilion, a 755,000 square foot regional shopping center in Los Angeles, California, for $142,500, resulting in a gain on sale of assets of $46,242. The sales price was funded by a cash payment of $36,903 and the assumption of a pro rata share of the mortgage note payable on the property of $105,597. From March 1, 2018 to the completion of the sale, the Company accounted for its interest in Westside Pavilion as a collaborative arrangement (See Note 14—Collaborative Arrangement). Since completion of the sale, the Company has accounted for its ownership interest in Westside Pavilion under the equity method of accounting.</w:t>
      </w:r>
    </w:p>
    <w:p>
      <w:pPr>
        <w:spacing w:after="0" w:line="227"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On September 6, 2018, the Company formed a 50/50 joint venture with Simon Property Group to develop Los Angeles Premium Outlets, a 400,000 square foot outlet center in Carson, California. The joint venture expects to complete the first phase of the development in fall 2021.</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56"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3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Combined and condensed balance sheets and statements of operations are presented below for all unconsolidated joint ventures.</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Combined and Condensed Balance Sheets of Unconsolidated Joint Ventures:</w:t>
      </w:r>
    </w:p>
    <w:p>
      <w:pPr>
        <w:spacing w:after="0" w:line="28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20" w:type="dxa"/>
            <w:vAlign w:val="bottom"/>
          </w:tcPr>
          <w:p>
            <w:pPr>
              <w:spacing w:after="0"/>
              <w:rPr>
                <w:sz w:val="16"/>
                <w:szCs w:val="16"/>
                <w:color w:val="auto"/>
              </w:rPr>
            </w:pPr>
          </w:p>
        </w:tc>
        <w:tc>
          <w:tcPr>
            <w:tcW w:w="53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r>
      <w:tr>
        <w:trPr>
          <w:trHeight w:val="250"/>
        </w:trPr>
        <w:tc>
          <w:tcPr>
            <w:tcW w:w="2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Assets(1):</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Arial" w:cs="Arial" w:eastAsia="Arial" w:hAnsi="Arial"/>
                <w:sz w:val="18"/>
                <w:szCs w:val="18"/>
                <w:color w:val="auto"/>
              </w:rPr>
              <w:t>Property,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9,212,359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9,052,105</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717,509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635,838</w:t>
            </w:r>
          </w:p>
        </w:tc>
      </w:tr>
      <w:tr>
        <w:trPr>
          <w:trHeight w:val="297"/>
        </w:trPr>
        <w:tc>
          <w:tcPr>
            <w:tcW w:w="20" w:type="dxa"/>
            <w:vAlign w:val="bottom"/>
          </w:tcPr>
          <w:p>
            <w:pPr>
              <w:spacing w:after="0"/>
              <w:rPr>
                <w:sz w:val="24"/>
                <w:szCs w:val="24"/>
                <w:color w:val="auto"/>
              </w:rPr>
            </w:pPr>
          </w:p>
        </w:tc>
        <w:tc>
          <w:tcPr>
            <w:tcW w:w="67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9,929,868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9,687,943</w:t>
            </w:r>
          </w:p>
        </w:tc>
      </w:tr>
      <w:tr>
        <w:trPr>
          <w:trHeight w:val="237"/>
        </w:trPr>
        <w:tc>
          <w:tcPr>
            <w:tcW w:w="20" w:type="dxa"/>
            <w:vAlign w:val="bottom"/>
          </w:tcPr>
          <w:p>
            <w:pPr>
              <w:spacing w:after="0"/>
              <w:rPr>
                <w:sz w:val="20"/>
                <w:szCs w:val="20"/>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 and partners' capital(1):</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Arial" w:cs="Arial" w:eastAsia="Arial" w:hAnsi="Arial"/>
                <w:sz w:val="18"/>
                <w:szCs w:val="18"/>
                <w:color w:val="auto"/>
              </w:rPr>
              <w:t>Mortgage and other notes payable(2)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6,064,931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5,296,594</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405,052</w:t>
            </w:r>
          </w:p>
        </w:tc>
      </w:tr>
      <w:tr>
        <w:trPr>
          <w:trHeight w:val="243"/>
        </w:trPr>
        <w:tc>
          <w:tcPr>
            <w:tcW w:w="2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Arial" w:cs="Arial" w:eastAsia="Arial" w:hAnsi="Arial"/>
                <w:sz w:val="18"/>
                <w:szCs w:val="18"/>
                <w:color w:val="auto"/>
              </w:rPr>
              <w:t>Company's capital</w:t>
            </w: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1,893,278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2,188,057</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Outside partners' capital</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1,581,448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1,798,240</w:t>
            </w:r>
          </w:p>
        </w:tc>
      </w:tr>
      <w:tr>
        <w:trPr>
          <w:trHeight w:val="297"/>
        </w:trPr>
        <w:tc>
          <w:tcPr>
            <w:tcW w:w="20" w:type="dxa"/>
            <w:vAlign w:val="bottom"/>
          </w:tcPr>
          <w:p>
            <w:pPr>
              <w:spacing w:after="0"/>
              <w:rPr>
                <w:sz w:val="24"/>
                <w:szCs w:val="24"/>
                <w:color w:val="auto"/>
              </w:rPr>
            </w:pPr>
          </w:p>
        </w:tc>
        <w:tc>
          <w:tcPr>
            <w:tcW w:w="67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9,929,868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9,687,943</w:t>
            </w:r>
          </w:p>
        </w:tc>
      </w:tr>
      <w:tr>
        <w:trPr>
          <w:trHeight w:val="237"/>
        </w:trPr>
        <w:tc>
          <w:tcPr>
            <w:tcW w:w="20" w:type="dxa"/>
            <w:vAlign w:val="bottom"/>
          </w:tcPr>
          <w:p>
            <w:pPr>
              <w:spacing w:after="0"/>
              <w:rPr>
                <w:sz w:val="20"/>
                <w:szCs w:val="20"/>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160"/>
              <w:spacing w:after="0"/>
              <w:rPr>
                <w:sz w:val="20"/>
                <w:szCs w:val="20"/>
                <w:color w:val="auto"/>
              </w:rPr>
            </w:pPr>
            <w:r>
              <w:rPr>
                <w:rFonts w:ascii="Arial" w:cs="Arial" w:eastAsia="Arial" w:hAnsi="Arial"/>
                <w:sz w:val="18"/>
                <w:szCs w:val="18"/>
                <w:color w:val="auto"/>
              </w:rPr>
              <w:t>Company's capital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1,893,278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2,188,057</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Basis adjustment(3)</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(543,403)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(562,021)</w:t>
            </w:r>
          </w:p>
        </w:tc>
      </w:tr>
      <w:tr>
        <w:trPr>
          <w:trHeight w:val="237"/>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1,349,875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1,626,036</w:t>
            </w:r>
          </w:p>
        </w:tc>
      </w:tr>
      <w:tr>
        <w:trPr>
          <w:trHeight w:val="67"/>
        </w:trPr>
        <w:tc>
          <w:tcPr>
            <w:tcW w:w="20" w:type="dxa"/>
            <w:vAlign w:val="bottom"/>
          </w:tcPr>
          <w:p>
            <w:pPr>
              <w:spacing w:after="0"/>
              <w:rPr>
                <w:sz w:val="5"/>
                <w:szCs w:val="5"/>
                <w:color w:val="auto"/>
              </w:rPr>
            </w:pPr>
          </w:p>
        </w:tc>
        <w:tc>
          <w:tcPr>
            <w:tcW w:w="5380" w:type="dxa"/>
            <w:vAlign w:val="bottom"/>
            <w:tcBorders>
              <w:bottom w:val="single" w:sz="8" w:color="CCEEFF"/>
            </w:tcBorders>
          </w:tcPr>
          <w:p>
            <w:pPr>
              <w:spacing w:after="0"/>
              <w:rPr>
                <w:sz w:val="5"/>
                <w:szCs w:val="5"/>
                <w:color w:val="auto"/>
              </w:rPr>
            </w:pPr>
          </w:p>
        </w:tc>
        <w:tc>
          <w:tcPr>
            <w:tcW w:w="13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0" w:type="dxa"/>
            <w:vAlign w:val="bottom"/>
          </w:tcPr>
          <w:p>
            <w:pPr>
              <w:spacing w:after="0"/>
              <w:rPr>
                <w:sz w:val="24"/>
                <w:szCs w:val="24"/>
                <w:color w:val="auto"/>
              </w:rPr>
            </w:pPr>
          </w:p>
        </w:tc>
        <w:tc>
          <w:tcPr>
            <w:tcW w:w="5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Assets—Investments in unconsolidated joint ventures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1,465,174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1,709,522</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Liabilities—Distributions in excess of investments in unconsolidated joint ventures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(83,486)</w:t>
            </w:r>
          </w:p>
        </w:tc>
      </w:tr>
      <w:tr>
        <w:trPr>
          <w:trHeight w:val="237"/>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1,349,875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1,626,036</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Borders>
              <w:bottom w:val="single" w:sz="8" w:color="auto"/>
            </w:tcBorders>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r>
    </w:tbl>
    <w:p>
      <w:pPr>
        <w:spacing w:after="0" w:line="242" w:lineRule="exact"/>
        <w:rPr>
          <w:sz w:val="20"/>
          <w:szCs w:val="20"/>
          <w:color w:val="auto"/>
        </w:rPr>
      </w:pPr>
    </w:p>
    <w:p>
      <w:pPr>
        <w:ind w:left="420" w:right="160" w:hanging="412"/>
        <w:spacing w:after="0" w:line="264"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These amounts include the assets of $3,047,915 and $3,106,105 of Pacific Premier Retail LLC (the "PPR Portfolio") as of September 30, 2018 and December 31, 2017, respectively, and liabilities of $1,856,185 and $1,872,227 of the PPR Portfolio as of September 30, 2018 and December 31, 2017, respectively.</w:t>
      </w:r>
    </w:p>
    <w:p>
      <w:pPr>
        <w:spacing w:after="0" w:line="235" w:lineRule="exact"/>
        <w:rPr>
          <w:rFonts w:ascii="Arial" w:cs="Arial" w:eastAsia="Arial" w:hAnsi="Arial"/>
          <w:sz w:val="18"/>
          <w:szCs w:val="18"/>
          <w:color w:val="auto"/>
        </w:rPr>
      </w:pPr>
    </w:p>
    <w:p>
      <w:pPr>
        <w:ind w:left="420" w:hanging="412"/>
        <w:spacing w:after="0" w:line="25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Included in mortgage and other notes payable are amounts due to an affiliate of Northwestern Mutual Life ("NML") of $699,437 and $482,332 as of September 30, 2018 and December 31, 2017, respectively. NML is considered a related party because it was a joint venture partner with the Company in Macerich Northwestern Associates—Broadway Plaza until October 12, 2018. Interest expense on these borrowings was $7,148 and $4,903 for the three months ended September 30, 2018 and 2017, respectively, and $19,264 and $12,992 for the nine months ended September 30, 2018 and 2017, respectively.</w:t>
      </w:r>
    </w:p>
    <w:p>
      <w:pPr>
        <w:spacing w:after="0" w:line="242" w:lineRule="exact"/>
        <w:rPr>
          <w:rFonts w:ascii="Arial" w:cs="Arial" w:eastAsia="Arial" w:hAnsi="Arial"/>
          <w:sz w:val="18"/>
          <w:szCs w:val="18"/>
          <w:color w:val="auto"/>
        </w:rPr>
      </w:pPr>
    </w:p>
    <w:p>
      <w:pPr>
        <w:ind w:left="420" w:right="80" w:hanging="412"/>
        <w:spacing w:after="0" w:line="259"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$1,160 and $4,227 for the three months ended September 30, 2018 and 2017, respectively, and $8,787 and $12,451 for the nine months ended September 30, 2018 and 2017, respectively.</w:t>
      </w:r>
    </w:p>
    <w:p>
      <w:pPr>
        <w:sectPr>
          <w:pgSz w:w="11900" w:h="16838" w:orient="portrait"/>
          <w:cols w:equalWidth="0" w:num="1">
            <w:col w:w="11400"/>
          </w:cols>
          <w:pgMar w:left="240" w:top="256" w:right="25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256" w:right="25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Combined and Condensed Statements of Operations of Unconsolidated Joint Ventures:</w:t>
      </w:r>
    </w:p>
    <w:p>
      <w:pPr>
        <w:spacing w:after="0" w:line="289"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PPR Portfolio</w:t>
            </w:r>
          </w:p>
        </w:tc>
        <w:tc>
          <w:tcPr>
            <w:tcW w:w="2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Joint</w:t>
            </w:r>
          </w:p>
        </w:tc>
        <w:tc>
          <w:tcPr>
            <w:tcW w:w="260" w:type="dxa"/>
            <w:vAlign w:val="bottom"/>
          </w:tcPr>
          <w:p>
            <w:pPr>
              <w:spacing w:after="0"/>
              <w:rPr>
                <w:sz w:val="12"/>
                <w:szCs w:val="12"/>
                <w:color w:val="auto"/>
              </w:rPr>
            </w:pPr>
          </w:p>
        </w:tc>
        <w:tc>
          <w:tcPr>
            <w:tcW w:w="9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Ventures</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Three Months Ended September 30, 2018</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Revenues:</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Minimum rents</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156,798</w:t>
            </w:r>
          </w:p>
        </w:tc>
        <w:tc>
          <w:tcPr>
            <w:tcW w:w="0" w:type="dxa"/>
            <w:vAlign w:val="bottom"/>
          </w:tcPr>
          <w:p>
            <w:pPr>
              <w:spacing w:after="0"/>
              <w:rPr>
                <w:sz w:val="1"/>
                <w:szCs w:val="1"/>
                <w:color w:val="auto"/>
              </w:rPr>
            </w:pPr>
          </w:p>
        </w:tc>
      </w:tr>
      <w:tr>
        <w:trPr>
          <w:trHeight w:val="243"/>
        </w:trPr>
        <w:tc>
          <w:tcPr>
            <w:tcW w:w="3640" w:type="dxa"/>
            <w:vAlign w:val="bottom"/>
          </w:tcPr>
          <w:p>
            <w:pPr>
              <w:ind w:left="140"/>
              <w:spacing w:after="0"/>
              <w:rPr>
                <w:sz w:val="20"/>
                <w:szCs w:val="20"/>
                <w:color w:val="auto"/>
              </w:rPr>
            </w:pPr>
            <w:r>
              <w:rPr>
                <w:rFonts w:ascii="Arial" w:cs="Arial" w:eastAsia="Arial" w:hAnsi="Arial"/>
                <w:sz w:val="18"/>
                <w:szCs w:val="18"/>
                <w:color w:val="auto"/>
              </w:rPr>
              <w:t>Percentage rents</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Tenant recoveries</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59,170</w:t>
            </w:r>
          </w:p>
        </w:tc>
        <w:tc>
          <w:tcPr>
            <w:tcW w:w="0" w:type="dxa"/>
            <w:vAlign w:val="bottom"/>
          </w:tcPr>
          <w:p>
            <w:pPr>
              <w:spacing w:after="0"/>
              <w:rPr>
                <w:sz w:val="1"/>
                <w:szCs w:val="1"/>
                <w:color w:val="auto"/>
              </w:rPr>
            </w:pPr>
          </w:p>
        </w:tc>
      </w:tr>
      <w:tr>
        <w:trPr>
          <w:trHeight w:val="243"/>
        </w:trPr>
        <w:tc>
          <w:tcPr>
            <w:tcW w:w="3640" w:type="dxa"/>
            <w:vAlign w:val="bottom"/>
          </w:tcPr>
          <w:p>
            <w:pPr>
              <w:ind w:left="14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235,643</w:t>
            </w: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Expenses:</w:t>
            </w:r>
          </w:p>
        </w:tc>
        <w:tc>
          <w:tcPr>
            <w:tcW w:w="6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Shopping center and operating expenses</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71,421</w:t>
            </w:r>
          </w:p>
        </w:tc>
        <w:tc>
          <w:tcPr>
            <w:tcW w:w="0" w:type="dxa"/>
            <w:vAlign w:val="bottom"/>
          </w:tcPr>
          <w:p>
            <w:pPr>
              <w:spacing w:after="0"/>
              <w:rPr>
                <w:sz w:val="1"/>
                <w:szCs w:val="1"/>
                <w:color w:val="auto"/>
              </w:rPr>
            </w:pPr>
          </w:p>
        </w:tc>
      </w:tr>
      <w:tr>
        <w:trPr>
          <w:trHeight w:val="243"/>
        </w:trPr>
        <w:tc>
          <w:tcPr>
            <w:tcW w:w="36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16,680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54,648</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85,905</w:t>
            </w:r>
          </w:p>
        </w:tc>
        <w:tc>
          <w:tcPr>
            <w:tcW w:w="0" w:type="dxa"/>
            <w:vAlign w:val="bottom"/>
          </w:tcPr>
          <w:p>
            <w:pPr>
              <w:spacing w:after="0"/>
              <w:rPr>
                <w:sz w:val="1"/>
                <w:szCs w:val="1"/>
                <w:color w:val="auto"/>
              </w:rPr>
            </w:pPr>
          </w:p>
        </w:tc>
      </w:tr>
      <w:tr>
        <w:trPr>
          <w:trHeight w:val="237"/>
        </w:trPr>
        <w:tc>
          <w:tcPr>
            <w:tcW w:w="36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6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51,155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160,819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211,974</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(Loss) gain on sale or write down of assets, net</w:t>
            </w: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12,575</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w:t>
            </w:r>
          </w:p>
        </w:tc>
        <w:tc>
          <w:tcPr>
            <w:tcW w:w="6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40,560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36,244</w:t>
            </w:r>
          </w:p>
        </w:tc>
        <w:tc>
          <w:tcPr>
            <w:tcW w:w="0" w:type="dxa"/>
            <w:vAlign w:val="bottom"/>
          </w:tcPr>
          <w:p>
            <w:pPr>
              <w:spacing w:after="0"/>
              <w:rPr>
                <w:sz w:val="1"/>
                <w:szCs w:val="1"/>
                <w:color w:val="auto"/>
              </w:rPr>
            </w:pPr>
          </w:p>
        </w:tc>
      </w:tr>
      <w:tr>
        <w:trPr>
          <w:trHeight w:val="25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Company's equity in net (loss)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18,789</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Three Months Ended September 30, 2017</w:t>
            </w: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4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40"/>
              <w:spacing w:after="0"/>
              <w:rPr>
                <w:sz w:val="20"/>
                <w:szCs w:val="20"/>
                <w:color w:val="auto"/>
              </w:rPr>
            </w:pPr>
            <w:r>
              <w:rPr>
                <w:rFonts w:ascii="Arial" w:cs="Arial" w:eastAsia="Arial" w:hAnsi="Arial"/>
                <w:sz w:val="18"/>
                <w:szCs w:val="18"/>
                <w:color w:val="auto"/>
              </w:rPr>
              <w:t>Minimum rents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35,052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123,663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158,715</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Percentage rents</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43"/>
        </w:trPr>
        <w:tc>
          <w:tcPr>
            <w:tcW w:w="3640" w:type="dxa"/>
            <w:vAlign w:val="bottom"/>
          </w:tcPr>
          <w:p>
            <w:pPr>
              <w:ind w:left="140"/>
              <w:spacing w:after="0"/>
              <w:rPr>
                <w:sz w:val="20"/>
                <w:szCs w:val="20"/>
                <w:color w:val="auto"/>
              </w:rPr>
            </w:pPr>
            <w:r>
              <w:rPr>
                <w:rFonts w:ascii="Arial" w:cs="Arial" w:eastAsia="Arial" w:hAnsi="Arial"/>
                <w:sz w:val="18"/>
                <w:szCs w:val="18"/>
                <w:color w:val="auto"/>
              </w:rPr>
              <w:t>Tenant recoveries</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12,015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47,841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59,856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14,042</w:t>
            </w:r>
          </w:p>
        </w:tc>
        <w:tc>
          <w:tcPr>
            <w:tcW w:w="0" w:type="dxa"/>
            <w:vAlign w:val="bottom"/>
          </w:tcPr>
          <w:p>
            <w:pPr>
              <w:spacing w:after="0"/>
              <w:rPr>
                <w:sz w:val="1"/>
                <w:szCs w:val="1"/>
                <w:color w:val="auto"/>
              </w:rPr>
            </w:pPr>
          </w:p>
        </w:tc>
      </w:tr>
      <w:tr>
        <w:trPr>
          <w:trHeight w:val="237"/>
        </w:trPr>
        <w:tc>
          <w:tcPr>
            <w:tcW w:w="36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6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187,786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237,469</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40"/>
              <w:spacing w:after="0"/>
              <w:rPr>
                <w:sz w:val="20"/>
                <w:szCs w:val="20"/>
                <w:color w:val="auto"/>
              </w:rPr>
            </w:pPr>
            <w:r>
              <w:rPr>
                <w:rFonts w:ascii="Arial" w:cs="Arial" w:eastAsia="Arial" w:hAnsi="Arial"/>
                <w:sz w:val="18"/>
                <w:szCs w:val="18"/>
                <w:color w:val="auto"/>
              </w:rPr>
              <w:t>Shopping center and operating expenses</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10,591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60,394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70,985</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50,104</w:t>
            </w:r>
          </w:p>
        </w:tc>
        <w:tc>
          <w:tcPr>
            <w:tcW w:w="0" w:type="dxa"/>
            <w:vAlign w:val="bottom"/>
          </w:tcPr>
          <w:p>
            <w:pPr>
              <w:spacing w:after="0"/>
              <w:rPr>
                <w:sz w:val="1"/>
                <w:szCs w:val="1"/>
                <w:color w:val="auto"/>
              </w:rPr>
            </w:pPr>
          </w:p>
        </w:tc>
      </w:tr>
      <w:tr>
        <w:trPr>
          <w:trHeight w:val="243"/>
        </w:trPr>
        <w:tc>
          <w:tcPr>
            <w:tcW w:w="36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25,449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62,958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88,407</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209,496</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Gain on sale or write down of assets, net</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13,426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640" w:type="dxa"/>
            <w:vAlign w:val="bottom"/>
          </w:tcPr>
          <w:p>
            <w:pPr>
              <w:ind w:left="20"/>
              <w:spacing w:after="0"/>
              <w:rPr>
                <w:sz w:val="20"/>
                <w:szCs w:val="20"/>
                <w:color w:val="auto"/>
              </w:rPr>
            </w:pPr>
            <w:r>
              <w:rPr>
                <w:rFonts w:ascii="Arial" w:cs="Arial" w:eastAsia="Arial" w:hAnsi="Arial"/>
                <w:sz w:val="18"/>
                <w:szCs w:val="18"/>
                <w:color w:val="auto"/>
              </w:rPr>
              <w:t>Company's equity in net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23,373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23,993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00" w:type="dxa"/>
            <w:vAlign w:val="bottom"/>
            <w:vMerge w:val="restart"/>
          </w:tcPr>
          <w:p>
            <w:pPr>
              <w:jc w:val="right"/>
              <w:ind w:right="11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64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56" w:right="1440"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39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PPR Portfolio</w:t>
            </w:r>
          </w:p>
        </w:tc>
        <w:tc>
          <w:tcPr>
            <w:tcW w:w="2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Joint</w:t>
            </w:r>
          </w:p>
        </w:tc>
        <w:tc>
          <w:tcPr>
            <w:tcW w:w="260" w:type="dxa"/>
            <w:vAlign w:val="bottom"/>
          </w:tcPr>
          <w:p>
            <w:pPr>
              <w:spacing w:after="0"/>
              <w:rPr>
                <w:sz w:val="12"/>
                <w:szCs w:val="12"/>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Ventures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Nine Months Ended September 30, 2018</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Minimum rents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98,619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375,447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474,066</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Percentage rents</w:t>
            </w:r>
          </w:p>
        </w:tc>
        <w:tc>
          <w:tcPr>
            <w:tcW w:w="1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1,713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9,377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Tenant recoveries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34,684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177,386</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3,252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42,397</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138,268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564,958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703,226</w:t>
            </w:r>
          </w:p>
        </w:tc>
        <w:tc>
          <w:tcPr>
            <w:tcW w:w="0" w:type="dxa"/>
            <w:vAlign w:val="bottom"/>
          </w:tcPr>
          <w:p>
            <w:pPr>
              <w:spacing w:after="0"/>
              <w:rPr>
                <w:sz w:val="1"/>
                <w:szCs w:val="1"/>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Shopping center and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29,091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212,265</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50,176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108,356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158,532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73,137</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257,845</w:t>
            </w:r>
          </w:p>
        </w:tc>
        <w:tc>
          <w:tcPr>
            <w:tcW w:w="0" w:type="dxa"/>
            <w:vAlign w:val="bottom"/>
          </w:tcPr>
          <w:p>
            <w:pPr>
              <w:spacing w:after="0"/>
              <w:rPr>
                <w:sz w:val="1"/>
                <w:szCs w:val="1"/>
                <w:color w:val="auto"/>
              </w:rPr>
            </w:pPr>
          </w:p>
        </w:tc>
      </w:tr>
      <w:tr>
        <w:trPr>
          <w:trHeight w:val="237"/>
        </w:trPr>
        <w:tc>
          <w:tcPr>
            <w:tcW w:w="42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152,404</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476,238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628,642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on sale or write down of assets, net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14,104</w:t>
            </w:r>
          </w:p>
        </w:tc>
        <w:tc>
          <w:tcPr>
            <w:tcW w:w="0" w:type="dxa"/>
            <w:vAlign w:val="bottom"/>
          </w:tcPr>
          <w:p>
            <w:pPr>
              <w:spacing w:after="0"/>
              <w:rPr>
                <w:sz w:val="1"/>
                <w:szCs w:val="1"/>
                <w:color w:val="auto"/>
              </w:rPr>
            </w:pPr>
          </w:p>
        </w:tc>
      </w:tr>
      <w:tr>
        <w:trPr>
          <w:trHeight w:val="297"/>
        </w:trPr>
        <w:tc>
          <w:tcPr>
            <w:tcW w:w="4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(14,183)</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102,871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88,688</w:t>
            </w:r>
          </w:p>
        </w:tc>
        <w:tc>
          <w:tcPr>
            <w:tcW w:w="0" w:type="dxa"/>
            <w:vAlign w:val="bottom"/>
          </w:tcPr>
          <w:p>
            <w:pPr>
              <w:spacing w:after="0"/>
              <w:rPr>
                <w:sz w:val="1"/>
                <w:szCs w:val="1"/>
                <w:color w:val="auto"/>
              </w:rPr>
            </w:pPr>
          </w:p>
        </w:tc>
      </w:tr>
      <w:tr>
        <w:trPr>
          <w:trHeight w:val="251"/>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Company's equity in net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51,330</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Nine Months Ended September 30, 2017</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Minimum rents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100,633</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373,931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474,564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Percentage rents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Tenant recoveries</w:t>
            </w:r>
          </w:p>
        </w:tc>
        <w:tc>
          <w:tcPr>
            <w:tcW w:w="1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34,827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141,875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176,702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4,141</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40,998</w:t>
            </w:r>
          </w:p>
        </w:tc>
        <w:tc>
          <w:tcPr>
            <w:tcW w:w="0" w:type="dxa"/>
            <w:vAlign w:val="bottom"/>
          </w:tcPr>
          <w:p>
            <w:pPr>
              <w:spacing w:after="0"/>
              <w:rPr>
                <w:sz w:val="1"/>
                <w:szCs w:val="1"/>
                <w:color w:val="auto"/>
              </w:rPr>
            </w:pPr>
          </w:p>
        </w:tc>
      </w:tr>
      <w:tr>
        <w:trPr>
          <w:trHeight w:val="237"/>
        </w:trPr>
        <w:tc>
          <w:tcPr>
            <w:tcW w:w="42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141,455</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560,480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701,935</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Shopping center and operating expenses</w:t>
            </w:r>
          </w:p>
        </w:tc>
        <w:tc>
          <w:tcPr>
            <w:tcW w:w="1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30,062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181,475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211,537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50,291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148,760</w:t>
            </w:r>
          </w:p>
        </w:tc>
        <w:tc>
          <w:tcPr>
            <w:tcW w:w="0" w:type="dxa"/>
            <w:vAlign w:val="bottom"/>
          </w:tcPr>
          <w:p>
            <w:pPr>
              <w:spacing w:after="0"/>
              <w:rPr>
                <w:sz w:val="1"/>
                <w:szCs w:val="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76,527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187,927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264,454</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156,880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467,871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624,751</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(Loss) gain on sale or write down of assets, net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17,970</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95,154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00" w:type="dxa"/>
            <w:vAlign w:val="bottom"/>
          </w:tcPr>
          <w:p>
            <w:pPr>
              <w:ind w:left="40"/>
              <w:spacing w:after="0"/>
              <w:rPr>
                <w:sz w:val="20"/>
                <w:szCs w:val="20"/>
                <w:color w:val="auto"/>
              </w:rPr>
            </w:pPr>
            <w:r>
              <w:rPr>
                <w:rFonts w:ascii="Arial" w:cs="Arial" w:eastAsia="Arial" w:hAnsi="Arial"/>
                <w:sz w:val="18"/>
                <w:szCs w:val="18"/>
                <w:color w:val="auto"/>
              </w:rPr>
              <w:t>Company's equity in net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58,148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accounting policies used by the unconsolidated joint ventures are similar to those used by the Company.</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256" w:right="1440"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28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uses interest rate cap and interest rate swap agreements to manage the interest rate risk of its floating rate debt. The Company recorded other comprehensive income related to the marking-to-market of derivative instruments of $175 and $184 for the three and nine months ended September 30, 2018. There were no derivatives outstanding during the three and nine months ended September 30, 2017.</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derivatives were outstanding at September 30, 2018:</w:t>
      </w:r>
    </w:p>
    <w:p>
      <w:pPr>
        <w:spacing w:after="0" w:line="200" w:lineRule="exact"/>
        <w:rPr>
          <w:sz w:val="20"/>
          <w:szCs w:val="20"/>
          <w:color w:val="auto"/>
        </w:rPr>
      </w:pPr>
    </w:p>
    <w:p>
      <w:pPr>
        <w:spacing w:after="0" w:line="259" w:lineRule="exact"/>
        <w:rPr>
          <w:sz w:val="20"/>
          <w:szCs w:val="20"/>
          <w:color w:val="auto"/>
        </w:rPr>
      </w:pPr>
    </w:p>
    <w:tbl>
      <w:tblPr>
        <w:tblLayout w:type="fixed"/>
        <w:tblInd w:w="1560" w:type="dxa"/>
        <w:tblCellMar>
          <w:top w:w="0" w:type="dxa"/>
          <w:left w:w="0" w:type="dxa"/>
          <w:bottom w:w="0" w:type="dxa"/>
          <w:right w:w="0" w:type="dxa"/>
        </w:tblCellMar>
      </w:tblPr>
      <w:tr>
        <w:trPr>
          <w:trHeight w:val="206"/>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Property</w:t>
            </w:r>
          </w:p>
        </w:tc>
        <w:tc>
          <w:tcPr>
            <w:tcW w:w="1500" w:type="dxa"/>
            <w:vAlign w:val="bottom"/>
            <w:gridSpan w:val="3"/>
          </w:tcPr>
          <w:p>
            <w:pPr>
              <w:ind w:left="100"/>
              <w:spacing w:after="0"/>
              <w:rPr>
                <w:sz w:val="20"/>
                <w:szCs w:val="20"/>
                <w:color w:val="auto"/>
              </w:rPr>
            </w:pPr>
            <w:r>
              <w:rPr>
                <w:rFonts w:ascii="Arial" w:cs="Arial" w:eastAsia="Arial" w:hAnsi="Arial"/>
                <w:sz w:val="16"/>
                <w:szCs w:val="16"/>
                <w:color w:val="auto"/>
              </w:rPr>
              <w:t>Notional Amount</w:t>
            </w: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Product</w:t>
            </w:r>
          </w:p>
        </w:tc>
        <w:tc>
          <w:tcPr>
            <w:tcW w:w="1220" w:type="dxa"/>
            <w:vAlign w:val="bottom"/>
            <w:gridSpan w:val="2"/>
          </w:tcPr>
          <w:p>
            <w:pPr>
              <w:ind w:left="100"/>
              <w:spacing w:after="0"/>
              <w:rPr>
                <w:sz w:val="20"/>
                <w:szCs w:val="20"/>
                <w:color w:val="auto"/>
              </w:rPr>
            </w:pPr>
            <w:r>
              <w:rPr>
                <w:rFonts w:ascii="Arial" w:cs="Arial" w:eastAsia="Arial" w:hAnsi="Arial"/>
                <w:sz w:val="16"/>
                <w:szCs w:val="16"/>
                <w:color w:val="auto"/>
              </w:rPr>
              <w:t>LIBOR Rate</w:t>
            </w:r>
          </w:p>
        </w:tc>
        <w:tc>
          <w:tcPr>
            <w:tcW w:w="1060" w:type="dxa"/>
            <w:vAlign w:val="bottom"/>
            <w:gridSpan w:val="2"/>
          </w:tcPr>
          <w:p>
            <w:pPr>
              <w:ind w:left="160"/>
              <w:spacing w:after="0"/>
              <w:rPr>
                <w:sz w:val="20"/>
                <w:szCs w:val="20"/>
                <w:color w:val="auto"/>
              </w:rPr>
            </w:pPr>
            <w:r>
              <w:rPr>
                <w:rFonts w:ascii="Arial" w:cs="Arial" w:eastAsia="Arial" w:hAnsi="Arial"/>
                <w:sz w:val="16"/>
                <w:szCs w:val="16"/>
                <w:color w:val="auto"/>
              </w:rPr>
              <w:t>Maturity</w:t>
            </w:r>
          </w:p>
        </w:tc>
        <w:tc>
          <w:tcPr>
            <w:tcW w:w="860" w:type="dxa"/>
            <w:vAlign w:val="bottom"/>
            <w:gridSpan w:val="2"/>
          </w:tcPr>
          <w:p>
            <w:pPr>
              <w:jc w:val="right"/>
              <w:ind w:right="19"/>
              <w:spacing w:after="0"/>
              <w:rPr>
                <w:sz w:val="20"/>
                <w:szCs w:val="20"/>
                <w:color w:val="auto"/>
              </w:rPr>
            </w:pPr>
            <w:r>
              <w:rPr>
                <w:rFonts w:ascii="Arial" w:cs="Arial" w:eastAsia="Arial" w:hAnsi="Arial"/>
                <w:sz w:val="16"/>
                <w:szCs w:val="16"/>
                <w:color w:val="auto"/>
              </w:rPr>
              <w:t>Fair Value</w:t>
            </w:r>
          </w:p>
        </w:tc>
      </w:tr>
      <w:tr>
        <w:trPr>
          <w:trHeight w:val="33"/>
        </w:trPr>
        <w:tc>
          <w:tcPr>
            <w:tcW w:w="2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Santa Monica Place</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Cap</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12/9/2019</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The Macerich Partnership, L.P.</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400,000</w:t>
            </w:r>
          </w:p>
        </w:tc>
        <w:tc>
          <w:tcPr>
            <w:tcW w:w="16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color w:val="auto"/>
              </w:rPr>
              <w:t>Swap</w:t>
            </w:r>
          </w:p>
        </w:tc>
        <w:tc>
          <w:tcPr>
            <w:tcW w:w="1060" w:type="dxa"/>
            <w:vAlign w:val="bottom"/>
          </w:tcPr>
          <w:p>
            <w:pPr>
              <w:jc w:val="right"/>
              <w:spacing w:after="0"/>
              <w:rPr>
                <w:sz w:val="20"/>
                <w:szCs w:val="20"/>
                <w:color w:val="auto"/>
              </w:rPr>
            </w:pPr>
            <w:r>
              <w:rPr>
                <w:rFonts w:ascii="Arial" w:cs="Arial" w:eastAsia="Arial" w:hAnsi="Arial"/>
                <w:sz w:val="16"/>
                <w:szCs w:val="16"/>
                <w:color w:val="auto"/>
              </w:rPr>
              <w:t>2.85%</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9/14/2021</w:t>
            </w:r>
          </w:p>
        </w:tc>
        <w:tc>
          <w:tcPr>
            <w:tcW w:w="16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173</w:t>
            </w:r>
          </w:p>
        </w:tc>
      </w:tr>
    </w:tbl>
    <w:p>
      <w:pPr>
        <w:spacing w:after="0" w:line="289" w:lineRule="exact"/>
        <w:rPr>
          <w:sz w:val="20"/>
          <w:szCs w:val="20"/>
          <w:color w:val="auto"/>
        </w:rPr>
      </w:pPr>
    </w:p>
    <w:p>
      <w:pPr>
        <w:ind w:right="60" w:firstLine="789"/>
        <w:spacing w:after="0" w:line="297" w:lineRule="auto"/>
        <w:rPr>
          <w:sz w:val="20"/>
          <w:szCs w:val="20"/>
          <w:color w:val="auto"/>
        </w:rPr>
      </w:pPr>
      <w:r>
        <w:rPr>
          <w:rFonts w:ascii="Arial" w:cs="Arial" w:eastAsia="Arial" w:hAnsi="Arial"/>
          <w:sz w:val="16"/>
          <w:szCs w:val="16"/>
          <w:color w:val="auto"/>
        </w:rPr>
        <w:t>The above derivative instruments were designated as hedging instruments with an aggregate fair value (Level 2 measurement) and were included in deferred charges and other assets, net. The fair value of the Company's interest rate derivatives was determined using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212"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 As a result, the Company determined that its interest rate cap and swap valuations in their entirety are classified in Level 2 of the fair value hierarchy.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net consists of the following:</w:t>
      </w:r>
    </w:p>
    <w:p>
      <w:pPr>
        <w:spacing w:after="0" w:line="28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5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1,521,252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1,567,152</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6,308,628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6,385,035</w:t>
            </w: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659,402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620,352</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Equipment and furnishings</w:t>
            </w:r>
          </w:p>
        </w:tc>
        <w:tc>
          <w:tcPr>
            <w:tcW w:w="1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186,377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187,998</w:t>
            </w: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176,976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366,996</w:t>
            </w:r>
          </w:p>
        </w:tc>
      </w:tr>
      <w:tr>
        <w:trPr>
          <w:trHeight w:val="237"/>
        </w:trPr>
        <w:tc>
          <w:tcPr>
            <w:tcW w:w="54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8,852,635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9,127,533</w:t>
            </w: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(2,031,597)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(2,018,303)</w:t>
            </w:r>
          </w:p>
        </w:tc>
      </w:tr>
      <w:tr>
        <w:trPr>
          <w:trHeight w:val="237"/>
        </w:trPr>
        <w:tc>
          <w:tcPr>
            <w:tcW w:w="54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6,821,038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7,109,230</w:t>
            </w:r>
          </w:p>
        </w:tc>
      </w:tr>
      <w:tr>
        <w:trPr>
          <w:trHeight w:val="27"/>
        </w:trPr>
        <w:tc>
          <w:tcPr>
            <w:tcW w:w="5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Depreciation expense was $69,237 and $69,343 for the three months ended September 30, 2018 and 2017, respectively, and $204,031 and $207,663 for the nine months ended September 30, 2018 and 2017, respectively.</w:t>
      </w:r>
    </w:p>
    <w:p>
      <w:pPr>
        <w:spacing w:after="0" w:line="22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gain (loss) on sale or write down of assets, net was $46,516 and $(11,854) for the three months ended September 30, 2018 and 2017, respectively, and $(514) and $37,234 for the nine months ended September 30, 2018 and 2017, respectively.</w:t>
      </w:r>
    </w:p>
    <w:p>
      <w:pPr>
        <w:sectPr>
          <w:pgSz w:w="11900" w:h="16838" w:orient="portrait"/>
          <w:cols w:equalWidth="0" w:num="1">
            <w:col w:w="11360"/>
          </w:cols>
          <w:pgMar w:left="240" w:top="256" w:right="299" w:bottom="1440" w:gutter="0" w:footer="0" w:header="0"/>
        </w:sect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60"/>
          </w:cols>
          <w:pgMar w:left="240" w:top="256" w:right="29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gain (loss) on sale or write down of assets, net for the three and nine months ended September 30, 2018 includes a gain of $46,242 on the sale of a 75% ownership interest in Westside Pavilion (See Note 4—Investments in Unconsolidated Joint Ventures). The gain (loss) on sale or write down of assets, net for the nine months ended September 30, 2018 also includes a loss of $311 on the sale of Promenade at Casa Grande (See Note 15—Dispositions). The gain (loss) on sale or write down of assets, net for the nine months ended September 30, 2017 includes a gain of $59,698 on the sale of Cascade Mall and Northgate Mall (See Note 15—Dispositions) offset in part by a loss of $10,138 on the write down of an investment in non-real estate assets.</w:t>
      </w:r>
    </w:p>
    <w:p>
      <w:pPr>
        <w:spacing w:after="0" w:line="21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gain (loss) on sale or write down of assets, net for the nine months ended September 30, 2018 includes impairment losses of $36,338 on SouthPark Mall, $7,494 on two freestanding stores, $1,695 on Southridge Center and $1,043 on Promenade at Casa Grande. The gain (loss) on sale or write down of assets, net for the three and nine months ended September 30, 2017 includes an impairment loss of $12,036 on Southridge Center. The impairment losses were due to the reduction of the estimated holding period of the properties.</w:t>
      </w:r>
    </w:p>
    <w:p>
      <w:pPr>
        <w:spacing w:after="0" w:line="10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 summarizes certain of the Company's assets that were measured on a nonrecurring basis as a result of impairment losses recorded for the nine months ended September 30, 2018 as described above:</w:t>
      </w:r>
    </w:p>
    <w:p>
      <w:pPr>
        <w:spacing w:after="0" w:line="247"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Active Markets for</w:t>
            </w:r>
          </w:p>
        </w:tc>
        <w:tc>
          <w:tcPr>
            <w:tcW w:w="16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Significant Other</w:t>
            </w:r>
          </w:p>
        </w:tc>
        <w:tc>
          <w:tcPr>
            <w:tcW w:w="30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Significant</w:t>
            </w:r>
          </w:p>
        </w:tc>
      </w:tr>
      <w:tr>
        <w:trPr>
          <w:trHeight w:val="270"/>
        </w:trPr>
        <w:tc>
          <w:tcPr>
            <w:tcW w:w="3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Total Fair Value</w:t>
            </w:r>
          </w:p>
        </w:tc>
        <w:tc>
          <w:tcPr>
            <w:tcW w:w="140" w:type="dxa"/>
            <w:vAlign w:val="bottom"/>
          </w:tcPr>
          <w:p>
            <w:pPr>
              <w:spacing w:after="0"/>
              <w:rPr>
                <w:sz w:val="23"/>
                <w:szCs w:val="23"/>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Identical Assets</w:t>
            </w: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Unobservable Inputs</w:t>
            </w: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 Inputs</w:t>
            </w:r>
          </w:p>
        </w:tc>
      </w:tr>
      <w:tr>
        <w:trPr>
          <w:trHeight w:val="234"/>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Measurement</w:t>
            </w:r>
          </w:p>
        </w:tc>
        <w:tc>
          <w:tcPr>
            <w:tcW w:w="14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20"/>
                <w:szCs w:val="20"/>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(Level 2)</w:t>
            </w:r>
          </w:p>
        </w:tc>
        <w:tc>
          <w:tcPr>
            <w:tcW w:w="300" w:type="dxa"/>
            <w:vAlign w:val="bottom"/>
          </w:tcPr>
          <w:p>
            <w:pPr>
              <w:spacing w:after="0"/>
              <w:rPr>
                <w:sz w:val="20"/>
                <w:szCs w:val="20"/>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3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September 30, 2018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72,700</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72,700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relating to the impairments were based on sales contracts.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Tenant and Other Receivables, net:</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Included in tenant and other receivables, net is an allowance for doubtful accounts of $3,139 and $2,786 at September 30, 2018 and December 31, 2017, respectively. Also included in tenant and other receivables, net are accrued percentage rents of $2,439 and $8,711 at September 30, 2018 and December 31, 2017, respectively, and a deferred rent receivable due to straight-line rent adjustments of $69,664 and $61,859 at September 30, 2018 and December 31, 2017, respectively.</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56"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Charges and Other Assets, net: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charges and other assets, net consist of the following:</w:t>
      </w:r>
    </w:p>
    <w:p>
      <w:pPr>
        <w:spacing w:after="0" w:line="285"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320" w:type="dxa"/>
            <w:vAlign w:val="bottom"/>
          </w:tcPr>
          <w:p>
            <w:pPr>
              <w:spacing w:after="0"/>
              <w:rPr>
                <w:sz w:val="16"/>
                <w:szCs w:val="16"/>
                <w:color w:val="auto"/>
              </w:rPr>
            </w:pPr>
          </w:p>
        </w:tc>
        <w:tc>
          <w:tcPr>
            <w:tcW w:w="50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250"/>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223,811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232,819</w:t>
            </w: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In-place lease values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95,807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108,432</w:t>
            </w:r>
          </w:p>
        </w:tc>
      </w:tr>
      <w:tr>
        <w:trPr>
          <w:trHeight w:val="243"/>
        </w:trPr>
        <w:tc>
          <w:tcPr>
            <w:tcW w:w="320" w:type="dxa"/>
            <w:vAlign w:val="bottom"/>
          </w:tcPr>
          <w:p>
            <w:pPr>
              <w:spacing w:after="0"/>
              <w:rPr>
                <w:sz w:val="21"/>
                <w:szCs w:val="21"/>
                <w:color w:val="auto"/>
              </w:rPr>
            </w:pPr>
          </w:p>
        </w:tc>
        <w:tc>
          <w:tcPr>
            <w:tcW w:w="5460" w:type="dxa"/>
            <w:vAlign w:val="bottom"/>
            <w:gridSpan w:val="2"/>
          </w:tcPr>
          <w:p>
            <w:pPr>
              <w:ind w:left="160"/>
              <w:spacing w:after="0"/>
              <w:rPr>
                <w:sz w:val="20"/>
                <w:szCs w:val="20"/>
                <w:color w:val="auto"/>
              </w:rPr>
            </w:pPr>
            <w:r>
              <w:rPr>
                <w:rFonts w:ascii="Arial" w:cs="Arial" w:eastAsia="Arial" w:hAnsi="Arial"/>
                <w:sz w:val="18"/>
                <w:szCs w:val="18"/>
                <w:color w:val="auto"/>
              </w:rPr>
              <w:t>Leasing commissions and legal costs</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24,140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25,958</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Above-market leases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164,040</w:t>
            </w: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30,366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29,006</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plan assets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52,221</w:t>
            </w: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Distributions in excess of co-venture obligation(1)</w:t>
            </w:r>
          </w:p>
        </w:tc>
        <w:tc>
          <w:tcPr>
            <w:tcW w:w="1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31,150</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20" w:type="dxa"/>
            <w:vAlign w:val="bottom"/>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66,990</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634,811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710,616</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20" w:type="dxa"/>
            <w:vAlign w:val="bottom"/>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amortization(2)</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(261,426)</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387,449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449,190</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0"/>
        </w:trPr>
        <w:tc>
          <w:tcPr>
            <w:tcW w:w="320" w:type="dxa"/>
            <w:vAlign w:val="bottom"/>
            <w:tcBorders>
              <w:bottom w:val="single" w:sz="8" w:color="auto"/>
            </w:tcBorders>
          </w:tcPr>
          <w:p>
            <w:pPr>
              <w:spacing w:after="0"/>
              <w:rPr>
                <w:sz w:val="14"/>
                <w:szCs w:val="14"/>
                <w:color w:val="auto"/>
              </w:rPr>
            </w:pPr>
          </w:p>
        </w:tc>
        <w:tc>
          <w:tcPr>
            <w:tcW w:w="50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166"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 Note 11—Financing Arrangement.</w:t>
      </w:r>
    </w:p>
    <w:p>
      <w:pPr>
        <w:spacing w:after="0" w:line="194" w:lineRule="exact"/>
        <w:rPr>
          <w:rFonts w:ascii="Arial" w:cs="Arial" w:eastAsia="Arial" w:hAnsi="Arial"/>
          <w:sz w:val="16"/>
          <w:szCs w:val="16"/>
          <w:color w:val="auto"/>
        </w:rPr>
      </w:pPr>
    </w:p>
    <w:p>
      <w:pPr>
        <w:ind w:left="980" w:hanging="324"/>
        <w:spacing w:after="0" w:line="315" w:lineRule="auto"/>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Accumulated amortization includes $70,627 and $74,507 relating to in-place lease values, leasing commissions and legal costs at September 30, 2018 and December 31, 2017, respectively. Amortization expense of in-place lease values, leasing commissions and legal costs was $3,114 and $4,206 for the three months ended September 30, 2018 and 2017, respectively, and $10,504 and $15,755 for the nine months ended September 30, 2018 and 2017, respectively.</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allocated values of above-market leases and below-market leases consist of the following:</w:t>
      </w:r>
    </w:p>
    <w:p>
      <w:pPr>
        <w:spacing w:after="0" w:line="285"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320" w:type="dxa"/>
            <w:vAlign w:val="bottom"/>
          </w:tcPr>
          <w:p>
            <w:pPr>
              <w:spacing w:after="0"/>
              <w:rPr>
                <w:sz w:val="16"/>
                <w:szCs w:val="16"/>
                <w:color w:val="auto"/>
              </w:rPr>
            </w:pPr>
          </w:p>
        </w:tc>
        <w:tc>
          <w:tcPr>
            <w:tcW w:w="50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50"/>
        </w:trPr>
        <w:tc>
          <w:tcPr>
            <w:tcW w:w="3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Above-Market Leases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Original allocated value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149,283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164,040</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20" w:type="dxa"/>
            <w:vAlign w:val="bottom"/>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(60,210)</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94,595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103,830</w:t>
            </w:r>
          </w:p>
        </w:tc>
      </w:tr>
      <w:tr>
        <w:trPr>
          <w:trHeight w:val="67"/>
        </w:trPr>
        <w:tc>
          <w:tcPr>
            <w:tcW w:w="320" w:type="dxa"/>
            <w:vAlign w:val="bottom"/>
          </w:tcPr>
          <w:p>
            <w:pPr>
              <w:spacing w:after="0"/>
              <w:rPr>
                <w:sz w:val="5"/>
                <w:szCs w:val="5"/>
                <w:color w:val="auto"/>
              </w:rPr>
            </w:pPr>
          </w:p>
        </w:tc>
        <w:tc>
          <w:tcPr>
            <w:tcW w:w="508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320" w:type="dxa"/>
            <w:vAlign w:val="bottom"/>
          </w:tcPr>
          <w:p>
            <w:pPr>
              <w:spacing w:after="0"/>
              <w:rPr>
                <w:sz w:val="20"/>
                <w:szCs w:val="20"/>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Below-Market Leases(1)</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color w:val="auto"/>
              </w:rPr>
              <w:t>Original allocated value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108,568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120,573</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20" w:type="dxa"/>
            <w:vAlign w:val="bottom"/>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(55,489)</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54,613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65,084</w:t>
            </w:r>
          </w:p>
        </w:tc>
      </w:tr>
      <w:tr>
        <w:trPr>
          <w:trHeight w:val="27"/>
        </w:trPr>
        <w:tc>
          <w:tcPr>
            <w:tcW w:w="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6"/>
        </w:trPr>
        <w:tc>
          <w:tcPr>
            <w:tcW w:w="320" w:type="dxa"/>
            <w:vAlign w:val="bottom"/>
            <w:tcBorders>
              <w:bottom w:val="single" w:sz="8" w:color="auto"/>
            </w:tcBorders>
          </w:tcPr>
          <w:p>
            <w:pPr>
              <w:spacing w:after="0"/>
              <w:rPr>
                <w:sz w:val="10"/>
                <w:szCs w:val="10"/>
                <w:color w:val="auto"/>
              </w:rPr>
            </w:pPr>
          </w:p>
        </w:tc>
        <w:tc>
          <w:tcPr>
            <w:tcW w:w="50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r>
    </w:tbl>
    <w:p>
      <w:pPr>
        <w:spacing w:after="0" w:line="247"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Below-market leases are included in other accrued liabilities.</w:t>
      </w:r>
    </w:p>
    <w:p>
      <w:pPr>
        <w:spacing w:after="0" w:line="37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240" w:top="256" w:right="61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Mortgage Notes Payable: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Mortgage notes payable at September 30, 2018 and December 31, 2017 consist of the following:</w:t>
      </w:r>
    </w:p>
    <w:p>
      <w:pPr>
        <w:spacing w:after="0" w:line="365" w:lineRule="exact"/>
        <w:rPr>
          <w:sz w:val="20"/>
          <w:szCs w:val="20"/>
          <w:color w:val="auto"/>
        </w:rPr>
      </w:pPr>
    </w:p>
    <w:tbl>
      <w:tblPr>
        <w:tblLayout w:type="fixed"/>
        <w:tblInd w:w="158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10"/>
          </w:tcPr>
          <w:p>
            <w:pPr>
              <w:jc w:val="right"/>
              <w:ind w:right="388"/>
              <w:spacing w:after="0"/>
              <w:rPr>
                <w:sz w:val="20"/>
                <w:szCs w:val="20"/>
                <w:color w:val="auto"/>
              </w:rPr>
            </w:pPr>
            <w:r>
              <w:rPr>
                <w:rFonts w:ascii="Arial" w:cs="Arial" w:eastAsia="Arial" w:hAnsi="Arial"/>
                <w:sz w:val="14"/>
                <w:szCs w:val="14"/>
                <w:b w:val="1"/>
                <w:bCs w:val="1"/>
                <w:color w:val="auto"/>
              </w:rPr>
              <w:t>Carrying Amount of Mortgage Notes(1)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9"/>
              </w:rPr>
              <w:t>September 30, 2018</w:t>
            </w:r>
          </w:p>
        </w:tc>
        <w:tc>
          <w:tcPr>
            <w:tcW w:w="120" w:type="dxa"/>
            <w:vAlign w:val="bottom"/>
          </w:tcPr>
          <w:p>
            <w:pPr>
              <w:spacing w:after="0"/>
              <w:rPr>
                <w:sz w:val="22"/>
                <w:szCs w:val="22"/>
                <w:color w:val="auto"/>
              </w:rPr>
            </w:pPr>
          </w:p>
        </w:tc>
        <w:tc>
          <w:tcPr>
            <w:tcW w:w="150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w w:val="99"/>
              </w:rPr>
              <w:t>December 31, 2017</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Related</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Related</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Effective</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6"/>
              </w:rPr>
              <w:t>Monthly</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49"/>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 Pledged as Collateral</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Debt</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Party</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Party</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Rate(2)</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Service(3)</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Date(4)</w:t>
            </w:r>
          </w:p>
        </w:tc>
        <w:tc>
          <w:tcPr>
            <w:tcW w:w="0" w:type="dxa"/>
            <w:vAlign w:val="bottom"/>
          </w:tcPr>
          <w:p>
            <w:pPr>
              <w:spacing w:after="0"/>
              <w:rPr>
                <w:sz w:val="1"/>
                <w:szCs w:val="1"/>
                <w:color w:val="auto"/>
              </w:rPr>
            </w:pPr>
          </w:p>
        </w:tc>
      </w:tr>
      <w:tr>
        <w:trPr>
          <w:trHeight w:val="25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Chandler Fashion Center(5)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199,954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64"/>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Danbury Fair Mall</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101,977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101,977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104,599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104,598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7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Fashion Outlets of Chicago(6)</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199,298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7"/>
        </w:trPr>
        <w:tc>
          <w:tcPr>
            <w:tcW w:w="23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Fashion Outlets of Niagara Falls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USA</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110,448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112,770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7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Freehold Raceway Mall(5)</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398,171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398,050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64"/>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Fresno Fashion Fair</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323,410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323,261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27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Green Acres Commons(7)</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127,776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64"/>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Green Acres Mall</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286,386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291,366</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1,447</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7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Kings Plaza Shopping Center</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439,695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447,231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64"/>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Oaks, The</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193,229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196,732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1,064</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7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Pacific View</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64"/>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Queens Center</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600,000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1,744</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7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Santa Monica Place(8)</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296,366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64"/>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SanTan Village Regional Center</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122,376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124,703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7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Towne Mall</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20,842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64"/>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Tucson La Encantada</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65,770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66,970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7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Victor Valley, Mall of</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64"/>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Vintage Faire Mall</w:t>
            </w:r>
          </w:p>
        </w:tc>
        <w:tc>
          <w:tcPr>
            <w:tcW w:w="10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259,635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263,818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1,256</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270"/>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Westside Pavilion(9)</w:t>
            </w: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141,020</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167,747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3,917,114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171,569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4,066,511</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820" w:right="20" w:hanging="407"/>
        <w:spacing w:after="0" w:line="257" w:lineRule="auto"/>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mortgage notes payable balances includes an unamortized debt premium. Debt premiums represent the excess of the fair value of debt over the principal value of debt assumed in various acquisitions and are amortized into interest expense over the remaining term of the related debt in a manner that approximates the effective interest method. The loan on Fashion Outlets of Niagara Falls USA had a premium of $1,934 and $2,630 at September 30, 2018 and December 31, 2017, respectively.</w:t>
      </w:r>
    </w:p>
    <w:p>
      <w:pPr>
        <w:spacing w:after="0" w:line="104" w:lineRule="exact"/>
        <w:rPr>
          <w:rFonts w:ascii="Arial" w:cs="Arial" w:eastAsia="Arial" w:hAnsi="Arial"/>
          <w:sz w:val="14"/>
          <w:szCs w:val="14"/>
          <w:color w:val="auto"/>
        </w:rPr>
      </w:pPr>
    </w:p>
    <w:p>
      <w:pPr>
        <w:ind w:left="820" w:right="360"/>
        <w:spacing w:after="0" w:line="312" w:lineRule="auto"/>
        <w:rPr>
          <w:rFonts w:ascii="Arial" w:cs="Arial" w:eastAsia="Arial" w:hAnsi="Arial"/>
          <w:sz w:val="14"/>
          <w:szCs w:val="14"/>
          <w:color w:val="auto"/>
        </w:rPr>
      </w:pPr>
      <w:r>
        <w:rPr>
          <w:rFonts w:ascii="Arial" w:cs="Arial" w:eastAsia="Arial" w:hAnsi="Arial"/>
          <w:sz w:val="13"/>
          <w:szCs w:val="13"/>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$14,232 and $17,838 at September 30, 2018 and December 31, 2017, respectively.</w:t>
      </w:r>
    </w:p>
    <w:p>
      <w:pPr>
        <w:spacing w:after="0" w:line="205" w:lineRule="exact"/>
        <w:rPr>
          <w:rFonts w:ascii="Arial" w:cs="Arial" w:eastAsia="Arial" w:hAnsi="Arial"/>
          <w:sz w:val="14"/>
          <w:szCs w:val="14"/>
          <w:color w:val="auto"/>
        </w:rPr>
      </w:pPr>
    </w:p>
    <w:p>
      <w:pPr>
        <w:ind w:left="820" w:hanging="407"/>
        <w:spacing w:after="0"/>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interest rate disclosed represents the effective interest rate, including the impact of debt premium and deferred finance costs.</w:t>
      </w:r>
    </w:p>
    <w:p>
      <w:pPr>
        <w:spacing w:after="0" w:line="271" w:lineRule="exact"/>
        <w:rPr>
          <w:rFonts w:ascii="Arial" w:cs="Arial" w:eastAsia="Arial" w:hAnsi="Arial"/>
          <w:sz w:val="14"/>
          <w:szCs w:val="14"/>
          <w:color w:val="auto"/>
        </w:rPr>
      </w:pPr>
    </w:p>
    <w:p>
      <w:pPr>
        <w:ind w:left="820" w:hanging="407"/>
        <w:spacing w:after="0"/>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monthly debt service represents the payment of principal and interest.</w:t>
      </w:r>
    </w:p>
    <w:p>
      <w:pPr>
        <w:spacing w:after="0" w:line="271" w:lineRule="exact"/>
        <w:rPr>
          <w:rFonts w:ascii="Arial" w:cs="Arial" w:eastAsia="Arial" w:hAnsi="Arial"/>
          <w:sz w:val="14"/>
          <w:szCs w:val="14"/>
          <w:color w:val="auto"/>
        </w:rPr>
      </w:pPr>
    </w:p>
    <w:p>
      <w:pPr>
        <w:ind w:left="820" w:hanging="407"/>
        <w:spacing w:after="0" w:line="273" w:lineRule="auto"/>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227" w:lineRule="exact"/>
        <w:rPr>
          <w:rFonts w:ascii="Arial" w:cs="Arial" w:eastAsia="Arial" w:hAnsi="Arial"/>
          <w:sz w:val="14"/>
          <w:szCs w:val="14"/>
          <w:color w:val="auto"/>
        </w:rPr>
      </w:pPr>
    </w:p>
    <w:p>
      <w:pPr>
        <w:ind w:left="820" w:hanging="407"/>
        <w:spacing w:after="0"/>
        <w:tabs>
          <w:tab w:leader="none" w:pos="8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 49.9% interest in the loan has been assumed by a third party in connection with the Company's joint venture in Chandler Freehold (See Note 11—Financing Arrangement).</w:t>
      </w:r>
    </w:p>
    <w:p>
      <w:pPr>
        <w:spacing w:after="0" w:line="282" w:lineRule="exact"/>
        <w:rPr>
          <w:rFonts w:ascii="Arial" w:cs="Arial" w:eastAsia="Arial" w:hAnsi="Arial"/>
          <w:sz w:val="13"/>
          <w:szCs w:val="13"/>
          <w:color w:val="auto"/>
        </w:rPr>
      </w:pPr>
    </w:p>
    <w:p>
      <w:pPr>
        <w:ind w:left="820" w:hanging="407"/>
        <w:spacing w:after="0"/>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loan bears interest at LIBOR plus 1.50%. At September 30, 2018 and December 31, 2017, the total interest rate was 3.76% and 3.02%, respectively.</w:t>
      </w:r>
    </w:p>
    <w:p>
      <w:pPr>
        <w:spacing w:after="0" w:line="271" w:lineRule="exact"/>
        <w:rPr>
          <w:rFonts w:ascii="Arial" w:cs="Arial" w:eastAsia="Arial" w:hAnsi="Arial"/>
          <w:sz w:val="14"/>
          <w:szCs w:val="14"/>
          <w:color w:val="auto"/>
        </w:rPr>
      </w:pPr>
    </w:p>
    <w:p>
      <w:pPr>
        <w:ind w:left="820" w:hanging="407"/>
        <w:spacing w:after="0" w:line="273" w:lineRule="auto"/>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On March 1, 2018, the Company borrowed the remaining $20,000 available under the loan agreement on the property. The loan bears interest at LIBOR plus 2.15%. At September 30, 2018 and December 31, 2017, the total interest rate was 4.81% and 4.07%, respectively.</w:t>
      </w:r>
    </w:p>
    <w:p>
      <w:pPr>
        <w:sectPr>
          <w:pgSz w:w="11900" w:h="16838" w:orient="portrait"/>
          <w:cols w:equalWidth="0" w:num="1">
            <w:col w:w="11340"/>
          </w:cols>
          <w:pgMar w:left="240" w:top="256" w:right="319"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40"/>
          </w:cols>
          <w:pgMar w:left="240" w:top="256" w:right="31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Mortgage Notes Payable: (Continued)</w:t>
      </w:r>
    </w:p>
    <w:p>
      <w:pPr>
        <w:spacing w:after="0" w:line="200" w:lineRule="exact"/>
        <w:rPr>
          <w:rFonts w:ascii="Arial" w:cs="Arial" w:eastAsia="Arial" w:hAnsi="Arial"/>
          <w:sz w:val="18"/>
          <w:szCs w:val="18"/>
          <w:b w:val="1"/>
          <w:bCs w:val="1"/>
          <w:color w:val="auto"/>
        </w:rPr>
      </w:pPr>
    </w:p>
    <w:p>
      <w:pPr>
        <w:spacing w:after="0" w:line="321" w:lineRule="exact"/>
        <w:rPr>
          <w:rFonts w:ascii="Arial" w:cs="Arial" w:eastAsia="Arial" w:hAnsi="Arial"/>
          <w:sz w:val="18"/>
          <w:szCs w:val="18"/>
          <w:b w:val="1"/>
          <w:bCs w:val="1"/>
          <w:color w:val="auto"/>
        </w:rPr>
      </w:pPr>
    </w:p>
    <w:p>
      <w:pPr>
        <w:ind w:left="820" w:right="180" w:hanging="407"/>
        <w:spacing w:after="0" w:line="257" w:lineRule="auto"/>
        <w:tabs>
          <w:tab w:leader="none" w:pos="8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The loan bears interest at LIBOR plus 1.35%. The loan is covered by an interest rate cap agreement that effectively prevents LIBOR from exceeding 4.0% during the period ending December 9, 2019 (See Note 5—Derivative Instruments and Hedging Activities). At September 30, 2018 and December 31, 2017, the total interest rate was 3.76% and 3.13%, respectively.</w:t>
      </w:r>
    </w:p>
    <w:p>
      <w:pPr>
        <w:spacing w:after="0" w:line="239" w:lineRule="exact"/>
        <w:rPr>
          <w:rFonts w:ascii="Arial" w:cs="Arial" w:eastAsia="Arial" w:hAnsi="Arial"/>
          <w:sz w:val="14"/>
          <w:szCs w:val="14"/>
          <w:color w:val="auto"/>
        </w:rPr>
      </w:pPr>
    </w:p>
    <w:p>
      <w:pPr>
        <w:ind w:left="820" w:right="480" w:hanging="407"/>
        <w:spacing w:after="0" w:line="273" w:lineRule="auto"/>
        <w:tabs>
          <w:tab w:leader="none" w:pos="820" w:val="left"/>
        </w:tabs>
        <w:numPr>
          <w:ilvl w:val="1"/>
          <w:numId w:val="5"/>
        </w:numPr>
        <w:rPr>
          <w:rFonts w:ascii="Arial" w:cs="Arial" w:eastAsia="Arial" w:hAnsi="Arial"/>
          <w:sz w:val="14"/>
          <w:szCs w:val="14"/>
          <w:color w:val="auto"/>
        </w:rPr>
      </w:pPr>
      <w:r>
        <w:rPr>
          <w:rFonts w:ascii="Arial" w:cs="Arial" w:eastAsia="Arial" w:hAnsi="Arial"/>
          <w:sz w:val="14"/>
          <w:szCs w:val="14"/>
          <w:color w:val="auto"/>
        </w:rPr>
        <w:t>On August 31, 2018, a 75% interest in the loan was assumed by a third party in connection with the sale of a 75% ownership interest in the underlying property (See Note 4— Investments in Unconsolidated Joint Ventures).</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Most of the mortgage loan agreements contain a prepayment penalty provision for the early extinguishment of the debt.</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mortgage notes payable are secured by the properties on which they are placed and are non-recourse to the Company.</w:t>
      </w:r>
    </w:p>
    <w:p>
      <w:pPr>
        <w:spacing w:after="0" w:line="279"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Company expects that all loan maturities during the next twelve months will be refinanced, restructured, extended and/or paid-off from the Company's line of credit or with cash on hand.</w:t>
      </w:r>
    </w:p>
    <w:p>
      <w:pPr>
        <w:spacing w:after="0" w:line="22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Total interest expense capitalized was $3,751 and $3,428 for the three months ended September 30, 2018 and 2017, respectively, and $12,752 and $9,405 for the nine months ended September 30, 2018 and 2017, respectively.</w:t>
      </w:r>
    </w:p>
    <w:p>
      <w:pPr>
        <w:spacing w:after="0" w:line="22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Related party mortgage notes payable are amounts due to an affiliate of NML. See Note 17—Related Party Transactions for interest expense associated with loans from NML.</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estimated fair value (Level 2 measurement) of mortgage notes payable at September 30, 2018 and December 31, 2017 was $4,088,227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$4,250,816, respectively, based on current interest rates for comparable loans. Fair value was determined using a present value model and an interest rate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a credit value adjustment based on the estimated value of the property that serves as collateral for the underlying debt.</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56" w:right="31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Bank and Other Notes Payable:</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Bank and other notes payable consist of the following:</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Line of Credit:</w:t>
      </w:r>
    </w:p>
    <w:p>
      <w:pPr>
        <w:spacing w:after="0" w:line="27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Company has a $1,500,000 revolving line of credit that bears interest at LIBOR plus a spread of 1.30% to 1.90%, depending on the Company's overall leverage level, and matures on July 6, 2020 with a one-year extension option. The line of credit can be expanded, depending on certain conditions, up to a total facility of $2,000,000.</w:t>
      </w:r>
    </w:p>
    <w:p>
      <w:pPr>
        <w:spacing w:after="0" w:line="23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Based on the Company's leverage level as of September 30, 2018, the borrowing rate on the facility was LIBOR plus 1.45%. The Company has an interest rate swap agreement that effectively converts $400,000 of the outstanding balance from floating rate debt of LIBOR plus 1.45% to fixed rate debt of 4.30% until September 14, 2021 (See Note 5—Derivative Instruments and Hedging Activities). As of September 30, 2018 and December 31, 2017, borrowings under the line of credit were $790,000 and $935,000, respectively, less unamortized deferred finance costs of $5,781 and $7,548, respectively, at a total interest rate of 4.08% and 3.13%, respectively. As of September 30, 2018 and December 31, 2017, the Company's availability under the line of credit for additional borrowings was $709,720 and $504,412, respectively, The estimated fair value (Level 2 measurement) of the line of credit at September 30, 2018 and December 31, 2017 was $791,233 and $919,158, respectively, based on a present value model using a credit interest rate spread offered to the Company for comparable debt.</w:t>
      </w:r>
    </w:p>
    <w:p>
      <w:pPr>
        <w:spacing w:after="0" w:line="24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Prasada Note:</w:t>
      </w:r>
    </w:p>
    <w:p>
      <w:pPr>
        <w:spacing w:after="0" w:line="279"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color w:val="auto"/>
        </w:rPr>
        <w:t>On March 29, 2013, the Company issued a $13,330 note payable that bears interest at 5.25% and matures on May 30, 2021. The note payable is collateralized by a portion of a development reimbursement agreement with the City of Surprise, Arizona. At September 30, 2018 and December 31, 2017, the note had a balance of $3,903 and $4,732, respectively. The estimated fair value (Level 2 measurement) of the note at September 30, 2018 and December 31, 2017 was $3,900 and $4,717, respectively, based on current interest rates for comparable notes. Fair value was determined using a present value model and an interest rate that included a credit value adjustment based on the estimated value of the collateral for the underlying debt.</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2018 and December 31, 2017, the Company was in compliance with all applicable financial loan covenants.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w:t>
      </w:r>
    </w:p>
    <w:p>
      <w:pPr>
        <w:spacing w:after="0" w:line="28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On September 30, 2009, the Company formed a joint venture, whereby a third party acquired a 49.9% interest in Chandler Fashion Center, a 1,316,000 square foot regional shopping center in Chandler, Arizona, and Freehold Raceway Mall, a 1,672,000 square foot regional shopping center in Freehold, New Jersey, referred to herein as Chandler Freehold. As a result of the Company having certain rights under the agreement to repurchase the assets after the seventh year of the formation of Chandler Freehold, the transaction did not qualify for sale treatment. The Company, however, is not obligated to repurchase the assets. The transaction was initially accounted for as a co-venture arrangement, and accordingly the assets, liabilities and operations of the properties remain on the books of the Company and a co-venture obligation was established for the net cash proceeds received from the third party less costs allocated to a warrant. The co-venture obligation was increased for the allocation of income to the co-venture partner and decreased for distributions to the co-venture partner.</w:t>
      </w:r>
    </w:p>
    <w:p>
      <w:pPr>
        <w:spacing w:after="0" w:line="24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Upon adoption of ASC 606 on January 1, 2018, the Company changed its accounting for Chandler Freehold from a co-venture arrangement to a financing arrangement. Accordingly, the Company replaced its $31,150 distributions in excess of co-venture obligation (See Note 8—Deferred Charges and Other Assets, net) with a financing arrangement liability of $393,709 on its consolidated balance sheets. This resulted in the recognition of a $424,859 increase in the Company’s accumulated deficit as a cumulative effect adjustment under the modified retrospective method of adoption. The fair value (Level 3 measurement) of the financing arrangement obligation was based upon a multiple on net operating income of 21 times, a discount rate of 5.8% and market rents per square foot of $20 to $225. The fair value of the financing arrangement obligation is sensitive to these significant unobservable inputs and a change in these inputs may result in a significantly higher or lower fair value measurement. Distributions to the partner and subsequent changes in fair value of the financing arrangement obligation are recognized as interest expense in the Company's consolidated statements of operations.</w:t>
      </w:r>
    </w:p>
    <w:p>
      <w:pPr>
        <w:sectPr>
          <w:pgSz w:w="11900" w:h="16838" w:orient="portrait"/>
          <w:cols w:equalWidth="0" w:num="1">
            <w:col w:w="11420"/>
          </w:cols>
          <w:pgMar w:left="240" w:top="256"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256"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During the three and nine months ended September 30, 2018 and 2017, the Company incurred interest (income) expense in connection with the financing arrangement as follows:</w:t>
      </w:r>
    </w:p>
    <w:p>
      <w:pPr>
        <w:spacing w:after="0" w:line="36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96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780" w:type="dxa"/>
            <w:vAlign w:val="bottom"/>
            <w:gridSpan w:val="5"/>
          </w:tcPr>
          <w:p>
            <w:pPr>
              <w:ind w:left="40"/>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92"/>
        </w:trPr>
        <w:tc>
          <w:tcPr>
            <w:tcW w:w="5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0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of the partner's share of net income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Distributions in excess of the partner's share of net income</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to fair value of financing arrangement obligation</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37"/>
        </w:trPr>
        <w:tc>
          <w:tcPr>
            <w:tcW w:w="50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Noncontrolling Interests:</w:t>
      </w:r>
    </w:p>
    <w:p>
      <w:pPr>
        <w:spacing w:after="0" w:line="28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Company allocates net income of the Operating Partnership based on the weighted 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93% ownership interest in the Operating Partnership as of September 30, 2018 and December 31, 2017. The remaining 7% limited partnership interest as of September 30, 2018 and December 31, 2017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September 30, 2018 and December 31, 2017, the aggregate redemption value of the then-outstanding OP Units not owned by the Company was $579,249 and $671,592, respectively.</w:t>
      </w:r>
    </w:p>
    <w:p>
      <w:pPr>
        <w:spacing w:after="0" w:line="232"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23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2017 Stock Buyback Program:</w:t>
      </w:r>
    </w:p>
    <w:p>
      <w:pPr>
        <w:spacing w:after="0" w:line="279"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ASR transactions, or other methods of acquiring shares, from time to time as permitted by securities laws and other legal requirements.</w:t>
      </w:r>
    </w:p>
    <w:p>
      <w:pPr>
        <w:spacing w:after="0" w:line="241"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During the period from February 12, 2017 to December 31, 2017, the Company repurchased a total of 3,627,390 of its common shares for $221,428, representing an average price of $61.01 per share. The Company funded the repurchases from the net proceeds of the sale of Cascade Mall and Northgate Mall (See Note 15—Dispositions), its share of the proceeds from the sale of ownership interests in office buildings at Fashion District Philadelphia and Country Club Plaza (See Note 4—Investments in Unconsolidated Joint Ventures) and from borrowings under its line of credit. There were no repurchases during the three and nine months ended September 30, 2018.</w:t>
      </w:r>
    </w:p>
    <w:p>
      <w:pPr>
        <w:sectPr>
          <w:pgSz w:w="11900" w:h="16838" w:orient="portrait"/>
          <w:cols w:equalWidth="0" w:num="1">
            <w:col w:w="11400"/>
          </w:cols>
          <w:pgMar w:left="240" w:top="256" w:right="25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256" w:right="25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 (Continued)</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At-The-Market Stock Offering Program ("ATM Program"):</w:t>
      </w:r>
    </w:p>
    <w:p>
      <w:pPr>
        <w:spacing w:after="0" w:line="27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On August 20, 2014, the Company entered into an equity distribution agreement with a number of sales agents (the "ATM Program") to issue and sell, from time to time, shares of common stock, par value $0.01 per share, having an aggregate offering price of up to $500,000. The ATM Program expired by its terms in August 2017. No shares were sold under the ATM Program.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Collaborative Arrangement:</w:t>
      </w:r>
    </w:p>
    <w:p>
      <w:pPr>
        <w:spacing w:after="0" w:line="28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On March 1, 2018, the Company formed a 25/75 joint venture with a third party, whereby the Company agreed to contribute Westside Pavilion, a 755,000 square foot regional shopping center in Los Angeles, California in exchange for a cash payment of $142,500. The Company completed the transfer on August 31, 2018.</w:t>
      </w:r>
    </w:p>
    <w:p>
      <w:pPr>
        <w:spacing w:after="0" w:line="235"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During the period from March 1, 2018 to August 31, 2018, the Company accounted for the operations of Westside Pavilion as a collaborative arrangement. Both partners shared operating control of the property and the Company was reimbursed by the outside partner for 75% of the carrying cost of the property, which were defined in the agreement as operating expenses in excess of revenues, debt service and capital expenditures. Accordingly, the Company reduced minimum rents, percentage rents, tenant recoveries, other revenue, shopping center and operating expenses and interest expense by its partner's 75% share and recorded a receivable due from its partner, which was settled upon completion of the transfer of the property. In addition, the Company was reimbursed by its partner for its 75% share of mortgage loan principal payments and capital expenditures during the period. Since completion of the transfer, the Company has accounted for its investment in Westside Pavilion under the equity method of accounting (See Note 4—Investments in Unconsolidated Joint Ventures).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Dispositions: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recent dispositions of properties: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January 18, 2017, the Company sold Cascade Mall, a 589,000 square foot regional shopping center in Burlington, Washington; and Northgate Mall,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750,000 square foot regional shopping center in San Rafael, California, in a combined transaction for $170,000, resulting in a gain on the sale of assets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$59,698. The proceeds were used to pay off the mortgage note payable on Northgate Mall and to repurchase shares of the Company's common stock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Stock Buyback Program (See Note 13—Stockholders' Equity).</w:t>
      </w:r>
    </w:p>
    <w:p>
      <w:pPr>
        <w:spacing w:after="0" w:line="26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On November 16, 2017, the Company sold 500 North Michigan Avenue, a 326,000 square foot office building in Chicago, Illinois, for $86,350, resulting in a gain on sale of assets of $14,597. The Company used the proceeds from the sale to pay down its line of credit and for other general corporate purposes.</w:t>
      </w:r>
    </w:p>
    <w:p>
      <w:pPr>
        <w:spacing w:after="0" w:line="235" w:lineRule="exact"/>
        <w:rPr>
          <w:sz w:val="20"/>
          <w:szCs w:val="20"/>
          <w:color w:val="auto"/>
        </w:rPr>
      </w:pPr>
    </w:p>
    <w:p>
      <w:pPr>
        <w:jc w:val="both"/>
        <w:ind w:right="520" w:firstLine="432"/>
        <w:spacing w:after="0" w:line="264" w:lineRule="auto"/>
        <w:rPr>
          <w:sz w:val="20"/>
          <w:szCs w:val="20"/>
          <w:color w:val="auto"/>
        </w:rPr>
      </w:pPr>
      <w:r>
        <w:rPr>
          <w:rFonts w:ascii="Arial" w:cs="Arial" w:eastAsia="Arial" w:hAnsi="Arial"/>
          <w:sz w:val="18"/>
          <w:szCs w:val="18"/>
          <w:color w:val="auto"/>
        </w:rPr>
        <w:t>On May 17, 2018, the Company sold Promenade at Casa Grande, a 761,000 square foot community center in Casa Grande, Arizona, for $26,000, resulting in a loss on sale of assets of $311. The Company used the proceeds from the sale to pay down its line of credit and for other general corporate purposes.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83"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Company has certain properties that are subject to non-cancelable operating leases. The leases expire at various times through 2098, subject in some cases to options to extend the terms of the lease. Certain leases provide for contingent rent payments based on a percentage of base rental income, as defined in the lease. Rent expense was $4,571 and $4,301 for the three months ended September 30, 2018 and 2017, respectively, and $13,379 and $12,785 for the nine months ended September 30, 2018 and 2017, respectively.</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contingent rent was incurred during the three and nine months ended September 30, 2018 or 2017.</w:t>
      </w:r>
    </w:p>
    <w:p>
      <w:pPr>
        <w:spacing w:after="0" w:line="279"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As of September 30, 2018, the Company was contingently liable for $65,780 in letters of credit guaranteeing performance by the Company of certain obligations relating to the Centers. The Company does not believe that these letters of credit will result in a liability to the Company.</w:t>
      </w:r>
    </w:p>
    <w:p>
      <w:pPr>
        <w:sectPr>
          <w:pgSz w:w="11900" w:h="16838" w:orient="portrait"/>
          <w:cols w:equalWidth="0" w:num="1">
            <w:col w:w="11420"/>
          </w:cols>
          <w:pgMar w:left="240" w:top="256" w:right="239" w:bottom="1054"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256" w:right="239" w:bottom="1054"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 (Continued)</w:t>
      </w:r>
    </w:p>
    <w:p>
      <w:pPr>
        <w:spacing w:after="0" w:line="391"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agreements. At September 30, 2018, the Company had $8,894 in outstanding obligations which it believes will be settled in the next twelve months.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83"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fees charged to unconsolidated joint ventures:</w:t>
      </w:r>
    </w:p>
    <w:p>
      <w:pPr>
        <w:spacing w:after="0" w:line="285"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For the Three Months</w:t>
            </w:r>
          </w:p>
        </w:tc>
        <w:tc>
          <w:tcPr>
            <w:tcW w:w="160" w:type="dxa"/>
            <w:vAlign w:val="bottom"/>
          </w:tcPr>
          <w:p>
            <w:pPr>
              <w:spacing w:after="0"/>
              <w:rPr>
                <w:sz w:val="14"/>
                <w:szCs w:val="14"/>
                <w:color w:val="auto"/>
              </w:rPr>
            </w:pPr>
          </w:p>
        </w:tc>
        <w:tc>
          <w:tcPr>
            <w:tcW w:w="1540" w:type="dxa"/>
            <w:vAlign w:val="bottom"/>
            <w:gridSpan w:val="4"/>
          </w:tcPr>
          <w:p>
            <w:pPr>
              <w:ind w:left="60"/>
              <w:spacing w:after="0"/>
              <w:rPr>
                <w:sz w:val="20"/>
                <w:szCs w:val="20"/>
                <w:color w:val="auto"/>
              </w:rPr>
            </w:pPr>
            <w:r>
              <w:rPr>
                <w:rFonts w:ascii="Arial" w:cs="Arial" w:eastAsia="Arial" w:hAnsi="Arial"/>
                <w:sz w:val="14"/>
                <w:szCs w:val="14"/>
                <w:b w:val="1"/>
                <w:bCs w:val="1"/>
                <w:color w:val="auto"/>
              </w:rPr>
              <w:t>For the Nine Months</w:t>
            </w:r>
          </w:p>
        </w:tc>
      </w:tr>
      <w:tr>
        <w:trPr>
          <w:trHeight w:val="192"/>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Ended September 30,</w:t>
            </w:r>
          </w:p>
        </w:tc>
        <w:tc>
          <w:tcPr>
            <w:tcW w:w="160" w:type="dxa"/>
            <w:vAlign w:val="bottom"/>
          </w:tcPr>
          <w:p>
            <w:pPr>
              <w:spacing w:after="0"/>
              <w:rPr>
                <w:sz w:val="16"/>
                <w:szCs w:val="16"/>
                <w:color w:val="auto"/>
              </w:rPr>
            </w:pPr>
          </w:p>
        </w:tc>
        <w:tc>
          <w:tcPr>
            <w:tcW w:w="1540" w:type="dxa"/>
            <w:vAlign w:val="bottom"/>
            <w:gridSpan w:val="4"/>
          </w:tcPr>
          <w:p>
            <w:pPr>
              <w:ind w:left="40"/>
              <w:spacing w:after="0"/>
              <w:rPr>
                <w:sz w:val="20"/>
                <w:szCs w:val="20"/>
                <w:color w:val="auto"/>
              </w:rPr>
            </w:pPr>
            <w:r>
              <w:rPr>
                <w:rFonts w:ascii="Arial" w:cs="Arial" w:eastAsia="Arial" w:hAnsi="Arial"/>
                <w:sz w:val="14"/>
                <w:szCs w:val="14"/>
                <w:b w:val="1"/>
                <w:bCs w:val="1"/>
                <w:color w:val="auto"/>
              </w:rPr>
              <w:t>Ended September 30,</w:t>
            </w:r>
          </w:p>
        </w:tc>
      </w:tr>
      <w:tr>
        <w:trPr>
          <w:trHeight w:val="264"/>
        </w:trPr>
        <w:tc>
          <w:tcPr>
            <w:tcW w:w="30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8"/>
              </w:rPr>
              <w:t>14,366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8"/>
              </w:rPr>
              <w:t>13,914</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Development and leasing fees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8"/>
              </w:rPr>
              <w:t>10,895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w w:val="94"/>
              </w:rPr>
              <w:t>11,376</w:t>
            </w:r>
          </w:p>
        </w:tc>
      </w:tr>
      <w:tr>
        <w:trPr>
          <w:trHeight w:val="27"/>
        </w:trPr>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8"/>
              </w:rPr>
              <w:t>25,261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8"/>
              </w:rPr>
              <w:t>25,290</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Certain mortgage notes on the properties are held by NML (See Note 9—Mortgage Notes Payable). Interest expense in connection with these notes was $2,102 and $2,175 for the three months ended September 30, 2018 and 2017, respectively, and $6,380 and $6,567 for the nine months ended September 30, 2018 and 2017, respectively. Included in accounts payable and accrued expenses is interest payable on these notes of $699 and $716 at September 30, 2018 and December 31, 2017, respectively.</w:t>
      </w:r>
    </w:p>
    <w:p>
      <w:pPr>
        <w:spacing w:after="0" w:line="24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Interest (income) expense from related party transactions also includes $(1,028) and $2,101 for the three and nine months ended September 30, 2018 in connection with the Financing Arrangement (See Note 11—Financing Arrangement).</w:t>
      </w:r>
    </w:p>
    <w:p>
      <w:pPr>
        <w:spacing w:after="0" w:line="22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Due from affiliates includes unreimbursed costs and fees from unconsolidated joint ventures due to the Management Companies. As of September 30, 2018 and December 31, 2017, the amounts due from the unconsolidated joint ventures was $9,482 and $5,411, respectively.</w:t>
      </w:r>
    </w:p>
    <w:p>
      <w:pPr>
        <w:spacing w:after="0" w:line="22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addition, due from affiliates at September 30, 2018 and December 31, 2017 included a note receivable from RED/303 LLC ("RED") that bears interest at 5.25% and matures on May 30, 2021. Interest income earned on this note was $55 and $66 for the three months ended September 30, 2018 and 2017, respectively, and $172 and $204 for the nine months ended September 30, 2018 and 2017, respectively. The balance on this note was $3,903 and $4,796 at September 30, 2018 and December 31, 2017, respectively. RED is considered a related party because it is a partner in a joint venture development project. The note is collateralized by RED's membership interest in the development project.</w:t>
      </w:r>
    </w:p>
    <w:p>
      <w:pPr>
        <w:spacing w:after="0" w:line="22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Also included in due from affiliates is a note receivable from Lennar Corporation that bears interest at LIBOR plus 2% and matures upon the completion of certain milestones in connection with the development of Fashion Outlets of San Francisco. Interest income earned on this note was $808 and $621 for the three months ended September 30, 2018 and 2017, respectively, and $2,330 and $1,839 for the nine months ended September 30, 2018 and 2017, respectively. The balance on this note was $74,285 and $71,955 at September 30, 2018 and December 31, 2017, respectively. Lennar Corporation is considered a related party because it is a joint venture partner in Fashion Outlets of San Francisco.</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56"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 and Unit-Based Plans:</w:t>
      </w:r>
    </w:p>
    <w:p>
      <w:pPr>
        <w:spacing w:after="0" w:line="283"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Under the Long-Term Incentive Plan ("LTIP"), each award recipient is issued a form of units ("LTIP Units") in the Operating Partnership. Upon the occurrence of specified events and subject to the satisfaction of applicable vesting conditions, LTIP Units (after conversion into OP Units) are ultimately redeemable for common stock of the Company, or cash at the Company's option, on a one-unit for one-share basis. LTIP Units receive cash dividends based on the dividend amount paid on the common stock of the Company. The LTIP may include both market-indexed awards and service-based awards.</w:t>
      </w:r>
    </w:p>
    <w:p>
      <w:pPr>
        <w:spacing w:after="0" w:line="20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market-indexed LTIP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nine months ended September 30, 2018, the Company granted the following LTIP Units:</w:t>
      </w:r>
    </w:p>
    <w:p>
      <w:pPr>
        <w:spacing w:after="0" w:line="200" w:lineRule="exact"/>
        <w:rPr>
          <w:sz w:val="20"/>
          <w:szCs w:val="20"/>
          <w:color w:val="auto"/>
        </w:rPr>
      </w:pPr>
    </w:p>
    <w:p>
      <w:pPr>
        <w:spacing w:after="0" w:line="242" w:lineRule="exact"/>
        <w:rPr>
          <w:sz w:val="20"/>
          <w:szCs w:val="20"/>
          <w:color w:val="auto"/>
        </w:rPr>
      </w:pPr>
    </w:p>
    <w:tbl>
      <w:tblPr>
        <w:tblLayout w:type="fixed"/>
        <w:tblInd w:w="2620" w:type="dxa"/>
        <w:tblCellMar>
          <w:top w:w="0" w:type="dxa"/>
          <w:left w:w="0" w:type="dxa"/>
          <w:bottom w:w="0" w:type="dxa"/>
          <w:right w:w="0" w:type="dxa"/>
        </w:tblCellMar>
      </w:tblPr>
      <w:tr>
        <w:trPr>
          <w:trHeight w:val="203"/>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Fair Value per</w:t>
            </w:r>
          </w:p>
        </w:tc>
        <w:tc>
          <w:tcPr>
            <w:tcW w:w="1060" w:type="dxa"/>
            <w:vAlign w:val="bottom"/>
          </w:tcPr>
          <w:p>
            <w:pPr>
              <w:spacing w:after="0"/>
              <w:rPr>
                <w:sz w:val="17"/>
                <w:szCs w:val="17"/>
                <w:color w:val="auto"/>
              </w:rPr>
            </w:pPr>
          </w:p>
        </w:tc>
      </w:tr>
      <w:tr>
        <w:trPr>
          <w:trHeight w:val="210"/>
        </w:trPr>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Grant Date</w:t>
            </w:r>
          </w:p>
        </w:tc>
        <w:tc>
          <w:tcPr>
            <w:tcW w:w="1000" w:type="dxa"/>
            <w:vAlign w:val="bottom"/>
          </w:tcPr>
          <w:p>
            <w:pPr>
              <w:jc w:val="right"/>
              <w:ind w:right="231"/>
              <w:spacing w:after="0"/>
              <w:rPr>
                <w:sz w:val="20"/>
                <w:szCs w:val="20"/>
                <w:color w:val="auto"/>
              </w:rPr>
            </w:pPr>
            <w:r>
              <w:rPr>
                <w:rFonts w:ascii="Arial" w:cs="Arial" w:eastAsia="Arial" w:hAnsi="Arial"/>
                <w:sz w:val="16"/>
                <w:szCs w:val="16"/>
                <w:b w:val="1"/>
                <w:bCs w:val="1"/>
                <w:color w:val="auto"/>
              </w:rPr>
              <w:t>Units</w:t>
            </w:r>
          </w:p>
        </w:tc>
        <w:tc>
          <w:tcPr>
            <w:tcW w:w="120" w:type="dxa"/>
            <w:vAlign w:val="bottom"/>
          </w:tcPr>
          <w:p>
            <w:pPr>
              <w:spacing w:after="0"/>
              <w:rPr>
                <w:sz w:val="18"/>
                <w:szCs w:val="18"/>
                <w:color w:val="auto"/>
              </w:rPr>
            </w:pPr>
          </w:p>
        </w:tc>
        <w:tc>
          <w:tcPr>
            <w:tcW w:w="1680" w:type="dxa"/>
            <w:vAlign w:val="bottom"/>
            <w:gridSpan w:val="2"/>
          </w:tcPr>
          <w:p>
            <w:pPr>
              <w:ind w:left="620"/>
              <w:spacing w:after="0"/>
              <w:rPr>
                <w:sz w:val="20"/>
                <w:szCs w:val="20"/>
                <w:color w:val="auto"/>
              </w:rPr>
            </w:pPr>
            <w:r>
              <w:rPr>
                <w:rFonts w:ascii="Arial" w:cs="Arial" w:eastAsia="Arial" w:hAnsi="Arial"/>
                <w:sz w:val="16"/>
                <w:szCs w:val="16"/>
                <w:b w:val="1"/>
                <w:bCs w:val="1"/>
                <w:color w:val="auto"/>
              </w:rPr>
              <w:t>Type</w:t>
            </w: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LTIP Unit</w:t>
            </w:r>
          </w:p>
        </w:tc>
        <w:tc>
          <w:tcPr>
            <w:tcW w:w="1060" w:type="dxa"/>
            <w:vAlign w:val="bottom"/>
          </w:tcPr>
          <w:p>
            <w:pPr>
              <w:jc w:val="right"/>
              <w:ind w:right="111"/>
              <w:spacing w:after="0"/>
              <w:rPr>
                <w:sz w:val="20"/>
                <w:szCs w:val="20"/>
                <w:color w:val="auto"/>
              </w:rPr>
            </w:pPr>
            <w:r>
              <w:rPr>
                <w:rFonts w:ascii="Arial" w:cs="Arial" w:eastAsia="Arial" w:hAnsi="Arial"/>
                <w:sz w:val="16"/>
                <w:szCs w:val="16"/>
                <w:b w:val="1"/>
                <w:bCs w:val="1"/>
                <w:color w:val="auto"/>
              </w:rPr>
              <w:t>Vest Date</w:t>
            </w:r>
          </w:p>
        </w:tc>
      </w:tr>
      <w:tr>
        <w:trPr>
          <w:trHeight w:val="33"/>
        </w:trPr>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65,466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12/31/2020</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1/1/2018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291,326</w:t>
            </w:r>
          </w:p>
        </w:tc>
        <w:tc>
          <w:tcPr>
            <w:tcW w:w="12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44.28</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12/31/2020</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1/29/2018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2/1/2022</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1/29/2018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66.02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12/31/2020</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1/29/2018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7,775</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Market-indexed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12/31/2020</w:t>
            </w:r>
          </w:p>
        </w:tc>
      </w:tr>
      <w:tr>
        <w:trPr>
          <w:trHeight w:val="243"/>
        </w:trPr>
        <w:tc>
          <w:tcPr>
            <w:tcW w:w="1040" w:type="dxa"/>
            <w:vAlign w:val="bottom"/>
          </w:tcPr>
          <w:p>
            <w:pPr>
              <w:jc w:val="right"/>
              <w:spacing w:after="0"/>
              <w:rPr>
                <w:sz w:val="20"/>
                <w:szCs w:val="20"/>
                <w:color w:val="auto"/>
              </w:rPr>
            </w:pPr>
            <w:r>
              <w:rPr>
                <w:rFonts w:ascii="Arial" w:cs="Arial" w:eastAsia="Arial" w:hAnsi="Arial"/>
                <w:sz w:val="18"/>
                <w:szCs w:val="18"/>
                <w:color w:val="auto"/>
              </w:rPr>
              <w:t>3/2/2018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99,407</w:t>
            </w:r>
          </w:p>
        </w:tc>
        <w:tc>
          <w:tcPr>
            <w:tcW w:w="12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59.04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3/2/2018</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4/26/2018</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89,637</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4/26/2018</w:t>
            </w: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569,136</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fair value of the market-indexed LTIP Units (Level 3) granted on January 1, 2018 were estimated on the date of grant using a Monte Carlo Simulation model that assumed a risk free interest rate of 1.98% and an expected volatility of 23.38%. The fair value of the market-indexed LTIP Units granted on January 29, 2018 were estimated on the date of grant using a Monte Carlo Simulation model that assumed a risk free interest rate of 2.25% and an expected volatility of 23.86%.</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of the non-vested LTIP Units, phantom stock units and stock units:</w:t>
      </w:r>
    </w:p>
    <w:p>
      <w:pPr>
        <w:spacing w:after="0" w:line="200" w:lineRule="exact"/>
        <w:rPr>
          <w:sz w:val="20"/>
          <w:szCs w:val="20"/>
          <w:color w:val="auto"/>
        </w:rPr>
      </w:pPr>
    </w:p>
    <w:p>
      <w:pPr>
        <w:spacing w:after="0" w:line="300" w:lineRule="exact"/>
        <w:rPr>
          <w:sz w:val="20"/>
          <w:szCs w:val="20"/>
          <w:color w:val="auto"/>
        </w:rPr>
      </w:pPr>
    </w:p>
    <w:tbl>
      <w:tblPr>
        <w:tblLayout w:type="fixed"/>
        <w:tblInd w:w="202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170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LTIP Units</w:t>
            </w:r>
          </w:p>
        </w:tc>
        <w:tc>
          <w:tcPr>
            <w:tcW w:w="12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Phantom Stock Units</w:t>
            </w:r>
          </w:p>
        </w:tc>
        <w:tc>
          <w:tcPr>
            <w:tcW w:w="10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Stock Units</w:t>
            </w:r>
          </w:p>
        </w:tc>
      </w:tr>
      <w:tr>
        <w:trPr>
          <w:trHeight w:val="264"/>
        </w:trPr>
        <w:tc>
          <w:tcPr>
            <w:tcW w:w="20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Value(1)</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Value(1)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Value(1)</w:t>
            </w:r>
          </w:p>
        </w:tc>
      </w:tr>
      <w:tr>
        <w:trPr>
          <w:trHeight w:val="256"/>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January 1, 2018</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636,632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52.36</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151,355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73.32</w:t>
            </w:r>
          </w:p>
        </w:tc>
      </w:tr>
      <w:tr>
        <w:trPr>
          <w:trHeight w:val="264"/>
        </w:trPr>
        <w:tc>
          <w:tcPr>
            <w:tcW w:w="2020" w:type="dxa"/>
            <w:vAlign w:val="bottom"/>
          </w:tcPr>
          <w:p>
            <w:pPr>
              <w:ind w:left="160"/>
              <w:spacing w:after="0"/>
              <w:rPr>
                <w:sz w:val="20"/>
                <w:szCs w:val="20"/>
                <w:color w:val="auto"/>
              </w:rPr>
            </w:pPr>
            <w:r>
              <w:rPr>
                <w:rFonts w:ascii="Arial" w:cs="Arial" w:eastAsia="Arial" w:hAnsi="Arial"/>
                <w:sz w:val="14"/>
                <w:szCs w:val="14"/>
                <w:color w:val="auto"/>
              </w:rPr>
              <w:t>Granted</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569,136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51.78</w:t>
            </w:r>
          </w:p>
        </w:tc>
        <w:tc>
          <w:tcPr>
            <w:tcW w:w="12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8,765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61.46</w:t>
            </w:r>
          </w:p>
        </w:tc>
        <w:tc>
          <w:tcPr>
            <w:tcW w:w="1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87,193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58.85</w:t>
            </w:r>
          </w:p>
        </w:tc>
      </w:tr>
      <w:tr>
        <w:trPr>
          <w:trHeight w:val="276"/>
        </w:trPr>
        <w:tc>
          <w:tcPr>
            <w:tcW w:w="2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Vested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57.49</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74.21</w:t>
            </w:r>
          </w:p>
        </w:tc>
      </w:tr>
      <w:tr>
        <w:trPr>
          <w:trHeight w:val="264"/>
        </w:trPr>
        <w:tc>
          <w:tcPr>
            <w:tcW w:w="20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Forfeited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(23,666)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44.28</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77.91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2018</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993,058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66.79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130,347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64.24</w:t>
            </w:r>
          </w:p>
        </w:tc>
      </w:tr>
      <w:tr>
        <w:trPr>
          <w:trHeight w:val="20"/>
        </w:trPr>
        <w:tc>
          <w:tcPr>
            <w:tcW w:w="2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64"/>
        </w:trPr>
        <w:tc>
          <w:tcPr>
            <w:tcW w:w="20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r>
    </w:tbl>
    <w:p>
      <w:pPr>
        <w:spacing w:after="0" w:line="274"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(1) Value represents the weighted average grant date fair value.</w:t>
      </w:r>
    </w:p>
    <w:p>
      <w:pPr>
        <w:sectPr>
          <w:pgSz w:w="11900" w:h="16838" w:orient="portrait"/>
          <w:cols w:equalWidth="0" w:num="1">
            <w:col w:w="11400"/>
          </w:cols>
          <w:pgMar w:left="240" w:top="25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256" w:right="25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 and Unit-Based Plans: (Continued)</w:t>
      </w:r>
    </w:p>
    <w:p>
      <w:pPr>
        <w:spacing w:after="0" w:line="200" w:lineRule="exact"/>
        <w:rPr>
          <w:sz w:val="20"/>
          <w:szCs w:val="20"/>
          <w:color w:val="auto"/>
        </w:rPr>
      </w:pPr>
    </w:p>
    <w:p>
      <w:pPr>
        <w:spacing w:after="0" w:line="32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following table summarizes the activity of the stock appreciations rights ("SARs") and stock options outstanding:</w:t>
      </w:r>
    </w:p>
    <w:p>
      <w:pPr>
        <w:spacing w:after="0" w:line="200" w:lineRule="exact"/>
        <w:rPr>
          <w:sz w:val="20"/>
          <w:szCs w:val="20"/>
          <w:color w:val="auto"/>
        </w:rPr>
      </w:pPr>
    </w:p>
    <w:p>
      <w:pPr>
        <w:spacing w:after="0" w:line="300" w:lineRule="exact"/>
        <w:rPr>
          <w:sz w:val="20"/>
          <w:szCs w:val="20"/>
          <w:color w:val="auto"/>
        </w:rPr>
      </w:pPr>
    </w:p>
    <w:tbl>
      <w:tblPr>
        <w:tblLayout w:type="fixed"/>
        <w:tblInd w:w="290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SARs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Stock Options</w:t>
            </w:r>
          </w:p>
        </w:tc>
      </w:tr>
      <w:tr>
        <w:trPr>
          <w:trHeight w:val="264"/>
        </w:trPr>
        <w:tc>
          <w:tcPr>
            <w:tcW w:w="208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1"/>
              </w:rPr>
              <w:t>Value(1)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Value(1)</w:t>
            </w:r>
          </w:p>
        </w:tc>
      </w:tr>
      <w:tr>
        <w:trPr>
          <w:trHeight w:val="256"/>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January 1, 2018</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235,439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53.83</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35,565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57.32</w:t>
            </w:r>
          </w:p>
        </w:tc>
      </w:tr>
      <w:tr>
        <w:trPr>
          <w:trHeight w:val="264"/>
        </w:trPr>
        <w:tc>
          <w:tcPr>
            <w:tcW w:w="2080" w:type="dxa"/>
            <w:vAlign w:val="bottom"/>
          </w:tcPr>
          <w:p>
            <w:pPr>
              <w:ind w:left="160"/>
              <w:spacing w:after="0"/>
              <w:rPr>
                <w:sz w:val="20"/>
                <w:szCs w:val="20"/>
                <w:color w:val="auto"/>
              </w:rPr>
            </w:pPr>
            <w:r>
              <w:rPr>
                <w:rFonts w:ascii="Arial" w:cs="Arial" w:eastAsia="Arial" w:hAnsi="Arial"/>
                <w:sz w:val="14"/>
                <w:szCs w:val="14"/>
                <w:color w:val="auto"/>
              </w:rPr>
              <w:t>Granted</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2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Exercised</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(235,439)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53.83</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2080" w:type="dxa"/>
            <w:vAlign w:val="bottom"/>
          </w:tcPr>
          <w:p>
            <w:pPr>
              <w:ind w:left="20"/>
              <w:spacing w:after="0"/>
              <w:rPr>
                <w:sz w:val="20"/>
                <w:szCs w:val="20"/>
                <w:color w:val="auto"/>
              </w:rPr>
            </w:pPr>
            <w:r>
              <w:rPr>
                <w:rFonts w:ascii="Arial" w:cs="Arial" w:eastAsia="Arial" w:hAnsi="Arial"/>
                <w:sz w:val="14"/>
                <w:szCs w:val="14"/>
                <w:color w:val="auto"/>
              </w:rPr>
              <w:t>Balance at September 30, 2018</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35,565</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57.32</w:t>
            </w:r>
          </w:p>
        </w:tc>
      </w:tr>
      <w:tr>
        <w:trPr>
          <w:trHeight w:val="20"/>
        </w:trPr>
        <w:tc>
          <w:tcPr>
            <w:tcW w:w="2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05"/>
        </w:trPr>
        <w:tc>
          <w:tcPr>
            <w:tcW w:w="20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74"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(1) Value represents the weighted average exercise price.</w:t>
      </w:r>
    </w:p>
    <w:p>
      <w:pPr>
        <w:spacing w:after="0" w:line="200" w:lineRule="exact"/>
        <w:rPr>
          <w:sz w:val="20"/>
          <w:szCs w:val="20"/>
          <w:color w:val="auto"/>
        </w:rPr>
      </w:pPr>
    </w:p>
    <w:p>
      <w:pPr>
        <w:spacing w:after="0" w:line="2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the compensation cost under the share and unit-based plans:</w:t>
      </w:r>
    </w:p>
    <w:p>
      <w:pPr>
        <w:spacing w:after="0" w:line="285"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For the Three Months</w:t>
            </w:r>
          </w:p>
        </w:tc>
        <w:tc>
          <w:tcPr>
            <w:tcW w:w="160" w:type="dxa"/>
            <w:vAlign w:val="bottom"/>
          </w:tcPr>
          <w:p>
            <w:pPr>
              <w:spacing w:after="0"/>
              <w:rPr>
                <w:sz w:val="14"/>
                <w:szCs w:val="14"/>
                <w:color w:val="auto"/>
              </w:rPr>
            </w:pPr>
          </w:p>
        </w:tc>
        <w:tc>
          <w:tcPr>
            <w:tcW w:w="150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6"/>
              </w:rPr>
              <w:t>For the Nine Months</w:t>
            </w:r>
          </w:p>
        </w:tc>
      </w:tr>
      <w:tr>
        <w:trPr>
          <w:trHeight w:val="192"/>
        </w:trPr>
        <w:tc>
          <w:tcPr>
            <w:tcW w:w="4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Ended September 30,</w:t>
            </w:r>
          </w:p>
        </w:tc>
        <w:tc>
          <w:tcPr>
            <w:tcW w:w="160" w:type="dxa"/>
            <w:vAlign w:val="bottom"/>
          </w:tcPr>
          <w:p>
            <w:pPr>
              <w:spacing w:after="0"/>
              <w:rPr>
                <w:sz w:val="16"/>
                <w:szCs w:val="16"/>
                <w:color w:val="auto"/>
              </w:rPr>
            </w:pPr>
          </w:p>
        </w:tc>
        <w:tc>
          <w:tcPr>
            <w:tcW w:w="150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w w:val="92"/>
              </w:rPr>
              <w:t>Ended September 30,</w:t>
            </w:r>
          </w:p>
        </w:tc>
      </w:tr>
      <w:tr>
        <w:trPr>
          <w:trHeight w:val="264"/>
        </w:trPr>
        <w:tc>
          <w:tcPr>
            <w:tcW w:w="42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LTIP Units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24,892</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Stock units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4,947</w:t>
            </w:r>
          </w:p>
        </w:tc>
      </w:tr>
      <w:tr>
        <w:trPr>
          <w:trHeight w:val="27"/>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Phantom stock units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7"/>
        </w:trPr>
        <w:tc>
          <w:tcPr>
            <w:tcW w:w="4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4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30,437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Company capitalized share and unit-based compensation costs of $1,062 and $983 for the three months ended September 30, 2018 and 2017, respectively, and $5,575 and $5,278 for the nine months ended September 30, 2018 and 2017, respectively. Unrecognized compensation costs of share and unit-based plans at September 30, 2018 consisted of $6,882 from LTIP Units, $3,023 from stock units, $83 from stock options and $40 from phantom stock units.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28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provision of the TRSs are as follows:</w:t>
      </w:r>
    </w:p>
    <w:p>
      <w:pPr>
        <w:spacing w:after="0" w:line="28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For the Three Months Ended</w:t>
            </w:r>
          </w:p>
        </w:tc>
        <w:tc>
          <w:tcPr>
            <w:tcW w:w="140" w:type="dxa"/>
            <w:vAlign w:val="bottom"/>
          </w:tcPr>
          <w:p>
            <w:pPr>
              <w:spacing w:after="0"/>
              <w:rPr>
                <w:sz w:val="14"/>
                <w:szCs w:val="14"/>
                <w:color w:val="auto"/>
              </w:rPr>
            </w:pPr>
          </w:p>
        </w:tc>
        <w:tc>
          <w:tcPr>
            <w:tcW w:w="186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92"/>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6"/>
                <w:szCs w:val="16"/>
                <w:color w:val="auto"/>
              </w:rPr>
            </w:pPr>
          </w:p>
        </w:tc>
        <w:tc>
          <w:tcPr>
            <w:tcW w:w="186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35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income tax (expense) benefit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0"/>
        </w:trPr>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256" w:right="339" w:bottom="1440" w:gutter="0" w:footer="0" w:header="0"/>
        </w:sectPr>
      </w:pP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320"/>
          </w:cols>
          <w:pgMar w:left="240" w:top="256" w:right="3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 (Continued)</w:t>
      </w:r>
    </w:p>
    <w:p>
      <w:pPr>
        <w:spacing w:after="0" w:line="200" w:lineRule="exact"/>
        <w:rPr>
          <w:sz w:val="20"/>
          <w:szCs w:val="20"/>
          <w:color w:val="auto"/>
        </w:rPr>
      </w:pPr>
    </w:p>
    <w:p>
      <w:pPr>
        <w:spacing w:after="0" w:line="32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net operating loss carryforwards are currently scheduled to expire through 2037, beginning in 2025. Net deferred tax assets of $30,366 and $29,006 were included in deferred charges and other assets, net at September 30, 2018 and December 31, 2017, respectively.</w:t>
      </w:r>
    </w:p>
    <w:p>
      <w:pPr>
        <w:spacing w:after="0" w:line="224"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tax years 2014 through 2017 remain open to examination by the taxing jurisdictions to which the Company is subject. The Company does not expect that the total amount of unrecognized tax benefit will materially change within the next twelve months.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8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On October 25, 2018, the Company announced a dividend/distribution of $0.75 per share for common stockholders and OP Unit holders of record on November 9, 2018. All dividends/distributions will be paid 100% in cash on December 3, 2018.</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56" w:right="2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RELATED TO FORWARD-LOOKING STATEMENTS</w:t>
      </w:r>
    </w:p>
    <w:p>
      <w:pPr>
        <w:spacing w:after="0" w:line="283"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51"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regarding the Company's growth;</w:t>
      </w:r>
    </w:p>
    <w:p>
      <w:pPr>
        <w:spacing w:after="0" w:line="63"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beliefs regarding its acquisition, redevelopment, development, leasing and operational activities and opportunities, including the performance of its retailers;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acquisition, disposition and other strategies;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matters pertaining to compliance with governmental regulations;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capital expenditure plans and expectations for obtaining capital for expenditures;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expectations regarding income tax benefits;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expectations regarding its financial condition or results of operations; and</w:t>
      </w:r>
    </w:p>
    <w:p>
      <w:pPr>
        <w:spacing w:after="0" w:line="63"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expectations for refinancing its indebtedness, entering into and servicing debt obligations and entering into joint venture arrangements.</w:t>
      </w:r>
    </w:p>
    <w:p>
      <w:pPr>
        <w:spacing w:after="0" w:line="89"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interest rate fluctuations, availability, terms and cost of financing and operating expenses; adverse changes in the real estate markets including, among other things, competition from other companies, retail formats and technology, risks of real estate development and redevelopment, acquisitions and dispositions;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under "Item 1A. Risk Factors" in our Annual Report on Form 10-K for the year ended December 31, 2017,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 and Summary</w:t>
      </w:r>
    </w:p>
    <w:p>
      <w:pPr>
        <w:spacing w:after="0" w:line="28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September 30, 2018, the Operating Partnership owned or had an ownership interest in 48 regional shopping centers and five community/power shopping centers aggregating approximately 52 million square feet of gross leasable area. These 53 regional and community/power shopping centers are referred to hereinafter as the "Centers," unless the context otherwise requires. The Company is a self-administered and self-managed real estate investment trust ("REIT") and conducts all of its operations through the Operating Partnership and the Management Companies.</w:t>
      </w:r>
    </w:p>
    <w:p>
      <w:pPr>
        <w:spacing w:after="0" w:line="243"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following discussion is based primarily on the consolidated financial statements of the Company for the three and nine months ended September 30, 2018 and 2017. It compares the results of operations for the three months ended September 30, 2018 to the results of operations for the three months ended September 30, 2017. It also compares the results of operations and cash flows for the nine months ended September 30, 2018 to the results of operations and cash flows for the nine months ended September 30, 2017.</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information should be read in conjunction with the accompanying consolidated financial statements and notes thereto.</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Dispositions: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financial statements reflect the following acquisitions, dispositions and changes in ownership subsequent to the occurrence of each transaction.</w:t>
      </w:r>
    </w:p>
    <w:p>
      <w:pPr>
        <w:spacing w:after="0" w:line="3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On January 18, 2017, the Company sold Cascade Mall, a 589,000 square foot regional shopping center in Burlington, Washington; and Northgate Mall, a 750,000 square foot regional shopping center in San Rafael, California, in a combined transaction for $170.0 million, resulting in a gain on the sale of assets of $59.7 million. The proceeds were used to pay off the mortgage note payable on Northgate Mall and to repurchase shares of the Company's common stock under the 2017 Stock Buyback Program (See "Other Transactions and Events").</w:t>
      </w:r>
    </w:p>
    <w:p>
      <w:pPr>
        <w:spacing w:after="0" w:line="241"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On March 17, 2017, the Company's joint venture in Country Club Plaza sold an office building for $78.0 million, resulting in a gain on sale of assets of $4.6 million. The Company's pro rata share of the gain on sale of assets of $2.3 million was included in equity in income from unconsolidated joint ventures. The Company used its share of the proceeds to fund repurchases under the 2017 Stock Buyback Program (See "Other Transactions and Events").</w:t>
      </w:r>
    </w:p>
    <w:p>
      <w:pPr>
        <w:spacing w:after="0" w:line="20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On September 18, 2017, the Company's joint venture in Fashion District Philadelphia sold its share of an office building for $61.5 million, resulting in a gain on sale of assets of $13.4 million. The Company's pro rata share of the gain on sale of assets of $6.7 million was included in equity in income from unconsolidated joint ventures. The Company used its share of the proceeds to fund repurchases under the 2017 Stock Buyback Program (See "Other Transactions and Events").</w:t>
      </w:r>
    </w:p>
    <w:p>
      <w:pPr>
        <w:spacing w:after="0" w:line="24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On November 16, 2017, the Company sold 500 North Michigan Avenue, a 326,000 square foot office building in Chicago, Illinois, for $86.4 million, resulting in a gain on sale of assets of $14.6 million. The Company used the proceeds from the sale to pay down its line of credit and for other general corporate purposes.</w:t>
      </w:r>
    </w:p>
    <w:p>
      <w:pPr>
        <w:spacing w:after="0" w:line="235"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On December 14, 2017, the Company’s joint venture in Westcor/Queen Creek LLC sold land for $30.5 million, resulting in a gain on sale of assets of $14.9 million. The Company’s share of the gain on sale was $5.4 million, which was included in equity in income of unconsolidated joint ventures. The Company used its portion of the proceeds to pay down its line of credit and for general corporate purposes.</w:t>
      </w:r>
    </w:p>
    <w:p>
      <w:pPr>
        <w:spacing w:after="0" w:line="220"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On February 16, 2018, the Company's joint venture in Fashion District Philadelphia sold its share of an office building for $41.8 million, resulting in a gain on sale of assets of $5.5 million. The Company's pro rata share of the gain on the sale of assets of $2.8 million was included in equity in income from unconsolidated joint ventures. The Company used its portion of the proceeds to pay down its line of credit and for general corporate purposes.</w:t>
      </w:r>
    </w:p>
    <w:p>
      <w:pPr>
        <w:spacing w:after="0" w:line="20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On May 17, 2018, the Company sold Promenade at Casa Grande, a 761,000 square foot community center in Casa Grande, Arizona for $26.0 million, resulting in a loss on sale of assets of $0.3 million. The Company used the proceeds from the sale to pay down its line of credit and for other general corporate purposes.</w:t>
      </w:r>
    </w:p>
    <w:p>
      <w:pPr>
        <w:spacing w:after="0" w:line="23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July 6, 2018, the Company’s joint venture in The Market at Estrella Falls, a 298,000 square foot community center in Goodyear, Arizona, sold the property for $49.1 million, resulting in a gain on sale of assets of $12.6 million. The Company's share of the gain of $3.0 million was included in equity in income from unconsolidated joint ventures. The proceeds were used to pay off the $24.1 million mortgage loan payable on the property, settle development obligations and for distributions to the partners. The Company used its share of the net proceeds for general corporate purposes.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August 31, 2018, the Company completed the sale of a 75% ownership interest in Westside Pavilion, a 755,000 square foot regional shopping center in Los Angeles, California, for $142.5 million, resulting in a gain on sale of assets of $46.2 million. The sales price was funded by a cash payment of $36.9 million and the assumption of a pro rata share of the mortgage note payable on the property of $105.6 million. From March 1, 2018 to the completion of the sale, the Company accounted for its interest in Westside Pavilion as a collaborative arrangement (See Note 14—Collaborative Arrangement of the Company's consolidated financial statements). Upon completion of the sale, the Company has accounted for its ownership interest in Westside Pavilion under the equity method of accounting.</w:t>
      </w:r>
    </w:p>
    <w:p>
      <w:pPr>
        <w:spacing w:after="0" w:line="247"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On September 6, 2018, the Company formed a 50/50 joint venture with Simon Property Group to develop Los Angeles Premium Outlets, a 400,000 square foot outlet center in Carson, California. The joint venture expects to complete the first phase of the development in fall 2021.</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27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On February 1, 2017, the Company's joint venture in West Acres replaced the existing loan on the property with a new $80.0 million loan that bears interest at an effective rate of 4.61% and matures on March 1, 2032. The Company used its share of the excess proceeds to pay down its line of credit and for general corporate purposes.</w:t>
      </w:r>
    </w:p>
    <w:p>
      <w:pPr>
        <w:spacing w:after="0" w:line="23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On March 16, 2017, the Company's joint venture in Kierland Commons replaced the existing loan on the property with a new $225.0 million loan that bears interest at an effective rate of 3.98% and matures on April 1, 2027. The Company used its share of the excess proceeds to pay down its line of credit and for general corporate purposes.</w:t>
      </w:r>
    </w:p>
    <w:p>
      <w:pPr>
        <w:spacing w:after="0" w:line="235" w:lineRule="exact"/>
        <w:rPr>
          <w:sz w:val="20"/>
          <w:szCs w:val="20"/>
          <w:color w:val="auto"/>
        </w:rPr>
      </w:pPr>
    </w:p>
    <w:p>
      <w:pPr>
        <w:jc w:val="both"/>
        <w:ind w:right="560" w:firstLine="432"/>
        <w:spacing w:after="0" w:line="264" w:lineRule="auto"/>
        <w:rPr>
          <w:sz w:val="20"/>
          <w:szCs w:val="20"/>
          <w:color w:val="auto"/>
        </w:rPr>
      </w:pPr>
      <w:r>
        <w:rPr>
          <w:rFonts w:ascii="Arial" w:cs="Arial" w:eastAsia="Arial" w:hAnsi="Arial"/>
          <w:sz w:val="18"/>
          <w:szCs w:val="18"/>
          <w:color w:val="auto"/>
        </w:rPr>
        <w:t>On September 29, 2017, the Company placed a new $110.0 million loan on Green Acres Commons that bears interest at LIBOR plus 2.15% and matures on March 29, 2021. The Company expanded the loan and borrowed the additional $20.0 million available on the loan on March 1, 2018. The Company used the proceeds to pay down its line of credit and for general corporate purposes.</w:t>
      </w:r>
    </w:p>
    <w:p>
      <w:pPr>
        <w:spacing w:after="0" w:line="235"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On October 19, 2017, the Company's joint venture in Chandler Fashion Center and Freehold Raceway Mall ("Chandler Freehold") replaced the existing loan on Freehold Raceway Mall with a new $400.0 million loan that bears interest at an effective rate of 3.94% and matures on November 1, 2029. The Company used its share of the net proceeds to pay down its line of credit and for general corporate purposes.</w:t>
      </w:r>
    </w:p>
    <w:p>
      <w:pPr>
        <w:spacing w:after="0" w:line="22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On November 1, 2017, the Company paid off the $95.0 million mortgage loan payable on Stonewood Center. The Company funded the repayment of the mortgage loan payable from borrowings under its line of credit.</w:t>
      </w:r>
    </w:p>
    <w:p>
      <w:pPr>
        <w:spacing w:after="0" w:line="224"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On December 4, 2017, the Company replaced the existing loan on Santa Monica Place with a new $300.0 million loan that bears interest at LIBOR plus 1.35% and matures on December 9, 2022, including three one-year extension options. The loan is covered by an interest rate cap agreement that effectively prevents LIBOR from exceeding 4.00%. The Company used the net proceeds to pay down its line of credit and for general corporate purposes.</w:t>
      </w:r>
    </w:p>
    <w:p>
      <w:pPr>
        <w:spacing w:after="0" w:line="201"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On January 22, 2018, the Company's joint venture in Fashion District Philadelphia obtained a $250.0 million term loan that bears interest at LIBOR plus 2.0% and matures on January 22, 2023. Concurrent with the loan closing, the joint venture borrowed $150.0 million on the term loan and borrowed the remaining $100.0 million on March 26, 2018. The Company used its share of the proceeds to pay down its line of credit and for general corporate purposes.</w:t>
      </w:r>
    </w:p>
    <w:p>
      <w:pPr>
        <w:spacing w:after="0" w:line="201"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On March 29, 2018, the Company's joint venture in Broadway Plaza placed a $450.0 million loan on the property that bears interest at an effective rate of 4.19% and matures on April 1, 2030. The Company used its share of the proceeds to pay down its line of credit and for general corporate purposes.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Redevelopment and Development Activities:</w:t>
      </w:r>
    </w:p>
    <w:p>
      <w:pPr>
        <w:spacing w:after="0" w:line="279"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Company's joint venture is proceeding with the redevelopment of Fashion District Philadelphia, an 850,000 square foot shopping center in Philadelphia, Pennsylvania. The project is expected to be completed in September 2019. The total cost of the project is estimated to be between $400.0 million and $420.0 million, with $200.0 million to $210.0 million estimated to be the Company's pro rata share. The Company has funded $145.4 million of the total $290.8 million incurred by the joint venture as of September 30, 2018.</w:t>
      </w:r>
    </w:p>
    <w:p>
      <w:pPr>
        <w:spacing w:after="0" w:line="24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Company's joint venture in Scottsdale Fashion Square is redeveloping a former Barney's store that will include a 80,000 square foot exterior expansion. The project is expected to be completed in 2019. The total cost of the project is estimated to be between $140.0 million and $160.0 million, with $70.0 million to $80.0 million estimated to be the Company's pro rata share. The Company has funded $21.6 million of the total $43.3 million incurred by the joint venture as of September 30, 2018.</w:t>
      </w:r>
    </w:p>
    <w:p>
      <w:pPr>
        <w:spacing w:after="0" w:line="24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Company completed the redevelopment of a 250,000 square foot former Sears store at Kings Plaza Shopping Center in July 2018 for a total cost of $113.8 million.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Transactions and Events:</w:t>
      </w:r>
    </w:p>
    <w:p>
      <w:pPr>
        <w:spacing w:after="0" w:line="279"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On February 12, 2017, the Company's Board of Directors authorized the repurchase of up to $500.0 million of its outstanding common shares as market conditions and the Company’s liquidity warrant. Repurchases may be made through open market purchases, privately negotiated transactions, structured or derivative transactions, including ASR transactions, or other methods of acquiring shares, from time to time as permitted by securities laws and other legal requirements. During the period from February 12, 2017 to December 31, 2017, the Company repurchased a total of 3,627,390 of its common shares for $221.4 million, representing an average price of $61.01 per share. The Company funded the repurchases from the net proceeds of the sale of Cascade Mall and Northgate Mall (See "Dispositions"), its share of the proceeds from the sale of ownership</w:t>
      </w:r>
    </w:p>
    <w:p>
      <w:pPr>
        <w:sectPr>
          <w:pgSz w:w="11900" w:h="16838" w:orient="portrait"/>
          <w:cols w:equalWidth="0" w:num="1">
            <w:col w:w="11400"/>
          </w:cols>
          <w:pgMar w:left="240" w:top="121" w:right="25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121" w:right="25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interests in office buildings at Fashion District Philadelphia and Country Club Plaza (See "Dispositions") and from borrowings under its line of credit. No repurchases were made during the three and nine months ended September 30, 2018.</w:t>
      </w:r>
    </w:p>
    <w:p>
      <w:pPr>
        <w:spacing w:after="0" w:line="22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January 1, 2018, upon adoption of ASU 2014-09, "Revenue From Contracts With Customers (ASC 606)", the Company changed its accounting for Chandler Freehold from a co-venture arrangement to a financing arrangement ("Financing Arrangement"). As a result, the Company no longer records co-venture expense for its partner's share of the income of Chandler Freehold. Under the Financing Arrangement, the Company recognizes interest expense on (i) the changes in fair value of the Financing Arrangement obligation, (ii) any payments to the joint venture partner equal to their pro rata share of net income and (iii) any payments to the joint venture partner less than or in excess of their pro rata share of net income.</w:t>
      </w:r>
    </w:p>
    <w:p>
      <w:pPr>
        <w:spacing w:after="0" w:line="227" w:lineRule="exact"/>
        <w:rPr>
          <w:sz w:val="20"/>
          <w:szCs w:val="20"/>
          <w:color w:val="auto"/>
        </w:rPr>
      </w:pPr>
    </w:p>
    <w:p>
      <w:pPr>
        <w:ind w:right="380" w:firstLine="432"/>
        <w:spacing w:after="0" w:line="312" w:lineRule="auto"/>
        <w:rPr>
          <w:sz w:val="20"/>
          <w:szCs w:val="20"/>
          <w:color w:val="auto"/>
        </w:rPr>
      </w:pPr>
      <w:r>
        <w:rPr>
          <w:rFonts w:ascii="Arial" w:cs="Arial" w:eastAsia="Arial" w:hAnsi="Arial"/>
          <w:sz w:val="16"/>
          <w:szCs w:val="16"/>
          <w:color w:val="auto"/>
        </w:rPr>
        <w:t>On February 1 and 2, 2018, the Company reduced its workforce by approximately 10 percent. The Company incurred a one-time charge of $12.7 million in connection with the workforce reduction during the three months ended March 31, 2018. As a result of the workforce reduction, the Company anticipates expenses, exclusive of the one-time charge, will be reduced by approximately $10.0 million during the year ending December 31, 2019.</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June 30, 2018, the Company incurred $19.4 million in costs associated with activities related to shareholder activism.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were primarily for legal and advisory services.</w:t>
      </w:r>
    </w:p>
    <w:p>
      <w:pPr>
        <w:spacing w:after="0" w:line="26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Inflation:</w:t>
      </w:r>
    </w:p>
    <w:p>
      <w:pPr>
        <w:spacing w:after="0" w:line="27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In the last five years, inflation has not had a significant impact on the Company because of a relatively low inflation rate. Most of the leases at the Centers have rent adjustments periodically throughout the lease term. These rent increases are either in fixed increments or based on using an annual multiple of increases in the Consumer Price Index ("CPI"). In addition, approximately 5% to 15% of the leases for spaces 10,000 square feet and under expire each year, which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certain leases require the tenants to pay their pro rata share of operating expenses.</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Seasonality:</w:t>
      </w:r>
    </w:p>
    <w:p>
      <w:pPr>
        <w:spacing w:after="0" w:line="279"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The shopping center industry is seasonal in nature, particularly in the fourth quarter during the holiday season when retailer occupancy and retail sales are typically at their highest levels. In addition, shopping malls achieve a substantial portion of their specialty (temporary retailer) rents during the holiday season and the majority of percentage rent is recognized in the fourth quarter. As a result of the above, earnings are generally higher in the fourth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4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are described in more detail in Note 2—Summary of Significant Accounting Policies in the Company's Notes to the Consolidated Financial Statements. However, the following policies are deemed to be critical.</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Acquisitions:</w:t>
      </w:r>
    </w:p>
    <w:p>
      <w:pPr>
        <w:spacing w:after="0" w:line="279"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w:t>
      </w:r>
    </w:p>
    <w:p>
      <w:pPr>
        <w:sectPr>
          <w:pgSz w:w="11900" w:h="16838" w:orient="portrait"/>
          <w:cols w:equalWidth="0" w:num="1">
            <w:col w:w="11420"/>
          </w:cols>
          <w:pgMar w:left="240" w:top="121" w:right="239" w:bottom="1440" w:gutter="0" w:footer="0" w:header="0"/>
        </w:sect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 The initial allocation of purchase price is based on management's preliminary assessment, which may change when final information becomes available. Subsequent adjustments made to the initial purchase price allocation are made within the allocation period, which does not exceed one year. The purchase price allocation is described as preliminary if it is not yet final. The use of different assumptions in the allocation of the purchase price of the acquired assets and liabilities assumed could affect the timing of recognition of the related revenues and expenses.</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immediately expenses costs associated with business combinations as period costs.</w:t>
      </w:r>
    </w:p>
    <w:p>
      <w:pPr>
        <w:spacing w:after="0" w:line="27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Remeasurement gains are recognized when the Company obtains control of an existing equity method investment to the extent that the fair value of the existing equity investment exceeds the carrying value of the investment.</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Asset Impairment:</w:t>
      </w:r>
    </w:p>
    <w:p>
      <w:pPr>
        <w:spacing w:after="0" w:line="279"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Properties classified as held for sale are measured at the lower of the carrying amount or fair value less cost to sell.</w:t>
      </w:r>
    </w:p>
    <w:p>
      <w:pPr>
        <w:spacing w:after="0" w:line="2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7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224"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22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Many of the variations in the results of operations, discussed below, occurred because of the transactions affecting the Company's properties described in Management's Overview and Summary above, including the Redevelopment Properties, the JV Transition Center and the Disposition Properties (as defined below).</w:t>
      </w:r>
    </w:p>
    <w:p>
      <w:pPr>
        <w:spacing w:after="0" w:line="235"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JV Transition Centers and the Disposition Properties, for the periods of comparison.</w:t>
      </w:r>
    </w:p>
    <w:p>
      <w:pPr>
        <w:spacing w:after="0" w:line="232"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For the comparison of the three and nine months ended September 30, 2018 to the three and nine months ended September 30, 2017, the Redevelopment Properties are Paradise Valley Mall and certain ground up developments. For the comparison of the three and nine months ended September 30, 2018 to the three and nine months ended September 30, 2017, the JV Transition Center is Westside Pavilion. For the comparison of the three and nine months ended September 30, 2018 to the three and nine months ended September 30, 2017, the Disposition Properties are Promenade at Casa Grande, 500 North Michigan Avenue, Cascade Mall and Northgate Mall.</w:t>
      </w:r>
    </w:p>
    <w:p>
      <w:pPr>
        <w:spacing w:after="0" w:line="242"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Unconsolidated joint ventures are reflected using the equity method of accounting. The Company's pro rata share of the results from these Centers is reflected in the Consolidated Statements of Operations as equity in income of unconsolidated joint ventures.</w:t>
      </w:r>
    </w:p>
    <w:p>
      <w:pPr>
        <w:spacing w:after="0" w:line="224"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Company considers tenant annual sales per square foot (for tenants in place for a minimum of twelve months or longer and 10,000 square feet and under),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Tenant sales per square foot increased from $659 for the twelve months ended September 30, 2017 to $707 for the twelve months ended September 30, 2018. Occupancy rate increased from 94.3% at September 30, 2017 to 95.1% at September 30, 2018. Releasing spreads remained positive as the Company was able to lease available space at higher average rents than the expiring rental rates, resulting in a releasing spread of $5.61 per square foot ($57.32 on new and renewal leases executed compared to $51.71 on leases expiring), representing a 10.8% increase for the trailing twelve months ended September 30, 2018. The Company expects that releasing spreads will continue to be positive for the remainder of 2018 as it renews or relets leases that are scheduled to expire. These leases that are scheduled to expire in the next twelve months represent 1.0 million square feet of the Centers, accounting for 13.3% of the gross leasable area ("GLA") of mall stores and freestanding stores, for spaces 10,000 square feet and under, as of September 30, 2018. These calculations exclude Centers under development or redevelopment and property dispositions (See "Acquisitions and Dispositions" and "Redevelopment and Development Activities" in Management's Overview and Summary).</w:t>
      </w:r>
    </w:p>
    <w:p>
      <w:pPr>
        <w:spacing w:after="0" w:line="236"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During the trailing twelve months ended September 30, 2018, the Company signed 225 new leases and 323 renewal leases comprising approximately 0.9 million square feet of GLA, of which 0.6 million square feet related to the consolidated Centers. The annual initial average base rent for new and renewal leases was $57.32 per square foot for the trailing twelve months ended September 30, 2018 with an average tenant allowance of $29.73 per square foot.</w:t>
      </w:r>
    </w:p>
    <w:p>
      <w:pPr>
        <w:spacing w:after="0" w:line="201"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In recent years a number of companies in the retail industry, including some of the Company’s tenants, have declared bankruptcy, gone out of business or significantly reduced the number of their retail stores. These events have not had a material impact on the Company’s results of operations to date and, as noted above, the Company’s key performance indicators all were trending in a positive direction for the quarter ended September 30, 2018.</w:t>
      </w:r>
    </w:p>
    <w:p>
      <w:pPr>
        <w:spacing w:after="0" w:line="201"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On October 15, 2018, Sears Holdings Corporation (“Sears”) filed voluntary petitions under Chapter 11 of the United States Bankruptcy Code and announced additional store closings. As of September 30, 2018, the Company had 21 Sears stores totaling approximately 3.1 million square feet of gross leasable area within the Company’s portfolio, which were responsible for approximately 1% of the Company’s total annualized base minimum rents. The Company owns seven of the stores, Sears owns one of the stores, Seritage Growth Properties ("Seritage") owns four stores and the Company indirectly owns an interest in the remaining nine stores through MS Portfolio LLC, the Company’s joint venture with Seritage.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Although there is a risk of lost base minimum rent and the triggering of co-tenancy clauses from such a tenant, there is also the potential to create additional value through the recapturing of space and releasing that space to new tenants at higher rent per square foot, which the Company has demonstrated through its joint venture with Seritage and the completed redevelopment of a former Sears store at Kings Plaza Shopping Center in July 2018 (See “Redevelopment and Development Activities” in Management’s Overview and Summary).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2018 and 2017</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Minimum and percentage rents (collectively referred to as "rental revenue") increased by $1.8 million, or 1.2%, from 2017 to 2018. The increase in rental revenue is attributed to an increase of $6.6 million from the Same Centers and $0.7 million from the Redevelopment Properties offset in part by decreases of $3.0 million from the Disposition Properties and $2.5 million from the JV Transition Center. Rental revenue includes the amortization of above and below-market leases, the amortization of straight-line rents and lease termination income. The amortization of above and below-market leases changed from a charge of $0.7 million in 2017 to a credit of $0.7 million in 2018. The amortization of straight-line rents increased from $3.0 million in 2017 to $3.5 million in 2018. Lease termination income increased from $3.1 million in 2017 to $3.7 million in 2018. The increase in rental revenue at the Same Centers was primarily due to an increase in lease termination income and improved leasing spreads.</w:t>
      </w:r>
    </w:p>
    <w:p>
      <w:pPr>
        <w:spacing w:after="0" w:line="23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Tenant recoveries decreased $4.9 million, or 6.7%, from 2017 to 2018. This decrease in tenant recoveries is attributed to decreases of $2.6 million from the Same Centers, $1.8 million from the JV Transition Center and $0.5 million from the Disposition Properties.</w:t>
      </w:r>
    </w:p>
    <w:p>
      <w:pPr>
        <w:spacing w:after="0" w:line="22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Management Companies' revenue increased from $10.1 million in 2017 to $11.1 million in 2018. The increase in Management Companies' revenue is primarily due to an increase in development fees from unconsolidated joint ventures.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27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Shopping center and operating expenses decreased $3.5 million, or 4.6%, from 2017 to 2018. The decrease in shopping center and operating expenses is attributed to decreases of $1.9 million from the Disposition Properties, $1.6 million from the JV Transition Center and $1.1 million from the Same Centers offset in part by an increase of $1.1 million from the Redevelopment Properties.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 Companies' operating expenses decreased $0.5 million from 2017 to 2018.</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REIT general and administrative expenses increased $0.2 million from 2017 to 2018.</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Depreciation and Amortization:</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Depreciation and amortization decreased $1.3 million from 2017 to 2018. The decrease in depreciation and amortization is attributed to decreases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 million from the JV Transition Center, $1.3 million from the Disposition Properties and $0.1 million from the Redevelopment Properties offset in part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increase of $1.5 million from the Same Centers.</w:t>
      </w:r>
    </w:p>
    <w:p>
      <w:pPr>
        <w:spacing w:after="0" w:line="26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w:t>
      </w:r>
    </w:p>
    <w:p>
      <w:pPr>
        <w:spacing w:after="0" w:line="279"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Interest expense increased $1.7 million from 2017 to 2018. The increase in interest expense is attributed to increases of $3.3 million from the Same Centers, $0.6 million from the Redevelopment Properties, $0.1 million from the borrowings under the Company's line of credit and $0.1 million from the Disposition Properties offset in part by decreases of $1.4 million from the JV Transition Center and $1.0 million from the Financing Arrangement (See "Other Transactions and Events" in Management's Overview and Summary). The increase in interest expense at the Same Centers is primarily due to the new loans on Green Acres Commons and Freehold Raceway Mall (See "Financing Activities" in Management's Overview and Summary).</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above interest expense items are net of capitalized interest, which increased from $3.4 million in 2017 to $3.8 million in 2018.</w:t>
      </w:r>
    </w:p>
    <w:p>
      <w:pPr>
        <w:sectPr>
          <w:pgSz w:w="11900" w:h="16838" w:orient="portrait"/>
          <w:cols w:equalWidth="0" w:num="1">
            <w:col w:w="11420"/>
          </w:cols>
          <w:pgMar w:left="240" w:top="122"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Equity in Income of Unconsolidated Joint Ventures: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Equity in income of unconsolidated joint ventures decreased $5.2 million from 2017 to 2018.</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Gain (Loss) on Sale or Write Down of Assets, net:</w:t>
      </w:r>
    </w:p>
    <w:p>
      <w:pPr>
        <w:spacing w:after="0" w:line="27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gain on sale or write down of assets, net increased $58.4 million from 2017 to 2018. The increase in gain on sale or write down of assets, net is primarily due to the gain of $46.2 million on the sale of the 75% ownership interest in Westside Pavilion in 2018 (See "Acquisitions and Dispositions" in Management's Overview and Summary) and an impairment loss of $12.0 million on Southridge Center in 2017. The impairment loss was due to the reduction in the estimated holding periods of the property.</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Income:</w:t>
      </w:r>
    </w:p>
    <w:p>
      <w:pPr>
        <w:spacing w:after="0" w:line="27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Net income increased $62.0 million from 2017 to 2018 primarily due to the $58.4 million increase in the gain (loss) on sale or write down of assets, net, as discussed above.</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Funds From Operations ("FFO"):</w:t>
      </w:r>
    </w:p>
    <w:p>
      <w:pPr>
        <w:spacing w:after="0" w:line="279"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Primarily as a result of the factors mentioned above, FFO attributable to common stockholders and unit holders—diluted increased 3.1% from $145.0 million in 2017 to $149.6 million in 2018. For a reconciliation of net income attributable to the Company, the most directly comparable GAAP financial measure, to FFO attributable to common stockholders and unit holders and FFO attributable to common stockholders and unit holders—diluted, see "Funds From Operations ("FFO")"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September 30, 2018 and 2017</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Rental revenue decreased by $12.0 million, or 2.7%, from 2017 to 2018. The decrease in rental revenue is attributed to decreases of $8.2 million from the Disposition Properties, $6.6 million from the JV Transition Center and $0.1 million from the Redevelopment Properties offset in part by an increase of $2.9 million from the Same Centers. The amortization of above and below-market leases increased from $0.4 million in 2017 to $2.5 million in 2018. The amortization of straight-line rents increased from $7.5 million in 2017 to $9.0 million in 2018. Lease termination income decreased from $13.5 million in 2017 to $7.2 million in 2018. The increase in rental revenue at the Same Centers was primarily due to an increase in lease termination income and improved leasing spreads.</w:t>
      </w:r>
    </w:p>
    <w:p>
      <w:pPr>
        <w:spacing w:after="0" w:line="24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Tenant recoveries decreased $11.4 million, or 5.3%, from 2017 to 2018. The decrease in tenant recoveries is attributed to decreases of $7.0 million from the Same Centers, $3.3 million from the JV Transition Center, $0.9 million from the Disposition Properties and $0.2 million from the Redevelopment Properties.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 Companies' revenue increased from $32.0 million in 2017 to $32.1 million in 2018.</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27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Shopping center and operating expenses decreased $7.8 million, or 3.5%, from 2017 to 2018. The decrease in shopping center and operating expenses is attributed to decreases of $5.9 million from the Disposition Properties and $4.0 million from the JV Transition Center offset in part by an increase of $1.1 million from the Redevelopment Properties and $1.0 million from the Same Centers.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279"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Management Companies' operating expenses increased $4.0 million from 2017 to 2018. The increase is attributed to a one-time charge of $12.7 million in connection with the Company's reduction in work force in 2018 (See "Other Transactions and Events" in Management's Overview and Summary) offset in part by a reduction in payroll and share and unit-based compensation costs.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REIT general and administrative expenses decreased $2.8 million from 2017 to 2018 due to a reduction in compensation costs.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Costs Related to Shareholder Activism</w:t>
      </w:r>
    </w:p>
    <w:p>
      <w:pPr>
        <w:spacing w:after="0" w:line="279" w:lineRule="exact"/>
        <w:rPr>
          <w:sz w:val="20"/>
          <w:szCs w:val="20"/>
          <w:color w:val="auto"/>
        </w:rPr>
      </w:pPr>
    </w:p>
    <w:p>
      <w:pPr>
        <w:jc w:val="both"/>
        <w:ind w:right="60" w:firstLine="432"/>
        <w:spacing w:after="0" w:line="277" w:lineRule="auto"/>
        <w:rPr>
          <w:sz w:val="20"/>
          <w:szCs w:val="20"/>
          <w:color w:val="auto"/>
        </w:rPr>
      </w:pPr>
      <w:r>
        <w:rPr>
          <w:rFonts w:ascii="Arial" w:cs="Arial" w:eastAsia="Arial" w:hAnsi="Arial"/>
          <w:sz w:val="18"/>
          <w:szCs w:val="18"/>
          <w:color w:val="auto"/>
        </w:rPr>
        <w:t>The Company incurred $19.4 million in costs related to shareholder activism in 2018 (See "Other Transactions and Events" in Management's Overview and Summary).</w:t>
      </w:r>
    </w:p>
    <w:p>
      <w:pPr>
        <w:sectPr>
          <w:pgSz w:w="11900" w:h="16838" w:orient="portrait"/>
          <w:cols w:equalWidth="0" w:num="1">
            <w:col w:w="11420"/>
          </w:cols>
          <w:pgMar w:left="240" w:top="121" w:right="239" w:bottom="100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00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Depreciation and Amortization:</w:t>
      </w:r>
    </w:p>
    <w:p>
      <w:pPr>
        <w:spacing w:after="0" w:line="279"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Depreciation and amortization decreased $8.9 million from 2017 to 2018. The decrease in depreciation and amortization is attributed to decreases of $3.4 million from the JV Transition Center, $3.4 million from the Disposition Properties, $2.0 million from the Same Centers and $0.1 million from the Redevelopment Properties.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w:t>
      </w:r>
    </w:p>
    <w:p>
      <w:pPr>
        <w:spacing w:after="0" w:line="27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Interest expense increased $9.6 million from 2017 to 2018. The increase in interest expense was attributed to an increase of $8.1 million from the Same Centers, $2.3 million from borrowings under the Company's line of credit, $2.1 million from the Financing Arrangement (See "Other Transactions and Events" in Management's Overview and Summary), $0.4 million from the Disposition Properties and $0.2 million from the Redevelopment Properties offset in part by a decrease of $3.5 million from the JV Transition Center. The increase in interest expense at the Same Centers is primarily due to the new loans on Green Acres Commons and Freehold Raceway Mall (See "Financing Activities" in Management's Overview and Summary).</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above interest expense items are net of capitalized interest, which increased from $9.4 million in 2017 to $12.8 million in 2018.</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Equity in Income of Unconsolidated Joint Ventures: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Equity in income of unconsolidated joint ventures decreased $5.4 million from 2017 to 2018.</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Gain (Loss) on Sale or Write Down of Assets, net:</w:t>
      </w:r>
    </w:p>
    <w:p>
      <w:pPr>
        <w:spacing w:after="0" w:line="279"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The change in gain (loss) on sale or write down of assets, net was $37.7 million, resulting from a gain of $37.2 million in 2017 and a loss of $0.5 million in 2018. The change in gain (loss) on sale or write down of assets, net is primarily due to the gain of $59.7 million on the sale of Cascade Mall and Northgate Mall in 2017 (See "Acquisitions and Dispositions" in Management's Overview and Summary) and an impairment loss of $36.3 million on SouthPark Mall in 2018 offset in part by the gain of $46.2 million on the sale of a 75% ownership interest in Westside Pavilion in 2018 (See "Acquisitions and Dispositions" in Management's Overview and Summary) and an impairment loss of $12.0 million on Southridge Center in 2017. The impairment losses were due to the reduction in the estimated holding periods of the properties.</w:t>
      </w:r>
    </w:p>
    <w:p>
      <w:pPr>
        <w:spacing w:after="0" w:line="2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Income:</w:t>
      </w:r>
    </w:p>
    <w:p>
      <w:pPr>
        <w:spacing w:after="0" w:line="27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Net income decreased $67.4 million from 2017 to 2018, primarily due to the $37.7 million change in gain (loss) on sale or write down of assets, net and the $19.4 million costs related to shareholder activism in 2018, as discussed above.</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Funds From Operations ("FFO"):</w:t>
      </w:r>
    </w:p>
    <w:p>
      <w:pPr>
        <w:spacing w:after="0" w:line="27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Primarily as a result of the factors mentioned above, FFO attributable to common stockholders and unit holders—diluted decreased 6.7% from $427.3 million in 2017 to $398.8 million in 2018. For a reconciliation of net income attributable to the Company, the most directly comparable GAAP financial measure, to FFO attributable to common stockholders and unit holders and FFO attributable to common stockholders and unit holders—diluted, see "Funds From Operations ("FFO")" below.</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27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Cash provided by operating activities decreased $52.7 million from 2017 to 2018. The decrease is primarily due to the $19.4 million in costs related to shareholder activism in 2018 (See "Other Transactions and Events" in Management's Overview and Summary), changes in assets and liabilities and the results as discussed above.</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279"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Cash provided by investing activities increased $91.5 million from 2017 to 2018. The increase in cash provided by investing activities is primarily attributed to an increase in distributions from unconsolidated joint ventures of $315.2 million and a decrease in property improvements of $1.6 million offset in part by an increase in contributions to unconsolidated joint ventures of $98.7 million, a decrease in cash proceeds from the sale of assets of $85.4 million and an increase in development, redevelopment, expansion and renovation of properties costs of $42.6 million.</w:t>
      </w:r>
    </w:p>
    <w:p>
      <w:pPr>
        <w:spacing w:after="0" w:line="225"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The increase in distributions from unconsolidated joint ventures is primarily due to the distribution of the Company's share of proceeds from the loans placed on Broadway Plaza and Fashion District Philadelphia (See "Financing Activities" in Management's Overview and Summary) and the sale of The Market at Estrella Falls and the sale of an ownership interest in an office building at Fashion District Philadelphia (See "Acquisitions and Dispositions" in Management's Overview and Summary) in 2018. The decrease in cash proceeds from the sale of assets is attributed to the sales of Cascade Mall and</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Northgate Mall in 2017 offset in part by the proceeds from the sale of Promenade at Casa Grande and an ownership interest in Westside Pavilion in 2018 (See "Acquisitions and Dispositions" in Management's Overview and Summary).</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279"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color w:val="auto"/>
        </w:rPr>
        <w:t>Cash used in financing activities increased $15.6 million from 2017 to 2018. The increase in cash used in financing activities is primarily due to a decrease in proceeds from mortgages, bank and other notes payable of $215.0 million and an increase in payments on mortgages, bank and other notes payable of $33.3 million offset in part by repurchases of the Company's common stock of $221.4 million in 2017 (See "Other Transactions and Events" in Management's Overview and Summary) and a decrease in distributions to co-venture partner of $11.0 million (See "Other Transactions and Events" in Management's Overview and Summary).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Company anticipates meeting its liquidity needs for its operating expenses, debt service and dividend requirements for the next twelve months through cash generated from operations, distributions from unconsolidated joint ventures, working capital reserves and/or borrowings under its unsecured line of credit. The following tables summarize capital expenditures incurred at the Centers (at the Company's pro rata share):</w:t>
      </w:r>
    </w:p>
    <w:p>
      <w:pPr>
        <w:spacing w:after="0" w:line="226" w:lineRule="exact"/>
        <w:rPr>
          <w:sz w:val="20"/>
          <w:szCs w:val="20"/>
          <w:color w:val="auto"/>
        </w:rPr>
      </w:pPr>
    </w:p>
    <w:tbl>
      <w:tblPr>
        <w:tblLayout w:type="fixed"/>
        <w:tblInd w:w="21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192"/>
        </w:trPr>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Consolidated Centers: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Acquisitions of property and equipment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31,055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19,712</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Development, redevelopment, expansion and renovation of Centers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86,287</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Tenant allowances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9,081</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leasing charges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19,243</w:t>
            </w:r>
          </w:p>
        </w:tc>
      </w:tr>
      <w:tr>
        <w:trPr>
          <w:trHeight w:val="237"/>
        </w:trPr>
        <w:tc>
          <w:tcPr>
            <w:tcW w:w="5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182,604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134,323</w:t>
            </w:r>
          </w:p>
        </w:tc>
      </w:tr>
      <w:tr>
        <w:trPr>
          <w:trHeight w:val="67"/>
        </w:trPr>
        <w:tc>
          <w:tcPr>
            <w:tcW w:w="5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Joint Venture Centers: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Acquisitions of property and equipment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6,549</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Development, redevelopment, expansion and renovation of Centers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92,514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Tenant allowances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4,650</w:t>
            </w:r>
          </w:p>
        </w:tc>
      </w:tr>
      <w:tr>
        <w:trPr>
          <w:trHeight w:val="27"/>
        </w:trPr>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leasing charges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r>
      <w:tr>
        <w:trPr>
          <w:trHeight w:val="237"/>
        </w:trPr>
        <w:tc>
          <w:tcPr>
            <w:tcW w:w="5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123,819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108,379</w:t>
            </w:r>
          </w:p>
        </w:tc>
      </w:tr>
      <w:tr>
        <w:trPr>
          <w:trHeight w:val="27"/>
        </w:trPr>
        <w:tc>
          <w:tcPr>
            <w:tcW w:w="5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expects amounts to be incurred during the next twelve months for tenant allowances and deferred leasing charges to be comparable or less than 2017 and that capital for those expenditures will be available from working capital, cash flow from operations, borrowings on property specific debt or unsecured corporate borrowings. The Company expects to incur between $200 million and $300 million during the next twelve months for development, redevelopment, expansion and renovations. Capital for these major expenditures, developments and/or redevelopments has been, and is expected to continue to be, obtained from a combination of debt or equity financings, which are expected to include borrowings under the Company's line of credit and construction loans.</w:t>
      </w:r>
    </w:p>
    <w:p>
      <w:pPr>
        <w:spacing w:after="0" w:line="24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Company has also generated liquidity in the past, and may continue to do so in the future, through equity offerings and issuances, property refinancings, joint venture transactions and the sale of non-core assets. For example, the Company's recently completed sales of ownership interests in Westside Pavilion and office buildings at Fashion District Philadelphia and Country Club Plaza (See "Acquisitions and Dispositions" in Management's Overview and Summary), the sales of The Market at Estrella Falls, Promenade at Casa Grande, Cascade Mall, Northgate Mall and 500 North Michigan Avenue and the financing of Fashion District Philadelphia and Broadway Plaza (See "Financing Activities" in Management's Overview and Summary). The Company used the proceeds from these transactions to pay down its line of credit and for other general corporate purposes, which included the repurchases of the Company's common stock under the 2017 Stock Buyback Program (See "Other Transactions and Events" in Management's Overview and Summary). Furthermore, the Company has filed a shelf registration statement, which registered an unspecified amount of common stock, preferred stock, depositary shares, debt securities, warrants, rights, stock purchase contracts and units that may be sold from time to time by the Company. The Company expects any additional repurchases of the Company's common stock under the 2017 Stock Buyback Program to be funded by future sales of non-core assets, borrowings under its line of credit and/or refinancing transactions.</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capital and credit markets can fluctuate and, at times, limit access to debt and equity financing for companies. As demonstrated by the Company's recent activity as discussed below,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 the event that the Company has significant tenant defaults as a result of the overall economy and general market conditions, the Company could have a decrease in cash flow from operations, which could result in increased borrowings under its line of credit. These events could result in an increase in the Company's proportion of floating rate debt, which would cause it to be subject to interest rate fluctuations in the future.</w:t>
      </w:r>
    </w:p>
    <w:p>
      <w:pPr>
        <w:spacing w:after="0" w:line="243"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The Company's total outstanding loan indebtedness at September 30, 2018 was $7.7 billion (consisting of $4.9 billion of consolidated debt, less $318.9 million of noncontrolling interests, plus $3.2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our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243"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The Company has a $1.5 billion revolving line of credit facility that bears interest at LIBOR plus a spread of 1.30% to 1.90%, depending on the Company's overall leverage level, and matures on July 6, 2020 with a one-year extension option. The line of credit can be expanded, depending on certain conditions, up to a total facility of $2.0 billion. All obligations under the facility are unconditionally guaranteed only by the Company. Based on the Company's leverage level as of September 30, 2018, the borrowing rate on the facility was LIBOR plus 1.45%. The Company has an interest rate swap agreement that effectively converts $400.0 million of the outstanding balance from floating rate debt of LIBOR plus 1.45% to fixed rate debt of 4.30% until September 14, 2021. At September 30, 2018, total borrowings under the line of credit were $790.0 million less unamortized deferred finance costs of $5.8 million with a total interest rate of 4.08%. The Company's availability under the line of credit was $709.7 million at September 30, 2018.</w:t>
      </w:r>
    </w:p>
    <w:p>
      <w:pPr>
        <w:spacing w:after="0" w:line="221"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Cash dividends and distributions for the nine months ended September 30, 2018 were $339.4 million. A total of $247.2 million was funded by operations. The remaining $92.3 million was funded from distributions from unconsolidated joint ventures, which were included in the cash flows from investing activities section of the Company's Consolidated Statement of Cash Flows.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September 30, 2018, the Company was in compliance with all applicable loan covenants under its agreements.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September 30, 2018, the Company had cash and cash equivalents of $93.5 million.</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Off-Balance Sheet Arrangements:</w:t>
      </w:r>
    </w:p>
    <w:p>
      <w:pPr>
        <w:spacing w:after="0" w:line="279"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178" w:lineRule="exact"/>
        <w:rPr>
          <w:sz w:val="20"/>
          <w:szCs w:val="20"/>
          <w:color w:val="auto"/>
        </w:rPr>
      </w:pPr>
    </w:p>
    <w:p>
      <w:pPr>
        <w:jc w:val="both"/>
        <w:ind w:right="360" w:firstLine="432"/>
        <w:spacing w:after="0" w:line="342" w:lineRule="auto"/>
        <w:rPr>
          <w:sz w:val="20"/>
          <w:szCs w:val="20"/>
          <w:color w:val="auto"/>
        </w:rPr>
      </w:pPr>
      <w:r>
        <w:rPr>
          <w:rFonts w:ascii="Arial" w:cs="Arial" w:eastAsia="Arial" w:hAnsi="Arial"/>
          <w:sz w:val="16"/>
          <w:szCs w:val="16"/>
          <w:color w:val="auto"/>
        </w:rPr>
        <w:t>Additionally, as of September 30, 2018, the Company was contingently liable for $65.8 million in letters of credit guaranteeing performance by the Company of certain obligations relating to the Centers. The Company does not believe that these letters of credit will result in a liability to the Company.</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Obligations:</w:t>
      </w:r>
    </w:p>
    <w:p>
      <w:pPr>
        <w:spacing w:after="0" w:line="27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The following is a schedule of contractual obligations as of September 30, 2018 for the consolidated Centers over the periods in which they are expected to be paid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93"/>
              </w:rPr>
              <w:t>Payment Due by Period</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0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Less than</w:t>
            </w:r>
          </w:p>
        </w:tc>
        <w:tc>
          <w:tcPr>
            <w:tcW w:w="220" w:type="dxa"/>
            <w:vAlign w:val="bottom"/>
          </w:tcPr>
          <w:p>
            <w:pPr>
              <w:spacing w:after="0"/>
              <w:rPr>
                <w:sz w:val="13"/>
                <w:szCs w:val="13"/>
                <w:color w:val="auto"/>
              </w:rPr>
            </w:pPr>
          </w:p>
        </w:tc>
        <w:tc>
          <w:tcPr>
            <w:tcW w:w="86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9"/>
              </w:rPr>
              <w:t>1 - 3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315"/>
              <w:spacing w:after="0" w:line="153" w:lineRule="exact"/>
              <w:rPr>
                <w:sz w:val="20"/>
                <w:szCs w:val="20"/>
                <w:color w:val="auto"/>
              </w:rPr>
            </w:pPr>
            <w:r>
              <w:rPr>
                <w:rFonts w:ascii="Arial" w:cs="Arial" w:eastAsia="Arial" w:hAnsi="Arial"/>
                <w:sz w:val="14"/>
                <w:szCs w:val="14"/>
                <w:b w:val="1"/>
                <w:bCs w:val="1"/>
                <w:color w:val="auto"/>
              </w:rPr>
              <w:t>3 - 5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2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1 year</w:t>
            </w:r>
          </w:p>
        </w:tc>
        <w:tc>
          <w:tcPr>
            <w:tcW w:w="22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years</w:t>
            </w:r>
          </w:p>
        </w:tc>
        <w:tc>
          <w:tcPr>
            <w:tcW w:w="26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6"/>
                <w:szCs w:val="16"/>
                <w:color w:val="auto"/>
              </w:rPr>
            </w:pPr>
          </w:p>
        </w:tc>
        <w:tc>
          <w:tcPr>
            <w:tcW w:w="920" w:type="dxa"/>
            <w:vAlign w:val="bottom"/>
          </w:tcPr>
          <w:p>
            <w:pPr>
              <w:jc w:val="right"/>
              <w:ind w:right="175"/>
              <w:spacing w:after="0"/>
              <w:rPr>
                <w:sz w:val="20"/>
                <w:szCs w:val="20"/>
                <w:color w:val="auto"/>
              </w:rPr>
            </w:pPr>
            <w:r>
              <w:rPr>
                <w:rFonts w:ascii="Arial" w:cs="Arial" w:eastAsia="Arial" w:hAnsi="Arial"/>
                <w:sz w:val="14"/>
                <w:szCs w:val="14"/>
                <w:b w:val="1"/>
                <w:bCs w:val="1"/>
                <w:color w:val="auto"/>
                <w:w w:val="99"/>
              </w:rPr>
              <w:t>five years</w:t>
            </w:r>
          </w:p>
        </w:tc>
        <w:tc>
          <w:tcPr>
            <w:tcW w:w="0" w:type="dxa"/>
            <w:vAlign w:val="bottom"/>
          </w:tcPr>
          <w:p>
            <w:pPr>
              <w:spacing w:after="0"/>
              <w:rPr>
                <w:sz w:val="1"/>
                <w:szCs w:val="1"/>
                <w:color w:val="auto"/>
              </w:rPr>
            </w:pPr>
          </w:p>
        </w:tc>
      </w:tr>
      <w:tr>
        <w:trPr>
          <w:trHeight w:val="215"/>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Long-term debt obligations (includes</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interest payments)(1)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5,552,316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522,361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2,426,891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822,649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1,780,415</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Operating lease obligations(2)</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303,091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224,142</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obligations(2)</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295,475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213,749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43,998</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6,159,776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761,099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2,483,387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866,735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2,048,555</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Interest payments on floating rate debt were based on rates in effect at September 30, 2018.</w:t>
      </w:r>
    </w:p>
    <w:p>
      <w:pPr>
        <w:spacing w:after="0" w:line="7"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Note 16—Commitments and Contingencies in the Company's Notes to Consolidated Financial Statements.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("FFO")</w:t>
      </w:r>
    </w:p>
    <w:p>
      <w:pPr>
        <w:spacing w:after="0" w:line="283"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Company uses FFO in addition to net income to report its operating and financial results and considers FFO and FFO -diluted as supplemental measures for the real estate industry and a supplement to GAAP measures. The National Association of Real Estate Investment Trusts ("Nareit") defines FFO as net income (loss) (computed in accordance with GAAP), excluding gains (or losses) from extraordinary items and sales of depreciated operating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As a result of changes in the accounting standard ASC 606 effective January 1, 2018, the Company began treating its joint venture in Chandler Freehold as a Financing Arrangement for accounting purposes.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 related to the changes in fair value and for the payments to the joint venture partner less than or in excess of their pro rata share of net income. Although the Nareit definition of FFO predates this guidance for accounting for financing arrangements, the Company believes that excluding the noted expense resulting from the Financing Arrangement is consistent with the key objective of FFO as a performance measure and it allows the Company’s current FFO to be comparable with the Company’s FFO from prior quarters. Adjustments for unconsolidated joint ventures are calculated to reflect FFO on the same basis.The Company also presents FFO excluding costs associated with shareholder activism.</w:t>
      </w:r>
    </w:p>
    <w:p>
      <w:pPr>
        <w:spacing w:after="0" w:line="226"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non-routine costs associated with shareholder activism provides useful supplemental information regarding the Company’s performance as it shows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22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Company believes that FFO does not represent cash flow from operations as defined by GAAP, should not be considered as an alternative to net income as defined by GAAP, and is not indicative of cash available to fund all cash flow needs. The Company also cautions that FFO, as presented, may not be comparable to similarly titled measures reported by other REITs.</w:t>
      </w:r>
    </w:p>
    <w:p>
      <w:pPr>
        <w:spacing w:after="0" w:line="235"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Management compensates for the limitations of FFO by providing investors with financial statements prepared according to GAAP, along with this detailed discussion of FFO and a reconciliation of net income to FFO and FFO-diluted. Management believes that to further understand the Company's performance, FFO should be compared with the Company's reported net income and considered in addition to cash flows in accordance with GAAP, as presented in the Company's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("FFO") (Continued)</w:t>
      </w:r>
    </w:p>
    <w:p>
      <w:pPr>
        <w:spacing w:after="0" w:line="28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following reconciles net income (loss) attributable to the Company to FFO and FFO-diluted attributable to common stockholders and unit holders-basic and diluted, excluding costs related to shareholder activism for the three and nine months ended September 30, 2018 and 2017 (dollars and shares in thousands):</w:t>
      </w:r>
    </w:p>
    <w:p>
      <w:pPr>
        <w:spacing w:after="0" w:line="24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4"/>
              </w:rPr>
              <w:t>For the Three Months Ended</w:t>
            </w:r>
          </w:p>
        </w:tc>
        <w:tc>
          <w:tcPr>
            <w:tcW w:w="120" w:type="dxa"/>
            <w:vAlign w:val="bottom"/>
          </w:tcPr>
          <w:p>
            <w:pPr>
              <w:spacing w:after="0"/>
              <w:rPr>
                <w:sz w:val="14"/>
                <w:szCs w:val="14"/>
                <w:color w:val="auto"/>
              </w:rPr>
            </w:pPr>
          </w:p>
        </w:tc>
        <w:tc>
          <w:tcPr>
            <w:tcW w:w="182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w w:val="93"/>
              </w:rPr>
              <w:t>For the Nine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820" w:type="dxa"/>
            <w:vAlign w:val="bottom"/>
            <w:gridSpan w:val="4"/>
          </w:tcPr>
          <w:p>
            <w:pPr>
              <w:jc w:val="right"/>
              <w:ind w:right="43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gridSpan w:val="2"/>
          </w:tcPr>
          <w:p>
            <w:pPr>
              <w:jc w:val="right"/>
              <w:ind w:right="26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Company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74,028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48,271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113,379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6"/>
                <w:szCs w:val="16"/>
                <w:color w:val="auto"/>
                <w:w w:val="97"/>
              </w:rPr>
              <w:t>Adjustments to reconcile net income (loss) attributable to the Company to</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
              <w:spacing w:after="0"/>
              <w:rPr>
                <w:sz w:val="20"/>
                <w:szCs w:val="20"/>
                <w:color w:val="auto"/>
              </w:rPr>
            </w:pPr>
            <w:r>
              <w:rPr>
                <w:rFonts w:ascii="Arial" w:cs="Arial" w:eastAsia="Arial" w:hAnsi="Arial"/>
                <w:sz w:val="16"/>
                <w:szCs w:val="16"/>
                <w:color w:val="auto"/>
              </w:rPr>
              <w:t>FFO attributable to common stockholders and unit holders—basic and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00" w:type="dxa"/>
            <w:vAlign w:val="bottom"/>
          </w:tcPr>
          <w:p>
            <w:pPr>
              <w:ind w:left="20"/>
              <w:spacing w:after="0"/>
              <w:rPr>
                <w:sz w:val="20"/>
                <w:szCs w:val="20"/>
                <w:color w:val="auto"/>
              </w:rPr>
            </w:pPr>
            <w:r>
              <w:rPr>
                <w:rFonts w:ascii="Arial" w:cs="Arial" w:eastAsia="Arial" w:hAnsi="Arial"/>
                <w:sz w:val="16"/>
                <w:szCs w:val="16"/>
                <w:color w:val="auto"/>
              </w:rPr>
              <w:t>diluted: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Noncontrolling interests in the Operating Partnership</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5,432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(Gain) loss on sale or write down of assets, net—consolidated assets</w:t>
            </w: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(46,516)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(37,234)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Add: noncontrolling interests share of gain on sale or write down of</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assets—consolidated assets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Add: gain on sale of undepreciated assets—consolidated assets</w:t>
            </w:r>
          </w:p>
        </w:tc>
        <w:tc>
          <w:tcPr>
            <w:tcW w:w="120" w:type="dxa"/>
            <w:vAlign w:val="bottom"/>
          </w:tcPr>
          <w:p>
            <w:pPr>
              <w:spacing w:after="0"/>
              <w:rPr>
                <w:sz w:val="20"/>
                <w:szCs w:val="20"/>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6"/>
                <w:szCs w:val="16"/>
                <w:color w:val="auto"/>
              </w:rPr>
              <w:t>2,060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3,415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6"/>
              </w:rPr>
              <w:t>Less: loss on write-down of non-real estate assets—consolidated assets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(10,138)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Gain on sale or write down of assets—unconsolidated joint ventures,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net(1)</w:t>
            </w:r>
          </w:p>
        </w:tc>
        <w:tc>
          <w:tcPr>
            <w:tcW w:w="1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(2,968)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(8,981)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Add: gain on sale of undepreciated assets—unconsolidated joint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ventures(1)</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2,151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Depreciation and amortization—consolidated assets</w:t>
            </w:r>
          </w:p>
        </w:tc>
        <w:tc>
          <w:tcPr>
            <w:tcW w:w="120" w:type="dxa"/>
            <w:vAlign w:val="bottom"/>
          </w:tcPr>
          <w:p>
            <w:pPr>
              <w:spacing w:after="0"/>
              <w:rPr>
                <w:sz w:val="20"/>
                <w:szCs w:val="20"/>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6"/>
                <w:szCs w:val="16"/>
                <w:color w:val="auto"/>
              </w:rPr>
              <w:t>81,803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83,147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240,608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249,463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Less: noncontrolling interests in depreciation and amortization—</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consolidated assets</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(3,670)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(10,946)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Depreciation and amortization—unconsolidated joint ventures(1)</w:t>
            </w:r>
          </w:p>
        </w:tc>
        <w:tc>
          <w:tcPr>
            <w:tcW w:w="120" w:type="dxa"/>
            <w:vAlign w:val="bottom"/>
          </w:tcPr>
          <w:p>
            <w:pPr>
              <w:spacing w:after="0"/>
              <w:rPr>
                <w:sz w:val="20"/>
                <w:szCs w:val="20"/>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6"/>
                <w:szCs w:val="16"/>
                <w:color w:val="auto"/>
              </w:rPr>
              <w:t>43,850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44,493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130,030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132,708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Less: depreciation on personal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w w:val="95"/>
              </w:rPr>
              <w:t>Financing expense in connection with the adoption of ASC 606 (Chandler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00" w:type="dxa"/>
            <w:vAlign w:val="bottom"/>
          </w:tcPr>
          <w:p>
            <w:pPr>
              <w:ind w:left="420"/>
              <w:spacing w:after="0"/>
              <w:rPr>
                <w:sz w:val="20"/>
                <w:szCs w:val="20"/>
                <w:color w:val="auto"/>
              </w:rPr>
            </w:pPr>
            <w:r>
              <w:rPr>
                <w:rFonts w:ascii="Arial" w:cs="Arial" w:eastAsia="Arial" w:hAnsi="Arial"/>
                <w:sz w:val="16"/>
                <w:szCs w:val="16"/>
                <w:color w:val="auto"/>
              </w:rPr>
              <w:t>Freehold)</w:t>
            </w:r>
          </w:p>
        </w:tc>
        <w:tc>
          <w:tcPr>
            <w:tcW w:w="1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(3,139)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FFO attributable to common stockholders and unit holders—basic and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149,578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145,047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398,779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427,284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Costs related to shareholder activism</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19,369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FFO attributable to common stockholders and unit holders, excluding costs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149,578</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145,047</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418,148</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427,284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related to shareholder activism—basic and diluted</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ind w:left="20"/>
              <w:spacing w:after="0"/>
              <w:rPr>
                <w:sz w:val="20"/>
                <w:szCs w:val="20"/>
                <w:color w:val="auto"/>
              </w:rPr>
            </w:pPr>
            <w:r>
              <w:rPr>
                <w:rFonts w:ascii="Arial" w:cs="Arial" w:eastAsia="Arial" w:hAnsi="Arial"/>
                <w:sz w:val="16"/>
                <w:szCs w:val="16"/>
                <w:color w:val="auto"/>
              </w:rPr>
              <w:t>Weighted average number of FFO shares outstanding for:</w:t>
            </w: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FFO attributable to common stockholders and unit holders—basic(2)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151,574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151,624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151,476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152,668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6"/>
                <w:szCs w:val="16"/>
                <w:color w:val="auto"/>
                <w:w w:val="99"/>
              </w:rPr>
              <w:t>Adjustments for impact of dilutive securities in computing FFO—diluted: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Share and unit based compensation plans</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00" w:type="dxa"/>
            <w:vAlign w:val="bottom"/>
          </w:tcPr>
          <w:p>
            <w:pPr>
              <w:ind w:left="20"/>
              <w:spacing w:after="0"/>
              <w:rPr>
                <w:sz w:val="20"/>
                <w:szCs w:val="20"/>
                <w:color w:val="auto"/>
              </w:rPr>
            </w:pPr>
            <w:r>
              <w:rPr>
                <w:rFonts w:ascii="Arial" w:cs="Arial" w:eastAsia="Arial" w:hAnsi="Arial"/>
                <w:sz w:val="16"/>
                <w:szCs w:val="16"/>
                <w:color w:val="auto"/>
              </w:rPr>
              <w:t>FFO attributable to common stockholders and unit holders—diluted (3)</w:t>
            </w:r>
          </w:p>
        </w:tc>
        <w:tc>
          <w:tcPr>
            <w:tcW w:w="1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6"/>
                <w:szCs w:val="16"/>
                <w:color w:val="auto"/>
              </w:rPr>
              <w:t>151,574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151,635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151,481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Borders>
              <w:bottom w:val="single" w:sz="8" w:color="auto"/>
            </w:tcBorders>
          </w:tcPr>
          <w:p>
            <w:pPr>
              <w:spacing w:after="0"/>
              <w:rPr>
                <w:sz w:val="10"/>
                <w:szCs w:val="10"/>
                <w:color w:val="auto"/>
              </w:rPr>
            </w:pPr>
          </w:p>
        </w:tc>
        <w:tc>
          <w:tcPr>
            <w:tcW w:w="5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Unconsolidated joint ventures are presented at the Company's pro rata share.</w:t>
      </w:r>
    </w:p>
    <w:p>
      <w:pPr>
        <w:spacing w:after="0" w:line="275" w:lineRule="exact"/>
        <w:rPr>
          <w:rFonts w:ascii="Arial" w:cs="Arial" w:eastAsia="Arial" w:hAnsi="Arial"/>
          <w:sz w:val="16"/>
          <w:szCs w:val="16"/>
          <w:color w:val="auto"/>
        </w:rPr>
      </w:pPr>
    </w:p>
    <w:p>
      <w:pPr>
        <w:ind w:left="420" w:right="20" w:hanging="412"/>
        <w:spacing w:after="0" w:line="310" w:lineRule="auto"/>
        <w:tabs>
          <w:tab w:leader="none" w:pos="420" w:val="left"/>
        </w:tabs>
        <w:numPr>
          <w:ilvl w:val="0"/>
          <w:numId w:val="8"/>
        </w:numPr>
        <w:rPr>
          <w:rFonts w:ascii="Arial" w:cs="Arial" w:eastAsia="Arial" w:hAnsi="Arial"/>
          <w:sz w:val="15"/>
          <w:szCs w:val="15"/>
          <w:color w:val="auto"/>
        </w:rPr>
      </w:pPr>
      <w:r>
        <w:rPr>
          <w:rFonts w:ascii="Arial" w:cs="Arial" w:eastAsia="Arial" w:hAnsi="Arial"/>
          <w:sz w:val="15"/>
          <w:szCs w:val="15"/>
          <w:color w:val="auto"/>
        </w:rPr>
        <w:t>Calculated based upon basic net income as adjusted to reach basic FFO. Includes 10.4 million and 10.3 million OP Units for the three months ended September 30, 2018 and 2017, respectively, and 10.4 million and 10.5 million OP Units for the nine months ended September 30, 2018 and 2017, respectively.</w:t>
      </w:r>
    </w:p>
    <w:p>
      <w:pPr>
        <w:spacing w:after="0" w:line="202" w:lineRule="exact"/>
        <w:rPr>
          <w:rFonts w:ascii="Arial" w:cs="Arial" w:eastAsia="Arial" w:hAnsi="Arial"/>
          <w:sz w:val="15"/>
          <w:szCs w:val="15"/>
          <w:color w:val="auto"/>
        </w:rPr>
      </w:pPr>
    </w:p>
    <w:p>
      <w:pPr>
        <w:ind w:left="420" w:hanging="412"/>
        <w:spacing w:after="0" w:line="275"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2" w:right="27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primary market risk exposure is interest rate risk. The Company has managed and will continue to manage interest rate risk by</w:t>
      </w:r>
    </w:p>
    <w:p>
      <w:pPr>
        <w:spacing w:after="0" w:line="35" w:lineRule="exact"/>
        <w:rPr>
          <w:sz w:val="20"/>
          <w:szCs w:val="20"/>
          <w:color w:val="auto"/>
        </w:rPr>
      </w:pPr>
    </w:p>
    <w:p>
      <w:pPr>
        <w:ind w:right="20" w:firstLine="8"/>
        <w:spacing w:after="0" w:line="254"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24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table sets forth information as of September 30, 2018 concerning the Company's long-term debt obligations, including principal cash flows by scheduled maturity, weighted average interest rates and estimated fair value (dollars in thousands):</w:t>
      </w:r>
    </w:p>
    <w:p>
      <w:pPr>
        <w:spacing w:after="0" w:line="311"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1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Expected Maturity Date</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w w:val="96"/>
              </w:rPr>
              <w:t>For the twelve months ended September 30,</w:t>
            </w: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140" w:type="dxa"/>
            <w:vAlign w:val="bottom"/>
          </w:tcPr>
          <w:p>
            <w:pPr>
              <w:spacing w:after="0"/>
              <w:rPr>
                <w:sz w:val="22"/>
                <w:szCs w:val="22"/>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8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39"/>
        </w:trPr>
        <w:tc>
          <w:tcPr>
            <w:tcW w:w="142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CONSOLIDATED</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20" w:type="dxa"/>
            <w:vAlign w:val="bottom"/>
          </w:tcPr>
          <w:p>
            <w:pPr>
              <w:ind w:left="20"/>
              <w:spacing w:after="0"/>
              <w:rPr>
                <w:sz w:val="20"/>
                <w:szCs w:val="20"/>
                <w:color w:val="auto"/>
              </w:rPr>
            </w:pPr>
            <w:r>
              <w:rPr>
                <w:rFonts w:ascii="Arial" w:cs="Arial" w:eastAsia="Arial" w:hAnsi="Arial"/>
                <w:sz w:val="14"/>
                <w:szCs w:val="14"/>
                <w:b w:val="1"/>
                <w:bCs w:val="1"/>
                <w:color w:val="auto"/>
              </w:rPr>
              <w:t>CENTERS: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20" w:type="dxa"/>
            <w:vAlign w:val="bottom"/>
          </w:tcPr>
          <w:p>
            <w:pPr>
              <w:ind w:left="160"/>
              <w:spacing w:after="0"/>
              <w:rPr>
                <w:sz w:val="20"/>
                <w:szCs w:val="20"/>
                <w:color w:val="auto"/>
              </w:rPr>
            </w:pPr>
            <w:r>
              <w:rPr>
                <w:rFonts w:ascii="Arial" w:cs="Arial" w:eastAsia="Arial" w:hAnsi="Arial"/>
                <w:sz w:val="14"/>
                <w:szCs w:val="14"/>
                <w:color w:val="auto"/>
              </w:rPr>
              <w:t>Fixed rate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368,205</w:t>
            </w:r>
          </w:p>
        </w:tc>
        <w:tc>
          <w:tcPr>
            <w:tcW w:w="1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465,056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584,818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358,202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25,768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w w:val="99"/>
              </w:rPr>
              <w:t>1,669,013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w w:val="96"/>
              </w:rPr>
              <w:t>3,471,062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3,474,788</w:t>
            </w:r>
          </w:p>
        </w:tc>
        <w:tc>
          <w:tcPr>
            <w:tcW w:w="0" w:type="dxa"/>
            <w:vAlign w:val="bottom"/>
          </w:tcPr>
          <w:p>
            <w:pPr>
              <w:spacing w:after="0"/>
              <w:rPr>
                <w:sz w:val="1"/>
                <w:szCs w:val="1"/>
                <w:color w:val="auto"/>
              </w:rPr>
            </w:pPr>
          </w:p>
        </w:tc>
      </w:tr>
      <w:tr>
        <w:trPr>
          <w:trHeight w:val="276"/>
        </w:trPr>
        <w:tc>
          <w:tcPr>
            <w:tcW w:w="14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Average interest rate</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20" w:type="dxa"/>
            <w:vAlign w:val="bottom"/>
          </w:tcPr>
          <w:p>
            <w:pPr>
              <w:ind w:left="160"/>
              <w:spacing w:after="0"/>
              <w:rPr>
                <w:sz w:val="20"/>
                <w:szCs w:val="20"/>
                <w:color w:val="auto"/>
              </w:rPr>
            </w:pPr>
            <w:r>
              <w:rPr>
                <w:rFonts w:ascii="Arial" w:cs="Arial" w:eastAsia="Arial" w:hAnsi="Arial"/>
                <w:sz w:val="14"/>
                <w:szCs w:val="14"/>
                <w:color w:val="auto"/>
              </w:rPr>
              <w:t>Floating rate</w:t>
            </w:r>
          </w:p>
        </w:tc>
        <w:tc>
          <w:tcPr>
            <w:tcW w:w="16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200,000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920,000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300,000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w w:val="96"/>
              </w:rPr>
              <w:t>1,420,000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1,408,572</w:t>
            </w:r>
          </w:p>
        </w:tc>
        <w:tc>
          <w:tcPr>
            <w:tcW w:w="0" w:type="dxa"/>
            <w:vAlign w:val="bottom"/>
          </w:tcPr>
          <w:p>
            <w:pPr>
              <w:spacing w:after="0"/>
              <w:rPr>
                <w:sz w:val="1"/>
                <w:szCs w:val="1"/>
                <w:color w:val="auto"/>
              </w:rPr>
            </w:pPr>
          </w:p>
        </w:tc>
      </w:tr>
      <w:tr>
        <w:trPr>
          <w:trHeight w:val="276"/>
        </w:trPr>
        <w:tc>
          <w:tcPr>
            <w:tcW w:w="14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Average interest rate</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420" w:type="dxa"/>
            <w:vAlign w:val="bottom"/>
          </w:tcPr>
          <w:p>
            <w:pPr>
              <w:ind w:left="20"/>
              <w:spacing w:after="0" w:line="137" w:lineRule="exact"/>
              <w:rPr>
                <w:sz w:val="20"/>
                <w:szCs w:val="20"/>
                <w:color w:val="auto"/>
              </w:rPr>
            </w:pPr>
            <w:r>
              <w:rPr>
                <w:rFonts w:ascii="Arial" w:cs="Arial" w:eastAsia="Arial" w:hAnsi="Arial"/>
                <w:sz w:val="14"/>
                <w:szCs w:val="14"/>
                <w:color w:val="auto"/>
              </w:rPr>
              <w:t>Total debt—</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w w:val="98"/>
              </w:rPr>
              <w:t>368,205</w:t>
            </w:r>
          </w:p>
        </w:tc>
        <w:tc>
          <w:tcPr>
            <w:tcW w:w="120" w:type="dxa"/>
            <w:vAlign w:val="bottom"/>
          </w:tcPr>
          <w:p>
            <w:pPr>
              <w:spacing w:after="0"/>
              <w:rPr>
                <w:sz w:val="11"/>
                <w:szCs w:val="11"/>
                <w:color w:val="auto"/>
              </w:rPr>
            </w:pPr>
          </w:p>
        </w:tc>
        <w:tc>
          <w:tcPr>
            <w:tcW w:w="1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w w:val="98"/>
              </w:rPr>
              <w:t>665,056</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w w:val="96"/>
              </w:rPr>
              <w:t>1,504,818</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658,202</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25,768</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w w:val="99"/>
              </w:rPr>
              <w:t>1,669,013</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w w:val="96"/>
              </w:rPr>
              <w:t>4,891,062</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9"/>
              </w:rPr>
              <w:t>4,883,360</w:t>
            </w:r>
          </w:p>
        </w:tc>
        <w:tc>
          <w:tcPr>
            <w:tcW w:w="0" w:type="dxa"/>
            <w:vAlign w:val="bottom"/>
          </w:tcPr>
          <w:p>
            <w:pPr>
              <w:spacing w:after="0"/>
              <w:rPr>
                <w:sz w:val="1"/>
                <w:szCs w:val="1"/>
                <w:color w:val="auto"/>
              </w:rPr>
            </w:pPr>
          </w:p>
        </w:tc>
      </w:tr>
      <w:tr>
        <w:trPr>
          <w:trHeight w:val="221"/>
        </w:trPr>
        <w:tc>
          <w:tcPr>
            <w:tcW w:w="1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Consolidated Centers</w:t>
            </w:r>
          </w:p>
        </w:tc>
        <w:tc>
          <w:tcPr>
            <w:tcW w:w="16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420" w:type="dxa"/>
            <w:vAlign w:val="bottom"/>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UNCONSOLIDATED</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JOINT VENTURE</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CENTERS: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420" w:type="dxa"/>
            <w:vAlign w:val="bottom"/>
          </w:tcPr>
          <w:p>
            <w:pPr>
              <w:ind w:left="20"/>
              <w:spacing w:after="0" w:line="157" w:lineRule="exact"/>
              <w:rPr>
                <w:sz w:val="20"/>
                <w:szCs w:val="20"/>
                <w:color w:val="auto"/>
              </w:rPr>
            </w:pPr>
            <w:r>
              <w:rPr>
                <w:rFonts w:ascii="Arial" w:cs="Arial" w:eastAsia="Arial" w:hAnsi="Arial"/>
                <w:sz w:val="14"/>
                <w:szCs w:val="14"/>
                <w:color w:val="auto"/>
              </w:rPr>
              <w:t>Long-term debt (at</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20"/>
              <w:spacing w:after="0" w:line="149" w:lineRule="exact"/>
              <w:rPr>
                <w:sz w:val="20"/>
                <w:szCs w:val="20"/>
                <w:color w:val="auto"/>
              </w:rPr>
            </w:pPr>
            <w:r>
              <w:rPr>
                <w:rFonts w:ascii="Arial" w:cs="Arial" w:eastAsia="Arial" w:hAnsi="Arial"/>
                <w:sz w:val="14"/>
                <w:szCs w:val="14"/>
                <w:color w:val="auto"/>
              </w:rPr>
              <w:t>Company's pro rata</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4"/>
                <w:szCs w:val="14"/>
                <w:color w:val="auto"/>
              </w:rPr>
              <w:t>share):</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Fixed rate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30,534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39,085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149,815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49,593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638,088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9"/>
              </w:rPr>
              <w:t>2,078,062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6"/>
              </w:rPr>
              <w:t>2,985,177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3,015,888</w:t>
            </w:r>
          </w:p>
        </w:tc>
        <w:tc>
          <w:tcPr>
            <w:tcW w:w="0" w:type="dxa"/>
            <w:vAlign w:val="bottom"/>
          </w:tcPr>
          <w:p>
            <w:pPr>
              <w:spacing w:after="0"/>
              <w:rPr>
                <w:sz w:val="1"/>
                <w:szCs w:val="1"/>
                <w:color w:val="auto"/>
              </w:rPr>
            </w:pPr>
          </w:p>
        </w:tc>
      </w:tr>
      <w:tr>
        <w:trPr>
          <w:trHeight w:val="264"/>
        </w:trPr>
        <w:tc>
          <w:tcPr>
            <w:tcW w:w="1420" w:type="dxa"/>
            <w:vAlign w:val="bottom"/>
          </w:tcPr>
          <w:p>
            <w:pPr>
              <w:ind w:left="160"/>
              <w:spacing w:after="0"/>
              <w:rPr>
                <w:sz w:val="20"/>
                <w:szCs w:val="20"/>
                <w:color w:val="auto"/>
              </w:rPr>
            </w:pPr>
            <w:r>
              <w:rPr>
                <w:rFonts w:ascii="Arial" w:cs="Arial" w:eastAsia="Arial" w:hAnsi="Arial"/>
                <w:sz w:val="14"/>
                <w:szCs w:val="14"/>
                <w:color w:val="auto"/>
                <w:w w:val="95"/>
              </w:rPr>
              <w:t>Average interest rate</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Floating rate</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9,191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41,993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155,000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221,184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215,914</w:t>
            </w:r>
          </w:p>
        </w:tc>
        <w:tc>
          <w:tcPr>
            <w:tcW w:w="0" w:type="dxa"/>
            <w:vAlign w:val="bottom"/>
          </w:tcPr>
          <w:p>
            <w:pPr>
              <w:spacing w:after="0"/>
              <w:rPr>
                <w:sz w:val="1"/>
                <w:szCs w:val="1"/>
                <w:color w:val="auto"/>
              </w:rPr>
            </w:pPr>
          </w:p>
        </w:tc>
      </w:tr>
      <w:tr>
        <w:trPr>
          <w:trHeight w:val="264"/>
        </w:trPr>
        <w:tc>
          <w:tcPr>
            <w:tcW w:w="1420" w:type="dxa"/>
            <w:vAlign w:val="bottom"/>
          </w:tcPr>
          <w:p>
            <w:pPr>
              <w:ind w:left="160"/>
              <w:spacing w:after="0"/>
              <w:rPr>
                <w:sz w:val="20"/>
                <w:szCs w:val="20"/>
                <w:color w:val="auto"/>
              </w:rPr>
            </w:pPr>
            <w:r>
              <w:rPr>
                <w:rFonts w:ascii="Arial" w:cs="Arial" w:eastAsia="Arial" w:hAnsi="Arial"/>
                <w:sz w:val="14"/>
                <w:szCs w:val="14"/>
                <w:color w:val="auto"/>
                <w:w w:val="95"/>
              </w:rPr>
              <w:t>Average interest rate</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14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Total debt—</w:t>
            </w: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Unconsolidated Joint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39,725</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39,085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191,808</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64,593</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793,088</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99"/>
              </w:rPr>
              <w:t>2,078,062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96"/>
              </w:rPr>
              <w:t>3,206,361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3,231,802</w:t>
            </w:r>
          </w:p>
        </w:tc>
        <w:tc>
          <w:tcPr>
            <w:tcW w:w="0" w:type="dxa"/>
            <w:vAlign w:val="bottom"/>
          </w:tcPr>
          <w:p>
            <w:pPr>
              <w:spacing w:after="0"/>
              <w:rPr>
                <w:sz w:val="1"/>
                <w:szCs w:val="1"/>
                <w:color w:val="auto"/>
              </w:rPr>
            </w:pPr>
          </w:p>
        </w:tc>
      </w:tr>
      <w:tr>
        <w:trPr>
          <w:trHeight w:val="181"/>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Venture Centers</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consolidated Centers' total fixed rate debt at September 30, 2018 and December 31, 2017 was $3.5 billion and $3.6 billion, respectively. The average interest rate on such fixed rate debt at September 30, 2018 and December 31, 2017 was 3.82% and 3.85%, respectively. The consolidated Centers' total floating rate debt at September 30, 2018 and December 31, 2017 was $1.4 billion and $1.5 billion, respectively. The average interest rate on such floating rate debt at September 30, 2018 and December 31, 2017 was 3.89% and 2.98%, respectively.</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Company's pro rata share of the unconsolidated joint venture Centers' fixed rate debt at September 30, 2018 and December 31, 2017 was $3.0 billion and $2.7 billion, respectively. The average interest rate on such fixed rate debt at September 30, 2018 and December 31, 2017 was 3.85%, and 3.79% respectively. The Company's pro rata share of the unconsolidated joint venture Centers' floating rate debt at September 30, 2018 and December 31, 2017 was $221.2 million and $106.3 million, respectively. The average interest rate on such floating rate debt at September 30, 2018 and December 31, 2017 was 3.89% and 2.86%, respectively.</w:t>
      </w:r>
    </w:p>
    <w:p>
      <w:pPr>
        <w:spacing w:after="0" w:line="242"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color w:val="auto"/>
        </w:rPr>
        <w:t>In addition, the Company has assessed the market risk for its floating rate debt and believes that a 1% increase in interest rates would decrease future earnings and cash flows by approximately $16.4 million per year based on $1.6 billion of floating rate debt outstanding at September 30, 2018.</w:t>
      </w:r>
    </w:p>
    <w:p>
      <w:pPr>
        <w:spacing w:after="0" w:line="17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9—Mortgage Notes Payable and Note 10—Bank and Other Notes Payable in the Company's Notes to the Consolidated Financial Statements).</w:t>
      </w: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122" w:right="3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As required by Rule 13a-15(b) under the Securities Exchange Act of 1934,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September 30, 2018, the Company's Chief Executive Officer and Chief Financial Officer have concluded that the Company's disclosure controls and procedures (as defined in Rule 13a-15(e) and 15d-15(e) under the Securities Exchange Act of 1934, as amended) were effective to ensure that the information required to be disclosed by the Company in the reports that it files or submits under the Securities Exchange Act of 1934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220"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In addition, there has been no change in the Company's internal control over financial reporting (as such term is defined in Rules 13a-15(f) and 15(d)-15(f) under the Securities Exchange Act of 1934) that occurred during the Company's most recent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122" w:right="31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There have been no material changes to the risk factors relating to the Company set forth under the caption "Item 1A. Risk Factors" in the Company's Annual Report on Form 10-K for the year ended December 31,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On July 23, 2018, the Company, as general partner of the Operating Partnership, issued 12,007 shares of common stock of the Company upon the redemption of 12,007 OP Units by a limited partner of the Operating Partnership. These shares of common stock were issued in a private placement to the limited partner, who is an accredited investor pursuant to Section 4(a)(2) of the Securities Act of 1933, as amended.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18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239"/>
              <w:spacing w:after="0"/>
              <w:rPr>
                <w:sz w:val="20"/>
                <w:szCs w:val="20"/>
                <w:color w:val="auto"/>
              </w:rPr>
            </w:pPr>
            <w:r>
              <w:rPr>
                <w:rFonts w:ascii="Arial" w:cs="Arial" w:eastAsia="Arial" w:hAnsi="Arial"/>
                <w:sz w:val="16"/>
                <w:szCs w:val="16"/>
                <w:b w:val="1"/>
                <w:bCs w:val="1"/>
                <w:color w:val="auto"/>
                <w:w w:val="94"/>
              </w:rPr>
              <w:t>Approximate</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219"/>
              <w:spacing w:after="0"/>
              <w:rPr>
                <w:sz w:val="20"/>
                <w:szCs w:val="20"/>
                <w:color w:val="auto"/>
              </w:rPr>
            </w:pPr>
            <w:r>
              <w:rPr>
                <w:rFonts w:ascii="Arial" w:cs="Arial" w:eastAsia="Arial" w:hAnsi="Arial"/>
                <w:sz w:val="16"/>
                <w:szCs w:val="16"/>
                <w:b w:val="1"/>
                <w:bCs w:val="1"/>
                <w:color w:val="auto"/>
                <w:w w:val="94"/>
              </w:rPr>
              <w:t>Dollar Value of</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w w:val="94"/>
              </w:rPr>
              <w:t>Shares That May</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1"/>
              </w:rPr>
              <w:t>Average Price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0"/>
              </w:rPr>
              <w:t>as Part of Publicly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w w:val="89"/>
              </w:rPr>
              <w:t>Yet Be Purchased</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Paid per</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0"/>
              </w:rPr>
              <w:t>Announced Plans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10"/>
        </w:trPr>
        <w:tc>
          <w:tcPr>
            <w:tcW w:w="286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Share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219"/>
              <w:spacing w:after="0"/>
              <w:rPr>
                <w:sz w:val="20"/>
                <w:szCs w:val="20"/>
                <w:color w:val="auto"/>
              </w:rPr>
            </w:pPr>
            <w:r>
              <w:rPr>
                <w:rFonts w:ascii="Arial" w:cs="Arial" w:eastAsia="Arial" w:hAnsi="Arial"/>
                <w:sz w:val="16"/>
                <w:szCs w:val="16"/>
                <w:b w:val="1"/>
                <w:bCs w:val="1"/>
                <w:color w:val="auto"/>
                <w:w w:val="91"/>
              </w:rPr>
              <w:t>Programs (1)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July 1, 2018 to July 31, 2018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278,707,048</w:t>
            </w:r>
          </w:p>
        </w:tc>
        <w:tc>
          <w:tcPr>
            <w:tcW w:w="0" w:type="dxa"/>
            <w:vAlign w:val="bottom"/>
          </w:tcPr>
          <w:p>
            <w:pPr>
              <w:spacing w:after="0"/>
              <w:rPr>
                <w:sz w:val="1"/>
                <w:szCs w:val="1"/>
                <w:color w:val="auto"/>
              </w:rPr>
            </w:pP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6"/>
                <w:szCs w:val="16"/>
                <w:color w:val="auto"/>
              </w:rPr>
              <w:t>August 1, 2018 to August 31, 2018</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278,707,048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1, 2018 to September 30,</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vMerge w:val="continue"/>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278,707,048</w:t>
            </w:r>
          </w:p>
        </w:tc>
        <w:tc>
          <w:tcPr>
            <w:tcW w:w="0" w:type="dxa"/>
            <w:vAlign w:val="bottom"/>
          </w:tcPr>
          <w:p>
            <w:pPr>
              <w:spacing w:after="0"/>
              <w:rPr>
                <w:sz w:val="1"/>
                <w:szCs w:val="1"/>
                <w:color w:val="auto"/>
              </w:rPr>
            </w:pPr>
          </w:p>
        </w:tc>
      </w:tr>
      <w:tr>
        <w:trPr>
          <w:trHeight w:val="244"/>
        </w:trPr>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ind w:left="1220" w:right="60" w:hanging="564"/>
        <w:spacing w:after="0" w:line="275" w:lineRule="auto"/>
        <w:tabs>
          <w:tab w:leader="none" w:pos="1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February 12, 2017, the Company's Board of Directors authorized the repurchase of up to $500.0 million of the Company's outstanding common shares from time to time as market conditions warrant.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80"/>
          </w:cols>
          <w:pgMar w:left="240" w:top="122" w:right="37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960" w:type="dxa"/>
            <w:vAlign w:val="bottom"/>
            <w:gridSpan w:val="19"/>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6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960" w:type="dxa"/>
            <w:vAlign w:val="bottom"/>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20" w:type="dxa"/>
            <w:vAlign w:val="bottom"/>
            <w:tcBorders>
              <w:top w:val="single" w:sz="8" w:color="auto"/>
            </w:tcBorders>
            <w:gridSpan w:val="6"/>
          </w:tcPr>
          <w:p>
            <w:pPr>
              <w:jc w:val="right"/>
              <w:spacing w:after="0" w:line="202" w:lineRule="exact"/>
              <w:rPr>
                <w:rFonts w:ascii="Arial" w:cs="Arial" w:eastAsia="Arial" w:hAnsi="Arial"/>
                <w:sz w:val="18"/>
                <w:szCs w:val="18"/>
                <w:color w:val="0000FF"/>
              </w:rPr>
            </w:pPr>
            <w:hyperlink r:id="rId15">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240" w:type="dxa"/>
            <w:vAlign w:val="bottom"/>
            <w:tcBorders>
              <w:top w:val="single" w:sz="8" w:color="auto"/>
            </w:tcBorders>
            <w:gridSpan w:val="27"/>
          </w:tcPr>
          <w:p>
            <w:pPr>
              <w:spacing w:after="0" w:line="202" w:lineRule="exact"/>
              <w:rPr>
                <w:rFonts w:ascii="Arial" w:cs="Arial" w:eastAsia="Arial" w:hAnsi="Arial"/>
                <w:sz w:val="18"/>
                <w:szCs w:val="18"/>
                <w:color w:val="0000FF"/>
                <w:w w:val="93"/>
              </w:rPr>
            </w:pPr>
            <w:hyperlink r:id="rId15">
              <w:r>
                <w:rPr>
                  <w:rFonts w:ascii="Arial" w:cs="Arial" w:eastAsia="Arial" w:hAnsi="Arial"/>
                  <w:sz w:val="18"/>
                  <w:szCs w:val="18"/>
                  <w:color w:val="0000FF"/>
                  <w:w w:val="93"/>
                </w:rPr>
                <w:t>Master Agreement, dated November 14, 2014, by and among Pacific Premier Retail LP, MACPT LLC, Macerich PPR GP LLC, Queens JV</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LP, Macerich Queens JV LP, Queens JV GP LLC, 1700480 Ontario Inc. and the Company (incorporated by reference as an exhibit to the</w:t>
              </w:r>
            </w:hyperlink>
          </w:p>
        </w:tc>
        <w:tc>
          <w:tcPr>
            <w:tcW w:w="180" w:type="dxa"/>
            <w:vAlign w:val="bottom"/>
            <w:tcBorders>
              <w:top w:val="single" w:sz="8" w:color="0000FF"/>
            </w:tcBorders>
            <w:gridSpan w:val="3"/>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7"/>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Company’s Current Report on Form 8-K, event date November 14, 2014).</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020" w:type="dxa"/>
            <w:vAlign w:val="bottom"/>
            <w:gridSpan w:val="6"/>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w w:val="92"/>
              </w:rPr>
              <w:t>Articles of Amendment and Restatement of the Company (incorporated by reference as an exhibit to the Company's Registration Statement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rPr>
              <w:t>on Form S-11, as amended (No. 33-68964)) (Filed in paper - hyperlink is not required pursuant to Rule 105 of Regulation S-T).</w:t>
            </w:r>
          </w:p>
        </w:tc>
        <w:tc>
          <w:tcPr>
            <w:tcW w:w="0" w:type="dxa"/>
            <w:vAlign w:val="bottom"/>
          </w:tcPr>
          <w:p>
            <w:pPr>
              <w:spacing w:after="0"/>
              <w:rPr>
                <w:sz w:val="1"/>
                <w:szCs w:val="1"/>
                <w:color w:val="auto"/>
              </w:rPr>
            </w:pPr>
          </w:p>
        </w:tc>
      </w:tr>
      <w:tr>
        <w:trPr>
          <w:trHeight w:val="256"/>
        </w:trPr>
        <w:tc>
          <w:tcPr>
            <w:tcW w:w="1020" w:type="dxa"/>
            <w:vAlign w:val="bottom"/>
            <w:gridSpan w:val="6"/>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w w:val="92"/>
              </w:rPr>
              <w:t>Articles Supplementary of the Company (incorporated by reference as an exhibit to the Company's Current Report on Form 8-K, event date</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rPr>
              <w:t>May 30, 1995) (Filed in paper - hyperlink is not required pursuant to Rule 105 of Regulation S-T).</w:t>
            </w:r>
          </w:p>
        </w:tc>
        <w:tc>
          <w:tcPr>
            <w:tcW w:w="0" w:type="dxa"/>
            <w:vAlign w:val="bottom"/>
          </w:tcPr>
          <w:p>
            <w:pPr>
              <w:spacing w:after="0"/>
              <w:rPr>
                <w:sz w:val="1"/>
                <w:szCs w:val="1"/>
                <w:color w:val="auto"/>
              </w:rPr>
            </w:pPr>
          </w:p>
        </w:tc>
      </w:tr>
      <w:tr>
        <w:trPr>
          <w:trHeight w:val="230"/>
        </w:trPr>
        <w:tc>
          <w:tcPr>
            <w:tcW w:w="660" w:type="dxa"/>
            <w:vAlign w:val="bottom"/>
            <w:gridSpan w:val="3"/>
          </w:tcPr>
          <w:p>
            <w:pPr>
              <w:spacing w:after="0"/>
              <w:rPr>
                <w:sz w:val="19"/>
                <w:szCs w:val="19"/>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16">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1.2</w:t>
              </w:r>
            </w:hyperlink>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20" w:type="dxa"/>
            <w:vAlign w:val="bottom"/>
            <w:tcBorders>
              <w:bottom w:val="single" w:sz="8" w:color="0000FF"/>
            </w:tcBorders>
            <w:gridSpan w:val="23"/>
          </w:tcPr>
          <w:p>
            <w:pPr>
              <w:spacing w:after="0"/>
              <w:rPr>
                <w:rFonts w:ascii="Arial" w:cs="Arial" w:eastAsia="Arial" w:hAnsi="Arial"/>
                <w:sz w:val="18"/>
                <w:szCs w:val="18"/>
                <w:color w:val="0000FF"/>
                <w:w w:val="90"/>
              </w:rPr>
            </w:pPr>
            <w:hyperlink r:id="rId16">
              <w:r>
                <w:rPr>
                  <w:rFonts w:ascii="Arial" w:cs="Arial" w:eastAsia="Arial" w:hAnsi="Arial"/>
                  <w:sz w:val="18"/>
                  <w:szCs w:val="18"/>
                  <w:color w:val="0000FF"/>
                  <w:w w:val="90"/>
                </w:rPr>
                <w:t>Articles Supplementary of the Company (with respect to the first paragraph) (incorporated by reference as an exhibit to the Company's 1998</w:t>
              </w:r>
            </w:hyperlink>
          </w:p>
        </w:tc>
        <w:tc>
          <w:tcPr>
            <w:tcW w:w="1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16">
              <w:r>
                <w:rPr>
                  <w:rFonts w:ascii="Arial" w:cs="Arial" w:eastAsia="Arial" w:hAnsi="Arial"/>
                  <w:sz w:val="18"/>
                  <w:szCs w:val="18"/>
                  <w:color w:val="0000FF"/>
                  <w:w w:val="93"/>
                </w:rPr>
                <w:t>Form 10-K).</w:t>
              </w:r>
            </w:hyperlink>
          </w:p>
        </w:tc>
        <w:tc>
          <w:tcPr>
            <w:tcW w:w="93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3"/>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17">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1.3</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tcBorders>
              <w:bottom w:val="single" w:sz="8" w:color="0000FF"/>
            </w:tcBorders>
            <w:gridSpan w:val="26"/>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Articles Supplementary of the Company (Series D Preferred Stock) (incorporated by reference as an exhibit to the Company's Current Report</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on Form 8-K, event date July 26, 2002).</w:t>
              </w:r>
            </w:hyperlink>
          </w:p>
        </w:tc>
        <w:tc>
          <w:tcPr>
            <w:tcW w:w="73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3"/>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18">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1.4</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tcBorders>
              <w:bottom w:val="single" w:sz="8" w:color="0000FF"/>
            </w:tcBorders>
            <w:gridSpan w:val="21"/>
          </w:tcPr>
          <w:p>
            <w:pPr>
              <w:spacing w:after="0"/>
              <w:rPr>
                <w:rFonts w:ascii="Arial" w:cs="Arial" w:eastAsia="Arial" w:hAnsi="Arial"/>
                <w:sz w:val="18"/>
                <w:szCs w:val="18"/>
                <w:color w:val="0000FF"/>
                <w:w w:val="90"/>
              </w:rPr>
            </w:pPr>
            <w:hyperlink r:id="rId18">
              <w:r>
                <w:rPr>
                  <w:rFonts w:ascii="Arial" w:cs="Arial" w:eastAsia="Arial" w:hAnsi="Arial"/>
                  <w:sz w:val="18"/>
                  <w:szCs w:val="18"/>
                  <w:color w:val="0000FF"/>
                  <w:w w:val="90"/>
                </w:rPr>
                <w:t>Articles Supplementary of the Company (incorporated by reference as an exhibit to the Company's Registration Statement on Form S-3, as</w:t>
              </w:r>
            </w:hyperlink>
          </w:p>
        </w:tc>
        <w:tc>
          <w:tcPr>
            <w:tcW w:w="22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amended (No. 333-88718)).</w:t>
              </w:r>
            </w:hyperlink>
          </w:p>
        </w:tc>
        <w:tc>
          <w:tcPr>
            <w:tcW w:w="82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3"/>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19">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1.5</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tcBorders>
              <w:bottom w:val="single" w:sz="8" w:color="0000FF"/>
            </w:tcBorders>
            <w:gridSpan w:val="26"/>
          </w:tcPr>
          <w:p>
            <w:pPr>
              <w:spacing w:after="0"/>
              <w:rPr>
                <w:rFonts w:ascii="Arial" w:cs="Arial" w:eastAsia="Arial" w:hAnsi="Arial"/>
                <w:sz w:val="18"/>
                <w:szCs w:val="18"/>
                <w:color w:val="0000FF"/>
                <w:w w:val="91"/>
              </w:rPr>
            </w:pPr>
            <w:hyperlink r:id="rId19">
              <w:r>
                <w:rPr>
                  <w:rFonts w:ascii="Arial" w:cs="Arial" w:eastAsia="Arial" w:hAnsi="Arial"/>
                  <w:sz w:val="18"/>
                  <w:szCs w:val="18"/>
                  <w:color w:val="0000FF"/>
                  <w:w w:val="91"/>
                </w:rPr>
                <w:t>Articles of Amendment of the Company (declassification of Board) (incorporated by reference as an exhibit to the Company's 2008 Form 10-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FF"/>
            </w:tcBorders>
          </w:tcPr>
          <w:p>
            <w:pPr>
              <w:spacing w:after="0" w:line="196" w:lineRule="exact"/>
              <w:rPr>
                <w:rFonts w:ascii="Arial" w:cs="Arial" w:eastAsia="Arial" w:hAnsi="Arial"/>
                <w:sz w:val="18"/>
                <w:szCs w:val="18"/>
                <w:color w:val="0000FF"/>
                <w:w w:val="95"/>
              </w:rPr>
            </w:pPr>
            <w:hyperlink r:id="rId19">
              <w:r>
                <w:rPr>
                  <w:rFonts w:ascii="Arial" w:cs="Arial" w:eastAsia="Arial" w:hAnsi="Arial"/>
                  <w:sz w:val="18"/>
                  <w:szCs w:val="18"/>
                  <w:color w:val="0000FF"/>
                  <w:w w:val="95"/>
                </w:rPr>
                <w:t>K).</w:t>
              </w:r>
            </w:hyperlink>
          </w:p>
        </w:tc>
        <w:tc>
          <w:tcPr>
            <w:tcW w:w="100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3"/>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20">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1.6</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60" w:type="dxa"/>
            <w:vAlign w:val="bottom"/>
            <w:tcBorders>
              <w:bottom w:val="single" w:sz="8" w:color="0000FF"/>
            </w:tcBorders>
            <w:gridSpan w:val="22"/>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Articles Supplementary of the Company (incorporated by reference as an exhibit to the Company's Current Report on Form 8-K, event date</w:t>
              </w:r>
            </w:hyperlink>
          </w:p>
        </w:tc>
        <w:tc>
          <w:tcPr>
            <w:tcW w:w="1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7"/>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February 5, 2009).</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3"/>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21">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1.7</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tcBorders>
              <w:bottom w:val="single" w:sz="8" w:color="0000FF"/>
            </w:tcBorders>
            <w:gridSpan w:val="20"/>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Articles of Amendment of the Company (increased authorized shares) (incorporated by reference as an exhibit to the Company's Quarterly</w:t>
              </w:r>
            </w:hyperlink>
          </w:p>
        </w:tc>
        <w:tc>
          <w:tcPr>
            <w:tcW w:w="2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r:id="rId21">
              <w:r>
                <w:rPr>
                  <w:rFonts w:ascii="Arial" w:cs="Arial" w:eastAsia="Arial" w:hAnsi="Arial"/>
                  <w:sz w:val="18"/>
                  <w:szCs w:val="18"/>
                  <w:color w:val="0000FF"/>
                  <w:w w:val="89"/>
                </w:rPr>
                <w:t>Report on Form 10-Q for the quarter ended June 30, 2009).</w:t>
              </w:r>
            </w:hyperlink>
          </w:p>
        </w:tc>
        <w:tc>
          <w:tcPr>
            <w:tcW w:w="59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gridSpan w:val="3"/>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22">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1.8</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tcBorders>
              <w:bottom w:val="single" w:sz="8" w:color="0000FF"/>
            </w:tcBorders>
            <w:gridSpan w:val="20"/>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Articles of Amendment of the Company (to eliminate the supermajority vote requirement to amend the charter and to clarify a reference in</w:t>
              </w:r>
            </w:hyperlink>
          </w:p>
        </w:tc>
        <w:tc>
          <w:tcPr>
            <w:tcW w:w="2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27"/>
          </w:tcPr>
          <w:p>
            <w:pPr>
              <w:spacing w:after="0" w:line="196" w:lineRule="exact"/>
              <w:rPr>
                <w:rFonts w:ascii="Arial" w:cs="Arial" w:eastAsia="Arial" w:hAnsi="Arial"/>
                <w:sz w:val="18"/>
                <w:szCs w:val="18"/>
                <w:color w:val="0000FF"/>
                <w:w w:val="99"/>
              </w:rPr>
            </w:pPr>
            <w:hyperlink r:id="rId22">
              <w:r>
                <w:rPr>
                  <w:rFonts w:ascii="Arial" w:cs="Arial" w:eastAsia="Arial" w:hAnsi="Arial"/>
                  <w:sz w:val="18"/>
                  <w:szCs w:val="18"/>
                  <w:color w:val="0000FF"/>
                  <w:w w:val="99"/>
                </w:rPr>
                <w:t>Article NINTH) (incorporated by reference as an exhibit to the Company’s Current Report on Form 8-K, event date May 30, 2014).</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3"/>
          </w:tcPr>
          <w:p>
            <w:pPr>
              <w:spacing w:after="0"/>
              <w:rPr>
                <w:sz w:val="21"/>
                <w:szCs w:val="21"/>
                <w:color w:val="auto"/>
              </w:rPr>
            </w:pPr>
          </w:p>
        </w:tc>
        <w:tc>
          <w:tcPr>
            <w:tcW w:w="36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23">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1.9</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80" w:type="dxa"/>
            <w:vAlign w:val="bottom"/>
            <w:tcBorders>
              <w:bottom w:val="single" w:sz="8" w:color="0000FF"/>
            </w:tcBorders>
            <w:gridSpan w:val="24"/>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Articles Supplementary of the Company (election to be subject to Section 3-803 of the Maryland General Corporation Law) (incorporated by</w:t>
              </w:r>
            </w:hyperlink>
          </w:p>
        </w:tc>
        <w:tc>
          <w:tcPr>
            <w:tcW w:w="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8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reference as an exhibit to the Company’s Current Report on Form 8-K, event date March 17, 2015).</w:t>
              </w:r>
            </w:hyperlink>
          </w:p>
        </w:tc>
        <w:tc>
          <w:tcPr>
            <w:tcW w:w="30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gridSpan w:val="6"/>
          </w:tcPr>
          <w:p>
            <w:pPr>
              <w:jc w:val="right"/>
              <w:spacing w:after="0"/>
              <w:rPr>
                <w:rFonts w:ascii="Arial" w:cs="Arial" w:eastAsia="Arial" w:hAnsi="Arial"/>
                <w:sz w:val="18"/>
                <w:szCs w:val="18"/>
                <w:color w:val="0000FF"/>
              </w:rPr>
            </w:pPr>
            <w:hyperlink r:id="rId24">
              <w:r>
                <w:rPr>
                  <w:rFonts w:ascii="Arial" w:cs="Arial" w:eastAsia="Arial" w:hAnsi="Arial"/>
                  <w:sz w:val="18"/>
                  <w:szCs w:val="18"/>
                  <w:color w:val="0000FF"/>
                </w:rPr>
                <w:t>3.</w:t>
              </w:r>
              <w:r>
                <w:rPr>
                  <w:rFonts w:ascii="Arial" w:cs="Arial" w:eastAsia="Arial" w:hAnsi="Arial"/>
                  <w:sz w:val="18"/>
                  <w:szCs w:val="18"/>
                  <w:u w:val="single" w:color="auto"/>
                  <w:color w:val="0000FF"/>
                </w:rPr>
                <w:t>1.10</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27"/>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Articles Supplementary of the Company (Series E Preferred Stock) (incorporated by reference as an exhibit to the Company’s Current Report</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on Form 8-K, event date March 18, 2015).</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jc w:val="right"/>
              <w:spacing w:after="0"/>
              <w:rPr>
                <w:rFonts w:ascii="Arial" w:cs="Arial" w:eastAsia="Arial" w:hAnsi="Arial"/>
                <w:sz w:val="18"/>
                <w:szCs w:val="18"/>
                <w:color w:val="0000FF"/>
              </w:rPr>
            </w:pPr>
            <w:hyperlink r:id="rId25">
              <w:r>
                <w:rPr>
                  <w:rFonts w:ascii="Arial" w:cs="Arial" w:eastAsia="Arial" w:hAnsi="Arial"/>
                  <w:sz w:val="18"/>
                  <w:szCs w:val="18"/>
                  <w:color w:val="0000FF"/>
                </w:rPr>
                <w:t>3.</w:t>
              </w:r>
              <w:r>
                <w:rPr>
                  <w:rFonts w:ascii="Arial" w:cs="Arial" w:eastAsia="Arial" w:hAnsi="Arial"/>
                  <w:sz w:val="18"/>
                  <w:szCs w:val="18"/>
                  <w:u w:val="single" w:color="auto"/>
                  <w:color w:val="0000FF"/>
                </w:rPr>
                <w:t>1.11</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27"/>
          </w:tcPr>
          <w:p>
            <w:pPr>
              <w:spacing w:after="0"/>
              <w:rPr>
                <w:rFonts w:ascii="Arial" w:cs="Arial" w:eastAsia="Arial" w:hAnsi="Arial"/>
                <w:sz w:val="18"/>
                <w:szCs w:val="18"/>
                <w:color w:val="0000FF"/>
                <w:w w:val="93"/>
              </w:rPr>
            </w:pPr>
            <w:hyperlink r:id="rId25">
              <w:r>
                <w:rPr>
                  <w:rFonts w:ascii="Arial" w:cs="Arial" w:eastAsia="Arial" w:hAnsi="Arial"/>
                  <w:sz w:val="18"/>
                  <w:szCs w:val="18"/>
                  <w:color w:val="0000FF"/>
                  <w:w w:val="93"/>
                </w:rPr>
                <w:t>Articles Supplementary of the Company (reclassification of Series E Preferred Stock to Preferred Stock) (incorporated by reference as an</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exhibit to the Company’s Current Report on Form 8-K, event date May 7, 2015).</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jc w:val="right"/>
              <w:spacing w:after="0"/>
              <w:rPr>
                <w:rFonts w:ascii="Arial" w:cs="Arial" w:eastAsia="Arial" w:hAnsi="Arial"/>
                <w:sz w:val="18"/>
                <w:szCs w:val="18"/>
                <w:color w:val="0000FF"/>
              </w:rPr>
            </w:pPr>
            <w:hyperlink r:id="rId26">
              <w:r>
                <w:rPr>
                  <w:rFonts w:ascii="Arial" w:cs="Arial" w:eastAsia="Arial" w:hAnsi="Arial"/>
                  <w:sz w:val="18"/>
                  <w:szCs w:val="18"/>
                  <w:color w:val="0000FF"/>
                </w:rPr>
                <w:t>3.</w:t>
              </w:r>
              <w:r>
                <w:rPr>
                  <w:rFonts w:ascii="Arial" w:cs="Arial" w:eastAsia="Arial" w:hAnsi="Arial"/>
                  <w:sz w:val="18"/>
                  <w:szCs w:val="18"/>
                  <w:u w:val="single" w:color="auto"/>
                  <w:color w:val="0000FF"/>
                </w:rPr>
                <w:t>1.12</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27"/>
          </w:tcPr>
          <w:p>
            <w:pPr>
              <w:spacing w:after="0"/>
              <w:rPr>
                <w:rFonts w:ascii="Arial" w:cs="Arial" w:eastAsia="Arial" w:hAnsi="Arial"/>
                <w:sz w:val="18"/>
                <w:szCs w:val="18"/>
                <w:color w:val="0000FF"/>
                <w:w w:val="97"/>
              </w:rPr>
            </w:pPr>
            <w:hyperlink r:id="rId26">
              <w:r>
                <w:rPr>
                  <w:rFonts w:ascii="Arial" w:cs="Arial" w:eastAsia="Arial" w:hAnsi="Arial"/>
                  <w:sz w:val="18"/>
                  <w:szCs w:val="18"/>
                  <w:color w:val="0000FF"/>
                  <w:w w:val="97"/>
                </w:rPr>
                <w:t>Articles Supplementary of the Company (repeal of election to be subject to Section 3-803 of the Maryland General Corporation Law)</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(incorporated by reference as an exhibit to the Company’s Current Report on Form 8-K, event date May 28, 2015).</w:t>
              </w:r>
            </w:hyperlink>
          </w:p>
        </w:tc>
        <w:tc>
          <w:tcPr>
            <w:tcW w:w="1340" w:type="dxa"/>
            <w:vAlign w:val="bottom"/>
            <w:tcBorders>
              <w:top w:val="single" w:sz="8" w:color="0000FF"/>
            </w:tcBorders>
            <w:gridSpan w:val="2"/>
          </w:tcPr>
          <w:p>
            <w:pPr>
              <w:spacing w:after="0"/>
              <w:rPr>
                <w:sz w:val="17"/>
                <w:szCs w:val="17"/>
                <w:color w:val="auto"/>
              </w:rPr>
            </w:pPr>
          </w:p>
        </w:tc>
        <w:tc>
          <w:tcPr>
            <w:tcW w:w="6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gridSpan w:val="6"/>
          </w:tcPr>
          <w:p>
            <w:pPr>
              <w:jc w:val="right"/>
              <w:spacing w:after="0"/>
              <w:rPr>
                <w:rFonts w:ascii="Arial" w:cs="Arial" w:eastAsia="Arial" w:hAnsi="Arial"/>
                <w:sz w:val="18"/>
                <w:szCs w:val="18"/>
                <w:color w:val="0000FF"/>
              </w:rPr>
            </w:pPr>
            <w:hyperlink r:id="rId2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27"/>
          </w:tcPr>
          <w:p>
            <w:pPr>
              <w:spacing w:after="0"/>
              <w:rPr>
                <w:rFonts w:ascii="Arial" w:cs="Arial" w:eastAsia="Arial" w:hAnsi="Arial"/>
                <w:sz w:val="18"/>
                <w:szCs w:val="18"/>
                <w:color w:val="0000FF"/>
                <w:w w:val="94"/>
              </w:rPr>
            </w:pPr>
            <w:hyperlink r:id="rId27">
              <w:r>
                <w:rPr>
                  <w:rFonts w:ascii="Arial" w:cs="Arial" w:eastAsia="Arial" w:hAnsi="Arial"/>
                  <w:sz w:val="18"/>
                  <w:szCs w:val="18"/>
                  <w:color w:val="0000FF"/>
                  <w:w w:val="94"/>
                </w:rPr>
                <w:t>Amended and Restated Bylaws of the Company (incorporated by reference as an exhibit to the Company's Current Report on Form 8-K,</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27">
              <w:r>
                <w:rPr>
                  <w:rFonts w:ascii="Arial" w:cs="Arial" w:eastAsia="Arial" w:hAnsi="Arial"/>
                  <w:sz w:val="18"/>
                  <w:szCs w:val="18"/>
                  <w:color w:val="0000FF"/>
                  <w:w w:val="89"/>
                </w:rPr>
                <w:t>event date May 17, 2018).</w:t>
              </w:r>
            </w:hyperlink>
          </w:p>
        </w:tc>
        <w:tc>
          <w:tcPr>
            <w:tcW w:w="7920" w:type="dxa"/>
            <w:vAlign w:val="bottom"/>
            <w:tcBorders>
              <w:top w:val="single" w:sz="8" w:color="0000FF"/>
            </w:tcBorders>
            <w:gridSpan w:val="14"/>
          </w:tcPr>
          <w:p>
            <w:pPr>
              <w:spacing w:after="0"/>
              <w:rPr>
                <w:sz w:val="17"/>
                <w:szCs w:val="17"/>
                <w:color w:val="auto"/>
              </w:rPr>
            </w:pPr>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00" w:type="dxa"/>
            <w:vAlign w:val="bottom"/>
            <w:gridSpan w:val="4"/>
          </w:tcPr>
          <w:p>
            <w:pPr>
              <w:spacing w:after="0"/>
              <w:rPr>
                <w:sz w:val="21"/>
                <w:szCs w:val="21"/>
                <w:color w:val="auto"/>
              </w:rPr>
            </w:pPr>
          </w:p>
        </w:tc>
        <w:tc>
          <w:tcPr>
            <w:tcW w:w="320" w:type="dxa"/>
            <w:vAlign w:val="bottom"/>
            <w:gridSpan w:val="2"/>
          </w:tcPr>
          <w:p>
            <w:pPr>
              <w:jc w:val="right"/>
              <w:spacing w:after="0"/>
              <w:rPr>
                <w:rFonts w:ascii="Arial" w:cs="Arial" w:eastAsia="Arial" w:hAnsi="Arial"/>
                <w:sz w:val="18"/>
                <w:szCs w:val="18"/>
                <w:color w:val="0000FF"/>
                <w:w w:val="85"/>
              </w:rPr>
            </w:pPr>
            <w:hyperlink w:anchor="page4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27"/>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Section 302 Certification of Arthur Coppola, Chief Executive Officer</w:t>
              </w:r>
            </w:hyperlink>
          </w:p>
        </w:tc>
        <w:tc>
          <w:tcPr>
            <w:tcW w:w="0" w:type="dxa"/>
            <w:vAlign w:val="bottom"/>
          </w:tcPr>
          <w:p>
            <w:pPr>
              <w:spacing w:after="0"/>
              <w:rPr>
                <w:sz w:val="1"/>
                <w:szCs w:val="1"/>
                <w:color w:val="auto"/>
              </w:rPr>
            </w:pPr>
          </w:p>
        </w:tc>
      </w:tr>
      <w:tr>
        <w:trPr>
          <w:trHeight w:val="250"/>
        </w:trPr>
        <w:tc>
          <w:tcPr>
            <w:tcW w:w="700" w:type="dxa"/>
            <w:vAlign w:val="bottom"/>
            <w:gridSpan w:val="4"/>
          </w:tcPr>
          <w:p>
            <w:pPr>
              <w:spacing w:after="0"/>
              <w:rPr>
                <w:sz w:val="21"/>
                <w:szCs w:val="21"/>
                <w:color w:val="auto"/>
              </w:rPr>
            </w:pPr>
          </w:p>
        </w:tc>
        <w:tc>
          <w:tcPr>
            <w:tcW w:w="320" w:type="dxa"/>
            <w:vAlign w:val="bottom"/>
            <w:tcBorders>
              <w:top w:val="single" w:sz="8" w:color="0000FF"/>
            </w:tcBorders>
            <w:gridSpan w:val="2"/>
          </w:tcPr>
          <w:p>
            <w:pPr>
              <w:jc w:val="right"/>
              <w:spacing w:after="0"/>
              <w:rPr>
                <w:rFonts w:ascii="Arial" w:cs="Arial" w:eastAsia="Arial" w:hAnsi="Arial"/>
                <w:sz w:val="18"/>
                <w:szCs w:val="18"/>
                <w:color w:val="0000FF"/>
                <w:w w:val="85"/>
              </w:rPr>
            </w:pPr>
            <w:hyperlink w:anchor="page4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2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tcBorders>
              <w:top w:val="single" w:sz="8" w:color="0000FF"/>
            </w:tcBorders>
            <w:gridSpan w:val="11"/>
          </w:tcPr>
          <w:p>
            <w:pPr>
              <w:spacing w:after="0"/>
              <w:rPr>
                <w:rFonts w:ascii="Arial" w:cs="Arial" w:eastAsia="Arial" w:hAnsi="Arial"/>
                <w:sz w:val="18"/>
                <w:szCs w:val="18"/>
                <w:color w:val="0000FF"/>
                <w:w w:val="93"/>
              </w:rPr>
            </w:pPr>
            <w:hyperlink w:anchor="page48">
              <w:r>
                <w:rPr>
                  <w:rFonts w:ascii="Arial" w:cs="Arial" w:eastAsia="Arial" w:hAnsi="Arial"/>
                  <w:sz w:val="18"/>
                  <w:szCs w:val="18"/>
                  <w:color w:val="0000FF"/>
                  <w:w w:val="93"/>
                </w:rPr>
                <w:t>Section 302 Certification of Thomas O'Hern, Chief Financial Officer</w:t>
              </w:r>
            </w:hyperlink>
          </w:p>
        </w:tc>
        <w:tc>
          <w:tcPr>
            <w:tcW w:w="524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9"/>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8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6"/>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27"/>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Section 906 Certifications of Arthur Coppola and Thomas O'Hern</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gridSpan w:val="9"/>
            <w:shd w:val="clear" w:color="auto" w:fill="0000FF"/>
          </w:tcPr>
          <w:p>
            <w:pPr>
              <w:spacing w:after="0" w:line="20" w:lineRule="exact"/>
              <w:rPr>
                <w:sz w:val="1"/>
                <w:szCs w:val="1"/>
                <w:color w:val="auto"/>
              </w:rPr>
            </w:pPr>
          </w:p>
        </w:tc>
        <w:tc>
          <w:tcPr>
            <w:tcW w:w="54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60" w:type="dxa"/>
            <w:vAlign w:val="bottom"/>
            <w:gridSpan w:val="8"/>
          </w:tcPr>
          <w:p>
            <w:pPr>
              <w:jc w:val="right"/>
              <w:ind w:right="1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160" w:type="dxa"/>
            <w:vAlign w:val="bottom"/>
            <w:gridSpan w:val="8"/>
          </w:tcPr>
          <w:p>
            <w:pPr>
              <w:jc w:val="right"/>
              <w:ind w:right="1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160" w:type="dxa"/>
            <w:vAlign w:val="bottom"/>
            <w:gridSpan w:val="8"/>
          </w:tcPr>
          <w:p>
            <w:pPr>
              <w:jc w:val="right"/>
              <w:ind w:right="1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160" w:type="dxa"/>
            <w:vAlign w:val="bottom"/>
            <w:gridSpan w:val="8"/>
          </w:tcPr>
          <w:p>
            <w:pPr>
              <w:jc w:val="right"/>
              <w:ind w:right="1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160" w:type="dxa"/>
            <w:vAlign w:val="bottom"/>
            <w:gridSpan w:val="8"/>
          </w:tcPr>
          <w:p>
            <w:pPr>
              <w:jc w:val="right"/>
              <w:ind w:right="1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0"/>
        </w:trPr>
        <w:tc>
          <w:tcPr>
            <w:tcW w:w="1160" w:type="dxa"/>
            <w:vAlign w:val="bottom"/>
            <w:gridSpan w:val="8"/>
          </w:tcPr>
          <w:p>
            <w:pPr>
              <w:jc w:val="right"/>
              <w:ind w:right="1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10240" w:type="dxa"/>
            <w:vAlign w:val="bottom"/>
            <w:gridSpan w:val="2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THE MACERICH COMPANY</w:t>
      </w:r>
    </w:p>
    <w:p>
      <w:pPr>
        <w:spacing w:after="0" w:line="63" w:lineRule="exact"/>
        <w:rPr>
          <w:sz w:val="20"/>
          <w:szCs w:val="20"/>
          <w:color w:val="auto"/>
        </w:rPr>
      </w:pPr>
    </w:p>
    <w:p>
      <w:pPr>
        <w:ind w:left="494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653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57"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Thomas E. O'Hern</w:t>
      </w:r>
    </w:p>
    <w:p>
      <w:pPr>
        <w:spacing w:after="0" w:line="63" w:lineRule="exact"/>
        <w:rPr>
          <w:sz w:val="20"/>
          <w:szCs w:val="20"/>
          <w:color w:val="auto"/>
        </w:rPr>
      </w:pPr>
    </w:p>
    <w:p>
      <w:pPr>
        <w:jc w:val="center"/>
        <w:ind w:left="5060"/>
        <w:spacing w:after="0"/>
        <w:rPr>
          <w:sz w:val="20"/>
          <w:szCs w:val="20"/>
          <w:color w:val="auto"/>
        </w:rPr>
      </w:pPr>
      <w:r>
        <w:rPr>
          <w:rFonts w:ascii="Arial" w:cs="Arial" w:eastAsia="Arial" w:hAnsi="Arial"/>
          <w:sz w:val="18"/>
          <w:szCs w:val="18"/>
          <w:i w:val="1"/>
          <w:iCs w:val="1"/>
          <w:color w:val="auto"/>
        </w:rPr>
        <w:t>Senior Executive Vice President and Chief Financial Officer</w:t>
      </w:r>
    </w:p>
    <w:p>
      <w:pPr>
        <w:spacing w:after="0" w:line="63" w:lineRule="exact"/>
        <w:rPr>
          <w:sz w:val="20"/>
          <w:szCs w:val="20"/>
          <w:color w:val="auto"/>
        </w:rPr>
      </w:pPr>
    </w:p>
    <w:p>
      <w:pPr>
        <w:ind w:left="40"/>
        <w:spacing w:after="0"/>
        <w:tabs>
          <w:tab w:leader="none" w:pos="800" w:val="left"/>
          <w:tab w:leader="none" w:pos="7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2018</w:t>
      </w:r>
      <w:r>
        <w:rPr>
          <w:sz w:val="20"/>
          <w:szCs w:val="20"/>
          <w:color w:val="auto"/>
        </w:rPr>
        <w:tab/>
      </w:r>
      <w:r>
        <w:rPr>
          <w:rFonts w:ascii="Arial" w:cs="Arial" w:eastAsia="Arial" w:hAnsi="Arial"/>
          <w:sz w:val="17"/>
          <w:szCs w:val="17"/>
          <w:i w:val="1"/>
          <w:iCs w:val="1"/>
          <w:color w:val="auto"/>
        </w:rPr>
        <w:t>(Principal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720"/>
          </w:cols>
          <w:pgMar w:left="240" w:top="122" w:right="9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Arthur M. Coppola, certify that:</w:t>
      </w:r>
    </w:p>
    <w:p>
      <w:pPr>
        <w:spacing w:after="0" w:line="27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 ended September 30, 2018 of The Macerich Company;</w:t>
      </w:r>
    </w:p>
    <w:p>
      <w:pPr>
        <w:spacing w:after="0" w:line="279"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/s/ ARTHUR M. COPPOLA</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2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4960" w:type="dxa"/>
            <w:vAlign w:val="bottom"/>
            <w:vMerge w:val="restart"/>
          </w:tcPr>
          <w:p>
            <w:pPr>
              <w:ind w:left="220"/>
              <w:spacing w:after="0"/>
              <w:rPr>
                <w:sz w:val="20"/>
                <w:szCs w:val="20"/>
                <w:color w:val="auto"/>
              </w:rPr>
            </w:pPr>
            <w:r>
              <w:rPr>
                <w:rFonts w:ascii="Arial" w:cs="Arial" w:eastAsia="Arial" w:hAnsi="Arial"/>
                <w:sz w:val="18"/>
                <w:szCs w:val="18"/>
                <w:color w:val="auto"/>
              </w:rPr>
              <w:t>November 5, 2018</w:t>
            </w: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0" w:type="dxa"/>
            <w:vAlign w:val="bottom"/>
          </w:tcPr>
          <w:p>
            <w:pPr>
              <w:spacing w:after="0"/>
              <w:rPr>
                <w:sz w:val="1"/>
                <w:szCs w:val="1"/>
                <w:color w:val="auto"/>
              </w:rPr>
            </w:pPr>
          </w:p>
        </w:tc>
      </w:tr>
      <w:tr>
        <w:trPr>
          <w:trHeight w:val="81"/>
        </w:trPr>
        <w:tc>
          <w:tcPr>
            <w:tcW w:w="620" w:type="dxa"/>
            <w:vAlign w:val="bottom"/>
            <w:vMerge w:val="continue"/>
          </w:tcPr>
          <w:p>
            <w:pPr>
              <w:spacing w:after="0"/>
              <w:rPr>
                <w:sz w:val="7"/>
                <w:szCs w:val="7"/>
                <w:color w:val="auto"/>
              </w:rPr>
            </w:pPr>
          </w:p>
        </w:tc>
        <w:tc>
          <w:tcPr>
            <w:tcW w:w="4960" w:type="dxa"/>
            <w:vAlign w:val="bottom"/>
            <w:vMerge w:val="continue"/>
          </w:tcPr>
          <w:p>
            <w:pPr>
              <w:spacing w:after="0"/>
              <w:rPr>
                <w:sz w:val="7"/>
                <w:szCs w:val="7"/>
                <w:color w:val="auto"/>
              </w:rPr>
            </w:pPr>
          </w:p>
        </w:tc>
        <w:tc>
          <w:tcPr>
            <w:tcW w:w="4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0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E. O'Hern, certify that:</w:t>
      </w:r>
    </w:p>
    <w:p>
      <w:pPr>
        <w:spacing w:after="0" w:line="27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 ended September 30, 2018 of The Macerich Company;</w:t>
      </w:r>
    </w:p>
    <w:p>
      <w:pPr>
        <w:spacing w:after="0" w:line="279"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560" w:type="dxa"/>
            <w:vAlign w:val="bottom"/>
          </w:tcPr>
          <w:p>
            <w:pPr>
              <w:ind w:left="40"/>
              <w:spacing w:after="0"/>
              <w:rPr>
                <w:sz w:val="20"/>
                <w:szCs w:val="20"/>
                <w:color w:val="auto"/>
              </w:rPr>
            </w:pPr>
            <w:r>
              <w:rPr>
                <w:rFonts w:ascii="Arial" w:cs="Arial" w:eastAsia="Arial" w:hAnsi="Arial"/>
                <w:sz w:val="18"/>
                <w:szCs w:val="18"/>
                <w:color w:val="auto"/>
              </w:rPr>
              <w:t>/s/ THOMAS E. O'HERN</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4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4480" w:type="dxa"/>
            <w:vAlign w:val="bottom"/>
            <w:vMerge w:val="restart"/>
          </w:tcPr>
          <w:p>
            <w:pPr>
              <w:ind w:left="240"/>
              <w:spacing w:after="0"/>
              <w:rPr>
                <w:sz w:val="20"/>
                <w:szCs w:val="20"/>
                <w:color w:val="auto"/>
              </w:rPr>
            </w:pPr>
            <w:r>
              <w:rPr>
                <w:rFonts w:ascii="Arial" w:cs="Arial" w:eastAsia="Arial" w:hAnsi="Arial"/>
                <w:sz w:val="18"/>
                <w:szCs w:val="18"/>
                <w:color w:val="auto"/>
              </w:rPr>
              <w:t>November 5, 2018</w:t>
            </w:r>
          </w:p>
        </w:tc>
        <w:tc>
          <w:tcPr>
            <w:tcW w:w="5560" w:type="dxa"/>
            <w:vAlign w:val="bottom"/>
          </w:tcPr>
          <w:p>
            <w:pPr>
              <w:ind w:left="40"/>
              <w:spacing w:after="0"/>
              <w:rPr>
                <w:sz w:val="20"/>
                <w:szCs w:val="20"/>
                <w:color w:val="auto"/>
              </w:rPr>
            </w:pPr>
            <w:r>
              <w:rPr>
                <w:rFonts w:ascii="Arial" w:cs="Arial" w:eastAsia="Arial" w:hAnsi="Arial"/>
                <w:sz w:val="18"/>
                <w:szCs w:val="18"/>
                <w:i w:val="1"/>
                <w:iCs w:val="1"/>
                <w:color w:val="auto"/>
              </w:rPr>
              <w:t>Senior Executive Vice President and Chief Financial Officer</w:t>
            </w:r>
          </w:p>
        </w:tc>
        <w:tc>
          <w:tcPr>
            <w:tcW w:w="0" w:type="dxa"/>
            <w:vAlign w:val="bottom"/>
          </w:tcPr>
          <w:p>
            <w:pPr>
              <w:spacing w:after="0"/>
              <w:rPr>
                <w:sz w:val="1"/>
                <w:szCs w:val="1"/>
                <w:color w:val="auto"/>
              </w:rPr>
            </w:pPr>
          </w:p>
        </w:tc>
      </w:tr>
      <w:tr>
        <w:trPr>
          <w:trHeight w:val="81"/>
        </w:trPr>
        <w:tc>
          <w:tcPr>
            <w:tcW w:w="640" w:type="dxa"/>
            <w:vAlign w:val="bottom"/>
            <w:vMerge w:val="continue"/>
          </w:tcPr>
          <w:p>
            <w:pPr>
              <w:spacing w:after="0"/>
              <w:rPr>
                <w:sz w:val="7"/>
                <w:szCs w:val="7"/>
                <w:color w:val="auto"/>
              </w:rPr>
            </w:pPr>
          </w:p>
        </w:tc>
        <w:tc>
          <w:tcPr>
            <w:tcW w:w="4480" w:type="dxa"/>
            <w:vAlign w:val="bottom"/>
            <w:vMerge w:val="continue"/>
          </w:tcPr>
          <w:p>
            <w:pPr>
              <w:spacing w:after="0"/>
              <w:rPr>
                <w:sz w:val="7"/>
                <w:szCs w:val="7"/>
                <w:color w:val="auto"/>
              </w:rPr>
            </w:pPr>
          </w:p>
        </w:tc>
        <w:tc>
          <w:tcPr>
            <w:tcW w:w="5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0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undersigned, Arthur M. Coppola and Thomas E. O'Hern, the Chief Executive Officer and Chief Financial Officer, respectively, of The Macerich Company (the "Company"), pursuant to 18 U.S.C. §1350, each hereby certifies that, to the best of his knowledge:</w:t>
      </w:r>
    </w:p>
    <w:p>
      <w:pPr>
        <w:spacing w:after="0" w:line="116" w:lineRule="exact"/>
        <w:rPr>
          <w:sz w:val="20"/>
          <w:szCs w:val="20"/>
          <w:color w:val="auto"/>
        </w:rPr>
      </w:pPr>
    </w:p>
    <w:p>
      <w:pPr>
        <w:ind w:left="980" w:right="8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September 30, 2018 of the Company (the "Report") fully complies with the requirements of Section 13(a) and 15(d) of the Securities Exchange Act of 1934, as amended;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2018</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ARTHUR M. COPPOLA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83185</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83185</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Senior Executive Vice President and Chief Financial Officer</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9"/>
    </w:lvl>
    <w:lvl w:ilvl="1">
      <w:lvlJc w:val="left"/>
      <w:lvlText w:val="(%2)"/>
      <w:numFmt w:val="decimal"/>
      <w:start w:val="8"/>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15" Type="http://schemas.openxmlformats.org/officeDocument/2006/relationships/hyperlink" Target="http://www.sec.gov/Archives/edgar/data/912242/000110465914081468/a14-24669_1ex2d1.htm" TargetMode="External"/><Relationship Id="rId16" Type="http://schemas.openxmlformats.org/officeDocument/2006/relationships/hyperlink" Target="http://www.sec.gov/Archives/edgar/data/912242/0001047469-99-012492.txt" TargetMode="External"/><Relationship Id="rId17" Type="http://schemas.openxmlformats.org/officeDocument/2006/relationships/hyperlink" Target="http://www.sec.gov/Archives/edgar/data/912242/000091205702030706/a2086079zex-3_1.htm" TargetMode="External"/><Relationship Id="rId18" Type="http://schemas.openxmlformats.org/officeDocument/2006/relationships/hyperlink" Target="http://www.sec.gov/Archives/edgar/data/912242/000091205702021417/a2080342zex-4_6.htm" TargetMode="External"/><Relationship Id="rId19" Type="http://schemas.openxmlformats.org/officeDocument/2006/relationships/hyperlink" Target="http://www.sec.gov/Archives/edgar/data/912242/000104746909001981/a2189901zex-3_15.htm" TargetMode="External"/><Relationship Id="rId20" Type="http://schemas.openxmlformats.org/officeDocument/2006/relationships/hyperlink" Target="http://www.sec.gov/Archives/edgar/data/912242/000110465909008348/a09-5253_1ex3d1.htm" TargetMode="External"/><Relationship Id="rId21" Type="http://schemas.openxmlformats.org/officeDocument/2006/relationships/hyperlink" Target="http://www.sec.gov/Archives/edgar/data/912242/000104746909007391/a2193924zex-3_17.htm" TargetMode="External"/><Relationship Id="rId22" Type="http://schemas.openxmlformats.org/officeDocument/2006/relationships/hyperlink" Target="http://www.sec.gov/Archives/edgar/data/912242/000110465914043330/a14-14485_1ex3d1.htm" TargetMode="External"/><Relationship Id="rId23" Type="http://schemas.openxmlformats.org/officeDocument/2006/relationships/hyperlink" Target="http://www.sec.gov/Archives/edgar/data/912242/000110465915020412/a15-6870_1ex3d1.htm" TargetMode="External"/><Relationship Id="rId24" Type="http://schemas.openxmlformats.org/officeDocument/2006/relationships/hyperlink" Target="http://www.sec.gov/Archives/edgar/data/912242/000110465915020810/a15-6873_1ex3d1.htm" TargetMode="External"/><Relationship Id="rId25" Type="http://schemas.openxmlformats.org/officeDocument/2006/relationships/hyperlink" Target="http://www.sec.gov/Archives/edgar/data/912242/000110465915037228/a15-11185_1ex3d1.htm" TargetMode="External"/><Relationship Id="rId26" Type="http://schemas.openxmlformats.org/officeDocument/2006/relationships/hyperlink" Target="http://www.sec.gov/Archives/edgar/data/912242/000110465915042631/a15-13305_1ex3d1.htm" TargetMode="External"/><Relationship Id="rId27" Type="http://schemas.openxmlformats.org/officeDocument/2006/relationships/hyperlink" Target="http://www.sec.gov/Archives/edgar/data/912242/000119312518172045/d553252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2019-12-28T18:42:40Z</dcterms:created>
  <dcterms:modified xsi:type="dcterms:W3CDTF">2019-12-28T18:42:40Z</dcterms:modified>
</cp:coreProperties>
</file>