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16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60" w:after="16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160" w:after="160"/>
        <w:ind w:left="0" w:right="0" w:hanging="630"/>
        <w:jc w:val="left"/>
        <w:rPr/>
      </w:pPr>
      <w:r>
        <w:rPr>
          <w:color w:val="000000"/>
        </w:rPr>
        <w:t xml:space="preserve">☒ </w:t>
      </w:r>
      <w:r>
        <w:rPr>
          <w:rFonts w:ascii="Times New Roman;sans-serif" w:hAnsi="Times New Roman;sans-serif"/>
          <w:b w:val="false"/>
          <w:color w:val="000000"/>
          <w:sz w:val="20"/>
        </w:rPr>
        <w:t xml:space="preserve">QUARTERLY REPORT PURSUANT TO SECTION 13 OR 15(d) OF THE SECURITIES EXCHANGE ACT OF 1934 </w:t>
      </w:r>
    </w:p>
    <w:p>
      <w:pPr>
        <w:pStyle w:val="TextBody"/>
        <w:bidi w:val="0"/>
        <w:spacing w:lineRule="auto" w:line="288" w:before="160" w:after="160"/>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2024 </w:t>
      </w:r>
    </w:p>
    <w:p>
      <w:pPr>
        <w:pStyle w:val="TextBody"/>
        <w:bidi w:val="0"/>
        <w:spacing w:lineRule="auto" w:line="288" w:before="160" w:after="160"/>
        <w:ind w:left="0" w:right="0" w:hanging="630"/>
        <w:jc w:val="left"/>
        <w:rPr/>
      </w:pPr>
      <w:r>
        <w:rPr>
          <w:color w:val="000000"/>
        </w:rPr>
        <w:t xml:space="preserve">☐ </w:t>
      </w:r>
      <w:r>
        <w:rPr>
          <w:rFonts w:ascii="Times New Roman;sans-serif" w:hAnsi="Times New Roman;sans-serif"/>
          <w:b w:val="false"/>
          <w:color w:val="000000"/>
          <w:sz w:val="20"/>
        </w:rPr>
        <w:t xml:space="preserve">TRANSITION REPORT PURSUANT TO SECTION 13 OR 15(d) OF THE SECURITIES EXCHANGE ACT OF 1934 </w:t>
      </w:r>
    </w:p>
    <w:p>
      <w:pPr>
        <w:pStyle w:val="TextBody"/>
        <w:bidi w:val="0"/>
        <w:spacing w:lineRule="auto" w:line="288" w:before="160" w:after="160"/>
        <w:ind w:left="0" w:right="0" w:firstLine="90"/>
        <w:jc w:val="left"/>
        <w:rPr/>
      </w:pPr>
      <w:r>
        <w:rPr>
          <w:rFonts w:ascii="Times New Roman;sans-serif" w:hAnsi="Times New Roman;sans-serif"/>
          <w:b w:val="false"/>
          <w:color w:val="000000"/>
          <w:sz w:val="20"/>
        </w:rPr>
        <w:t xml:space="preserve">For the transition period from ___________ to </w:t>
      </w:r>
      <w:r>
        <w:rPr>
          <w:rFonts w:ascii="Times New Roman;sans-serif" w:hAnsi="Times New Roman;sans-serif"/>
          <w:b/>
          <w:color w:val="000000"/>
          <w:sz w:val="20"/>
        </w:rPr>
        <w:t>___________</w:t>
      </w:r>
    </w:p>
    <w:p>
      <w:pPr>
        <w:pStyle w:val="TextBody"/>
        <w:bidi w:val="0"/>
        <w:spacing w:lineRule="auto" w:line="288" w:before="160" w:after="160"/>
        <w:ind w:left="0" w:right="0" w:hanging="63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No.: 1-12504 </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MACERICH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75" w:type="dxa"/>
        <w:jc w:val="center"/>
        <w:tblInd w:w="0" w:type="dxa"/>
        <w:tblLayout w:type="fixed"/>
        <w:tblCellMar>
          <w:top w:w="28" w:type="dxa"/>
          <w:left w:w="28" w:type="dxa"/>
          <w:bottom w:w="28" w:type="dxa"/>
          <w:right w:w="28" w:type="dxa"/>
        </w:tblCellMar>
      </w:tblPr>
      <w:tblGrid>
        <w:gridCol w:w="673"/>
        <w:gridCol w:w="591"/>
        <w:gridCol w:w="595"/>
        <w:gridCol w:w="274"/>
        <w:gridCol w:w="274"/>
        <w:gridCol w:w="276"/>
        <w:gridCol w:w="374"/>
        <w:gridCol w:w="374"/>
        <w:gridCol w:w="376"/>
        <w:gridCol w:w="270"/>
        <w:gridCol w:w="270"/>
        <w:gridCol w:w="271"/>
        <w:gridCol w:w="109"/>
        <w:gridCol w:w="109"/>
        <w:gridCol w:w="109"/>
        <w:gridCol w:w="883"/>
        <w:gridCol w:w="883"/>
        <w:gridCol w:w="126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6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95-4448705</w:t>
            </w:r>
          </w:p>
        </w:tc>
      </w:tr>
      <w:tr>
        <w:trPr/>
        <w:tc>
          <w:tcPr>
            <w:tcW w:w="46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Number)</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401 Wilshire Boulevard,</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Suite 700,</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Santa Monica,</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90401</w:t>
            </w:r>
          </w:p>
        </w:tc>
      </w:tr>
      <w:tr>
        <w:trPr/>
        <w:tc>
          <w:tcPr>
            <w:tcW w:w="46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394-6000</w:t>
            </w:r>
          </w:p>
        </w:tc>
      </w:tr>
      <w:tr>
        <w:trPr/>
        <w:tc>
          <w:tcPr>
            <w:tcW w:w="7975" w:type="dxa"/>
            <w:gridSpan w:val="18"/>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(Registrant's telephone number, including area code)</w:t>
            </w:r>
          </w:p>
        </w:tc>
      </w:tr>
      <w:tr>
        <w:trPr/>
        <w:tc>
          <w:tcPr>
            <w:tcW w:w="797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8"/>
              </w:rPr>
              <w:t>(Former name, former address and former fiscal year, if changed since last report)</w:t>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Securities Act:</w:t>
      </w:r>
    </w:p>
    <w:tbl>
      <w:tblPr>
        <w:tblW w:w="7858" w:type="dxa"/>
        <w:jc w:val="left"/>
        <w:tblInd w:w="0" w:type="dxa"/>
        <w:tblLayout w:type="fixed"/>
        <w:tblCellMar>
          <w:top w:w="28" w:type="dxa"/>
          <w:left w:w="28" w:type="dxa"/>
          <w:bottom w:w="28" w:type="dxa"/>
          <w:right w:w="28" w:type="dxa"/>
        </w:tblCellMar>
      </w:tblPr>
      <w:tblGrid>
        <w:gridCol w:w="999"/>
        <w:gridCol w:w="875"/>
        <w:gridCol w:w="885"/>
        <w:gridCol w:w="464"/>
        <w:gridCol w:w="464"/>
        <w:gridCol w:w="466"/>
        <w:gridCol w:w="1085"/>
        <w:gridCol w:w="1085"/>
        <w:gridCol w:w="1535"/>
      </w:tblGrid>
      <w:tr>
        <w:trPr/>
        <w:tc>
          <w:tcPr>
            <w:tcW w:w="9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160" w:after="16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   No ☐</w:t>
      </w:r>
    </w:p>
    <w:p>
      <w:pPr>
        <w:pStyle w:val="TextBody"/>
        <w:bidi w:val="0"/>
        <w:spacing w:lineRule="auto" w:line="288" w:before="160" w:after="160"/>
        <w:ind w:left="0" w:right="0" w:firstLine="495"/>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60" w:after="16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9265"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435"/>
        <w:gridCol w:w="435"/>
        <w:gridCol w:w="436"/>
        <w:gridCol w:w="109"/>
        <w:gridCol w:w="109"/>
        <w:gridCol w:w="109"/>
        <w:gridCol w:w="109"/>
        <w:gridCol w:w="109"/>
        <w:gridCol w:w="109"/>
        <w:gridCol w:w="560"/>
        <w:gridCol w:w="560"/>
        <w:gridCol w:w="561"/>
        <w:gridCol w:w="109"/>
        <w:gridCol w:w="109"/>
        <w:gridCol w:w="109"/>
        <w:gridCol w:w="109"/>
        <w:gridCol w:w="109"/>
        <w:gridCol w:w="109"/>
        <w:gridCol w:w="724"/>
        <w:gridCol w:w="724"/>
        <w:gridCol w:w="726"/>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60" w:after="160"/>
        <w:ind w:left="0" w:right="0" w:firstLine="495"/>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160"/>
        <w:ind w:left="0" w:right="0" w:firstLine="495"/>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60" w:after="40"/>
        <w:ind w:left="0" w:right="0" w:firstLine="495"/>
        <w:jc w:val="left"/>
        <w:rPr/>
      </w:pPr>
      <w:r>
        <w:rPr>
          <w:rFonts w:ascii="Times New Roman;sans-serif" w:hAnsi="Times New Roman;sans-serif"/>
          <w:b w:val="false"/>
          <w:color w:val="000000"/>
          <w:sz w:val="18"/>
        </w:rPr>
        <w:t>Number of shares outstanding as of November 5, 2024 of the registrant's common stock, par value $0.01 per share: 225,527,485 shares</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before="160" w:after="160"/>
        <w:jc w:val="center"/>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92"/>
        <w:gridCol w:w="257"/>
        <w:gridCol w:w="262"/>
        <w:gridCol w:w="109"/>
        <w:gridCol w:w="109"/>
        <w:gridCol w:w="109"/>
        <w:gridCol w:w="2821"/>
        <w:gridCol w:w="2769"/>
        <w:gridCol w:w="2777"/>
        <w:gridCol w:w="109"/>
        <w:gridCol w:w="109"/>
        <w:gridCol w:w="109"/>
        <w:gridCol w:w="109"/>
        <w:gridCol w:w="109"/>
        <w:gridCol w:w="155"/>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0">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0">
              <w:r>
                <w:rPr>
                  <w:rStyle w:val="InternetLink"/>
                  <w:rFonts w:ascii="Times New Roman;sans-serif" w:hAnsi="Times New Roman;sans-serif"/>
                  <w:b w:val="false"/>
                  <w:color w:val="0000FF"/>
                  <w:sz w:val="20"/>
                  <w:u w:val="single"/>
                </w:rPr>
                <w:t>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0">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3">
              <w:r>
                <w:rPr>
                  <w:rStyle w:val="InternetLink"/>
                  <w:rFonts w:ascii="Times New Roman;sans-serif" w:hAnsi="Times New Roman;sans-serif"/>
                  <w:b w:val="false"/>
                  <w:color w:val="0000FF"/>
                  <w:sz w:val="20"/>
                  <w:u w:val="single"/>
                </w:rPr>
                <w:t>Consolidated Balance Sheets as of September 30, 2024 and December 31,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3">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6">
              <w:r>
                <w:rPr>
                  <w:rStyle w:val="InternetLink"/>
                  <w:rFonts w:ascii="Times New Roman;sans-serif" w:hAnsi="Times New Roman;sans-serif"/>
                  <w:b w:val="false"/>
                  <w:color w:val="0000FF"/>
                  <w:sz w:val="20"/>
                  <w:u w:val="single"/>
                </w:rPr>
                <w:t>Consolidated Statements of Operations for the three and nine months ended September 30, 2024 and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6">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9">
              <w:r>
                <w:rPr>
                  <w:rStyle w:val="InternetLink"/>
                  <w:rFonts w:ascii="Times New Roman;sans-serif" w:hAnsi="Times New Roman;sans-serif"/>
                  <w:b w:val="false"/>
                  <w:color w:val="0000FF"/>
                  <w:sz w:val="20"/>
                  <w:u w:val="single"/>
                </w:rPr>
                <w:t>Consolidated Statements of Comprehensive (Loss) Income for the three and nine months ended September 30, 2024 and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9">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25">
              <w:r>
                <w:rPr>
                  <w:rStyle w:val="InternetLink"/>
                  <w:rFonts w:ascii="Times New Roman;sans-serif" w:hAnsi="Times New Roman;sans-serif"/>
                  <w:b w:val="false"/>
                  <w:color w:val="0000FF"/>
                  <w:sz w:val="20"/>
                  <w:u w:val="single"/>
                </w:rPr>
                <w:t>Consolidated Statements of Equity for the three and nine months ended September 30, 2024 and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22">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28">
              <w:r>
                <w:rPr>
                  <w:rStyle w:val="InternetLink"/>
                  <w:rFonts w:ascii="Times New Roman;sans-serif" w:hAnsi="Times New Roman;sans-serif"/>
                  <w:b w:val="false"/>
                  <w:color w:val="0000FF"/>
                  <w:sz w:val="20"/>
                  <w:u w:val="single"/>
                </w:rPr>
                <w:t>Consolidated Statements of Cash Flows for the nine months ended September 30, 2024 and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28">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31">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31">
              <w:r>
                <w:rPr>
                  <w:rStyle w:val="InternetLink"/>
                  <w:rFonts w:ascii="Times New Roman;sans-serif" w:hAnsi="Times New Roman;sans-serif"/>
                  <w:b w:val="false"/>
                  <w:color w:val="0000FF"/>
                  <w:sz w:val="20"/>
                  <w:u w:val="single"/>
                </w:rPr>
                <w:t>10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03">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03">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27">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27">
              <w:r>
                <w:rPr>
                  <w:rStyle w:val="InternetLink"/>
                  <w:rFonts w:ascii="Times New Roman;sans-serif" w:hAnsi="Times New Roman;sans-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27">
              <w:r>
                <w:rPr>
                  <w:rStyle w:val="InternetLink"/>
                  <w:rFonts w:ascii="Times New Roman;sans-serif" w:hAnsi="Times New Roman;sans-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30">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30">
              <w:r>
                <w:rPr>
                  <w:rStyle w:val="InternetLink"/>
                  <w:rFonts w:ascii="Times New Roman;sans-serif" w:hAnsi="Times New Roman;sans-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30">
              <w:r>
                <w:rPr>
                  <w:rStyle w:val="InternetLink"/>
                  <w:rFonts w:ascii="Times New Roman;sans-serif" w:hAnsi="Times New Roman;sans-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36">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36">
              <w:r>
                <w:rPr>
                  <w:rStyle w:val="InternetLink"/>
                  <w:rFonts w:ascii="Times New Roman;sans-serif" w:hAnsi="Times New Roman;sans-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36">
              <w:r>
                <w:rPr>
                  <w:rStyle w:val="InternetLink"/>
                  <w:rFonts w:ascii="Times New Roman;sans-serif" w:hAnsi="Times New Roman;sans-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39">
              <w:r>
                <w:rPr>
                  <w:rStyle w:val="InternetLink"/>
                  <w:rFonts w:ascii="Times New Roman;sans-serif" w:hAnsi="Times New Roman;sans-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39">
              <w:r>
                <w:rPr>
                  <w:rStyle w:val="InternetLink"/>
                  <w:rFonts w:ascii="Times New Roman;sans-serif" w:hAnsi="Times New Roman;sans-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39">
              <w:r>
                <w:rPr>
                  <w:rStyle w:val="InternetLink"/>
                  <w:rFonts w:ascii="Times New Roman;sans-serif" w:hAnsi="Times New Roman;sans-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42">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42">
              <w:r>
                <w:rPr>
                  <w:rStyle w:val="InternetLink"/>
                  <w:rFonts w:ascii="Times New Roman;sans-serif" w:hAnsi="Times New Roman;sans-serif"/>
                  <w:b w:val="false"/>
                  <w:color w:val="0000FF"/>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42">
              <w:r>
                <w:rPr>
                  <w:rStyle w:val="InternetLink"/>
                  <w:rFonts w:ascii="Times New Roman;sans-serif" w:hAnsi="Times New Roman;sans-serif"/>
                  <w:b w:val="false"/>
                  <w:color w:val="0000FF"/>
                  <w:sz w:val="20"/>
                  <w:u w:val="single"/>
                </w:rPr>
                <w:t>51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45">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45">
              <w:r>
                <w:rPr>
                  <w:rStyle w:val="InternetLink"/>
                  <w:rFonts w:ascii="Times New Roman;sans-serif" w:hAnsi="Times New Roman;sans-serif"/>
                  <w:b w:val="false"/>
                  <w:color w:val="0000FF"/>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45">
              <w:r>
                <w:rPr>
                  <w:rStyle w:val="InternetLink"/>
                  <w:rFonts w:ascii="Times New Roman;sans-serif" w:hAnsi="Times New Roman;sans-serif"/>
                  <w:b w:val="false"/>
                  <w:color w:val="0000FF"/>
                  <w:sz w:val="20"/>
                  <w:u w:val="single"/>
                </w:rPr>
                <w:t>51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48">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48">
              <w:r>
                <w:rPr>
                  <w:rStyle w:val="InternetLink"/>
                  <w:rFonts w:ascii="Times New Roman;sans-serif" w:hAnsi="Times New Roman;sans-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48">
              <w:r>
                <w:rPr>
                  <w:rStyle w:val="InternetLink"/>
                  <w:rFonts w:ascii="Times New Roman;sans-serif" w:hAnsi="Times New Roman;sans-serif"/>
                  <w:b w:val="false"/>
                  <w:color w:val="0000FF"/>
                  <w:sz w:val="20"/>
                  <w:u w:val="single"/>
                </w:rPr>
                <w:t>51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51">
              <w:r>
                <w:rPr>
                  <w:rStyle w:val="InternetLink"/>
                  <w:rFonts w:ascii="Times New Roman;sans-serif" w:hAnsi="Times New Roman;sans-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51">
              <w:r>
                <w:rPr>
                  <w:rStyle w:val="InternetLink"/>
                  <w:rFonts w:ascii="Times New Roman;sans-serif" w:hAnsi="Times New Roman;sans-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51">
              <w:r>
                <w:rPr>
                  <w:rStyle w:val="InternetLink"/>
                  <w:rFonts w:ascii="Times New Roman;sans-serif" w:hAnsi="Times New Roman;sans-serif"/>
                  <w:b w:val="false"/>
                  <w:color w:val="0000FF"/>
                  <w:sz w:val="20"/>
                  <w:u w:val="single"/>
                </w:rPr>
                <w:t>51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54">
              <w:r>
                <w:rPr>
                  <w:rStyle w:val="InternetLink"/>
                  <w:rFonts w:ascii="Times New Roman;sans-serif" w:hAnsi="Times New Roman;sans-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54">
              <w:r>
                <w:rPr>
                  <w:rStyle w:val="InternetLink"/>
                  <w:rFonts w:ascii="Times New Roman;sans-serif" w:hAnsi="Times New Roman;sans-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54">
              <w:r>
                <w:rPr>
                  <w:rStyle w:val="InternetLink"/>
                  <w:rFonts w:ascii="Times New Roman;sans-serif" w:hAnsi="Times New Roman;sans-serif"/>
                  <w:b w:val="false"/>
                  <w:color w:val="0000FF"/>
                  <w:sz w:val="20"/>
                  <w:u w:val="single"/>
                </w:rPr>
                <w:t>52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03c8a5b0d164279bd33cb274b6e4df1_157">
              <w:r>
                <w:rPr>
                  <w:rStyle w:val="InternetLink"/>
                  <w:rFonts w:ascii="Times New Roman;sans-serif" w:hAnsi="Times New Roman;sans-serif"/>
                  <w:b/>
                  <w:color w:val="0000FF"/>
                  <w:sz w:val="20"/>
                  <w:u w:val="singl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3c8a5b0d164279bd33cb274b6e4df1_157">
              <w:r>
                <w:rPr>
                  <w:rStyle w:val="InternetLink"/>
                  <w:rFonts w:ascii="Times New Roman;sans-serif" w:hAnsi="Times New Roman;sans-serif"/>
                  <w:b w:val="false"/>
                  <w:color w:val="0000FF"/>
                  <w:sz w:val="20"/>
                  <w:u w:val="single"/>
                </w:rPr>
                <w:t>54</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par value)</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9"/>
        <w:gridCol w:w="2258"/>
        <w:gridCol w:w="2203"/>
        <w:gridCol w:w="211"/>
        <w:gridCol w:w="976"/>
        <w:gridCol w:w="109"/>
        <w:gridCol w:w="109"/>
        <w:gridCol w:w="109"/>
        <w:gridCol w:w="109"/>
        <w:gridCol w:w="211"/>
        <w:gridCol w:w="976"/>
        <w:gridCol w:w="155"/>
      </w:tblGrid>
      <w:tr>
        <w:trPr/>
        <w:tc>
          <w:tcPr>
            <w:tcW w:w="2779"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5,900,489 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and other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 and other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7,513,512 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EQUITY:</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4,136,136 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and other notes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in excess of investments in unconsolidated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arrangement obligation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4,985,911 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500,000,000 shares authorized at September 30, 2024 and December 31, 2023, and 225,947,306 and 215,976,614 shares issued and outstanding at September 30, 2024 and December 31, 2023,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5,509,603 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(3,063,789)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2,447,020 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2,527,601 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7,513,512 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center"/>
        <w:rPr>
          <w:color w:val="000000"/>
        </w:rPr>
      </w:pPr>
      <w:r>
        <w:rPr>
          <w:color w:val="000000"/>
        </w:rPr>
        <w:t>   </w:t>
      </w: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0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10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52"/>
        <w:gridCol w:w="1188"/>
        <w:gridCol w:w="1174"/>
        <w:gridCol w:w="250"/>
        <w:gridCol w:w="948"/>
        <w:gridCol w:w="127"/>
        <w:gridCol w:w="127"/>
        <w:gridCol w:w="127"/>
        <w:gridCol w:w="127"/>
        <w:gridCol w:w="250"/>
        <w:gridCol w:w="948"/>
        <w:gridCol w:w="127"/>
        <w:gridCol w:w="109"/>
        <w:gridCol w:w="109"/>
        <w:gridCol w:w="109"/>
        <w:gridCol w:w="250"/>
        <w:gridCol w:w="886"/>
        <w:gridCol w:w="127"/>
        <w:gridCol w:w="127"/>
        <w:gridCol w:w="127"/>
        <w:gridCol w:w="127"/>
        <w:gridCol w:w="250"/>
        <w:gridCol w:w="947"/>
        <w:gridCol w:w="192"/>
      </w:tblGrid>
      <w:tr>
        <w:trPr/>
        <w:tc>
          <w:tcPr>
            <w:tcW w:w="14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38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Leasing revenue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197,305 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593,061 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589,003 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34,143 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Management Companies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22,234 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220,224 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644,528 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645,380 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Expenses:</w:t>
            </w:r>
          </w:p>
        </w:tc>
        <w:tc>
          <w:tcPr>
            <w:tcW w:w="13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Shopping center and operating expenses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219,761 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216,793 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Leasing expenses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Management Companies' operating expenses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52,852 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REIT general and administrative expenses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212,596 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183,142 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178,313 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541,202 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530,813 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w:t>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Related parties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160,318 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147,516 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57,099 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53,380 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149,054 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147,507 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240,241 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231,693 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690,256 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678,320 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 loss of unconsolidated joint ventures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(74,931)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(107,465)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(205,044)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(176,235)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gain on sale or write down of assets, net</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(149,287)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272,306 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(135,229)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(112,098)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(271,965)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(344,565)</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(loss) income attributable to noncontrolling interests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 attributable to the Company</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(108,189)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(262,547)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(336,244)</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(Loss) income per common share—attributable to common stockholders:</w:t>
            </w:r>
          </w:p>
        </w:tc>
        <w:tc>
          <w:tcPr>
            <w:tcW w:w="13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(0.50)</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 common shares outstanding:</w:t>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218,420,000 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215,632,000 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216,884,000 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215,461,000 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19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218,420,000 </w:t>
            </w:r>
          </w:p>
        </w:tc>
        <w:tc>
          <w:tcPr>
            <w:tcW w:w="1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215,632,000 </w:t>
            </w:r>
          </w:p>
        </w:tc>
        <w:tc>
          <w:tcPr>
            <w:tcW w:w="1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216,884,000 </w:t>
            </w:r>
          </w:p>
        </w:tc>
        <w:tc>
          <w:tcPr>
            <w:tcW w:w="1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215,461,000 </w:t>
            </w:r>
          </w:p>
        </w:tc>
        <w:tc>
          <w:tcPr>
            <w:tcW w:w="1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center"/>
        <w:rPr>
          <w:color w:val="000000"/>
        </w:rPr>
      </w:pPr>
      <w:r>
        <w:rPr>
          <w:color w:val="000000"/>
        </w:rPr>
        <w:t>   </w:t>
      </w: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0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 INCOME</w:t>
      </w:r>
    </w:p>
    <w:p>
      <w:pPr>
        <w:pStyle w:val="TextBody"/>
        <w:bidi w:val="0"/>
        <w:spacing w:lineRule="auto" w:line="288" w:before="10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363"/>
        <w:gridCol w:w="1195"/>
        <w:gridCol w:w="1170"/>
        <w:gridCol w:w="238"/>
        <w:gridCol w:w="977"/>
        <w:gridCol w:w="132"/>
        <w:gridCol w:w="132"/>
        <w:gridCol w:w="132"/>
        <w:gridCol w:w="132"/>
        <w:gridCol w:w="238"/>
        <w:gridCol w:w="977"/>
        <w:gridCol w:w="132"/>
        <w:gridCol w:w="109"/>
        <w:gridCol w:w="109"/>
        <w:gridCol w:w="109"/>
        <w:gridCol w:w="246"/>
        <w:gridCol w:w="811"/>
        <w:gridCol w:w="136"/>
        <w:gridCol w:w="136"/>
        <w:gridCol w:w="136"/>
        <w:gridCol w:w="136"/>
        <w:gridCol w:w="246"/>
        <w:gridCol w:w="1006"/>
        <w:gridCol w:w="207"/>
      </w:tblGrid>
      <w:tr>
        <w:trPr/>
        <w:tc>
          <w:tcPr>
            <w:tcW w:w="136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7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372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(112,098)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(271,965)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(344,565)</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income:</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 agreements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(loss) income</w:t>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(112,245)</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(272,511)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(344,641)</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(loss) income attributable to noncontrolling interests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(loss) income attributable to the Company</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(108,336)</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(263,093)</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17,863 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(336,320)</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center"/>
        <w:rPr>
          <w:color w:val="000000"/>
        </w:rPr>
      </w:pPr>
      <w:r>
        <w:rPr>
          <w:color w:val="000000"/>
        </w:rPr>
        <w:t>   </w:t>
      </w: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data)</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 and 2023</w:t>
      </w:r>
    </w:p>
    <w:tbl>
      <w:tblPr>
        <w:tblW w:w="11239" w:type="dxa"/>
        <w:jc w:val="center"/>
        <w:tblInd w:w="0" w:type="dxa"/>
        <w:tblLayout w:type="fixed"/>
        <w:tblCellMar>
          <w:top w:w="28" w:type="dxa"/>
          <w:left w:w="28" w:type="dxa"/>
          <w:bottom w:w="28" w:type="dxa"/>
          <w:right w:w="28" w:type="dxa"/>
        </w:tblCellMar>
      </w:tblPr>
      <w:tblGrid>
        <w:gridCol w:w="642"/>
        <w:gridCol w:w="181"/>
        <w:gridCol w:w="183"/>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181"/>
        <w:gridCol w:w="736"/>
        <w:gridCol w:w="109"/>
        <w:gridCol w:w="109"/>
        <w:gridCol w:w="109"/>
        <w:gridCol w:w="109"/>
        <w:gridCol w:w="277"/>
        <w:gridCol w:w="576"/>
        <w:gridCol w:w="168"/>
        <w:gridCol w:w="109"/>
        <w:gridCol w:w="109"/>
        <w:gridCol w:w="109"/>
        <w:gridCol w:w="181"/>
        <w:gridCol w:w="721"/>
        <w:gridCol w:w="109"/>
        <w:gridCol w:w="109"/>
        <w:gridCol w:w="109"/>
        <w:gridCol w:w="109"/>
        <w:gridCol w:w="222"/>
        <w:gridCol w:w="664"/>
        <w:gridCol w:w="135"/>
        <w:gridCol w:w="109"/>
        <w:gridCol w:w="109"/>
        <w:gridCol w:w="109"/>
        <w:gridCol w:w="181"/>
        <w:gridCol w:w="721"/>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 xml:space="preserve">Other </w:t>
              <w:br/>
              <w:t xml:space="preserve">Comprehensive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July 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216,403,221 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5,515,333 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(3,012,029)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2,505,434 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83,306 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2,588,740 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(3,909)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rate cap agreements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share and unit-based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offerings,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9,401,596 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paid ($0.17 per share)</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(36,846)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noncontrolling interests to common shares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134,547 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 of noncontrolling interests in Operating Partnership</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30, 2024</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225,947,306 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5,666,636 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(3,157,064)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2,511,650 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77,466 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2,589,116 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39" w:type="dxa"/>
        <w:jc w:val="center"/>
        <w:tblInd w:w="0" w:type="dxa"/>
        <w:tblLayout w:type="fixed"/>
        <w:tblCellMar>
          <w:top w:w="28" w:type="dxa"/>
          <w:left w:w="28" w:type="dxa"/>
          <w:bottom w:w="28" w:type="dxa"/>
          <w:right w:w="28" w:type="dxa"/>
        </w:tblCellMar>
      </w:tblPr>
      <w:tblGrid>
        <w:gridCol w:w="642"/>
        <w:gridCol w:w="181"/>
        <w:gridCol w:w="183"/>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181"/>
        <w:gridCol w:w="736"/>
        <w:gridCol w:w="109"/>
        <w:gridCol w:w="109"/>
        <w:gridCol w:w="109"/>
        <w:gridCol w:w="109"/>
        <w:gridCol w:w="244"/>
        <w:gridCol w:w="629"/>
        <w:gridCol w:w="148"/>
        <w:gridCol w:w="109"/>
        <w:gridCol w:w="109"/>
        <w:gridCol w:w="109"/>
        <w:gridCol w:w="181"/>
        <w:gridCol w:w="721"/>
        <w:gridCol w:w="109"/>
        <w:gridCol w:w="109"/>
        <w:gridCol w:w="109"/>
        <w:gridCol w:w="109"/>
        <w:gridCol w:w="222"/>
        <w:gridCol w:w="664"/>
        <w:gridCol w:w="135"/>
        <w:gridCol w:w="109"/>
        <w:gridCol w:w="109"/>
        <w:gridCol w:w="109"/>
        <w:gridCol w:w="181"/>
        <w:gridCol w:w="721"/>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 xml:space="preserve">Other </w:t>
              <w:br/>
              <w:t xml:space="preserve">Comprehensive </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July 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215,617,797 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5,518,237 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(2,790,097)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2,731,396 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77,641 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2,809,037 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(9,418)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(271,965)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rate cap agreements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share and unit-based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offerings,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paid ($0.17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noncontrolling interests to common shares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 of noncontrolling interests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 of noncontrolling interests in Operating Partnership</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30, 2023</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215,655,497 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5,519,029 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(3,089,298)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2,432,442 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65,930 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2,498,372 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360"/>
        <w:jc w:val="center"/>
        <w:rPr/>
      </w:pPr>
      <w:r>
        <w:rPr/>
      </w:r>
    </w:p>
    <w:p>
      <w:pPr>
        <w:pStyle w:val="TextBody"/>
        <w:bidi w:val="0"/>
        <w:spacing w:lineRule="auto" w:line="288" w:before="160" w:after="1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data)</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September 30, 2024 and 2023 </w:t>
      </w:r>
    </w:p>
    <w:tbl>
      <w:tblPr>
        <w:tblW w:w="11239" w:type="dxa"/>
        <w:jc w:val="center"/>
        <w:tblInd w:w="0" w:type="dxa"/>
        <w:tblLayout w:type="fixed"/>
        <w:tblCellMar>
          <w:top w:w="28" w:type="dxa"/>
          <w:left w:w="28" w:type="dxa"/>
          <w:bottom w:w="28" w:type="dxa"/>
          <w:right w:w="28" w:type="dxa"/>
        </w:tblCellMar>
      </w:tblPr>
      <w:tblGrid>
        <w:gridCol w:w="642"/>
        <w:gridCol w:w="181"/>
        <w:gridCol w:w="183"/>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181"/>
        <w:gridCol w:w="736"/>
        <w:gridCol w:w="109"/>
        <w:gridCol w:w="109"/>
        <w:gridCol w:w="109"/>
        <w:gridCol w:w="109"/>
        <w:gridCol w:w="277"/>
        <w:gridCol w:w="576"/>
        <w:gridCol w:w="168"/>
        <w:gridCol w:w="109"/>
        <w:gridCol w:w="109"/>
        <w:gridCol w:w="109"/>
        <w:gridCol w:w="181"/>
        <w:gridCol w:w="721"/>
        <w:gridCol w:w="109"/>
        <w:gridCol w:w="109"/>
        <w:gridCol w:w="109"/>
        <w:gridCol w:w="109"/>
        <w:gridCol w:w="222"/>
        <w:gridCol w:w="664"/>
        <w:gridCol w:w="135"/>
        <w:gridCol w:w="109"/>
        <w:gridCol w:w="109"/>
        <w:gridCol w:w="109"/>
        <w:gridCol w:w="181"/>
        <w:gridCol w:w="721"/>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 xml:space="preserve">Other </w:t>
              <w:br/>
              <w:t xml:space="preserve">Comprehensive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January 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215,976,614 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5,509,603 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(3,063,789)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2,447,020 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80,581 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2,527,601 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rate cap agreements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share and unit-based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236,786 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stock purchases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105,240 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offerings,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9,401,596 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paid ($0.51 per share)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(9,706)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noncontrolling interests to common shares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227,070 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(11,208)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 of noncontrolling interests in Operating Partnership</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30, 2024</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225,947,306 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5,666,636 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(3,157,064)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2,511,650 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77,466 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2,589,116 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39" w:type="dxa"/>
        <w:jc w:val="center"/>
        <w:tblInd w:w="0" w:type="dxa"/>
        <w:tblLayout w:type="fixed"/>
        <w:tblCellMar>
          <w:top w:w="28" w:type="dxa"/>
          <w:left w:w="28" w:type="dxa"/>
          <w:bottom w:w="28" w:type="dxa"/>
          <w:right w:w="28" w:type="dxa"/>
        </w:tblCellMar>
      </w:tblPr>
      <w:tblGrid>
        <w:gridCol w:w="642"/>
        <w:gridCol w:w="181"/>
        <w:gridCol w:w="183"/>
        <w:gridCol w:w="435"/>
        <w:gridCol w:w="436"/>
        <w:gridCol w:w="171"/>
        <w:gridCol w:w="109"/>
        <w:gridCol w:w="109"/>
        <w:gridCol w:w="109"/>
        <w:gridCol w:w="181"/>
        <w:gridCol w:w="466"/>
        <w:gridCol w:w="109"/>
        <w:gridCol w:w="109"/>
        <w:gridCol w:w="109"/>
        <w:gridCol w:w="109"/>
        <w:gridCol w:w="181"/>
        <w:gridCol w:w="721"/>
        <w:gridCol w:w="109"/>
        <w:gridCol w:w="109"/>
        <w:gridCol w:w="109"/>
        <w:gridCol w:w="109"/>
        <w:gridCol w:w="181"/>
        <w:gridCol w:w="736"/>
        <w:gridCol w:w="109"/>
        <w:gridCol w:w="109"/>
        <w:gridCol w:w="109"/>
        <w:gridCol w:w="109"/>
        <w:gridCol w:w="283"/>
        <w:gridCol w:w="566"/>
        <w:gridCol w:w="172"/>
        <w:gridCol w:w="109"/>
        <w:gridCol w:w="109"/>
        <w:gridCol w:w="109"/>
        <w:gridCol w:w="181"/>
        <w:gridCol w:w="721"/>
        <w:gridCol w:w="109"/>
        <w:gridCol w:w="109"/>
        <w:gridCol w:w="109"/>
        <w:gridCol w:w="109"/>
        <w:gridCol w:w="222"/>
        <w:gridCol w:w="664"/>
        <w:gridCol w:w="135"/>
        <w:gridCol w:w="109"/>
        <w:gridCol w:w="109"/>
        <w:gridCol w:w="109"/>
        <w:gridCol w:w="181"/>
        <w:gridCol w:w="721"/>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 xml:space="preserve">Other </w:t>
              <w:br/>
              <w:t xml:space="preserve">Comprehensive </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January 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215,241,129 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5,506,084 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(2,643,094)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2,865,773 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83,576 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2,949,349 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(336,244)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(336,244)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(8,321)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(344,565)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rate cap agreements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share and unit-based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270,508 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stock purchases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125,754 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offerings,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paid ($0.51 per share)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(10,173)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noncontrolling interests to common shares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 of noncontrolling interests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 of noncontrolling interests in Operating Partnership</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September 30, 2023</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215,655,497 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5,519,029 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(3,089,298)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2,432,442 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65,930 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2,498,372 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35"/>
        <w:gridCol w:w="2124"/>
        <w:gridCol w:w="2131"/>
        <w:gridCol w:w="274"/>
        <w:gridCol w:w="939"/>
        <w:gridCol w:w="141"/>
        <w:gridCol w:w="141"/>
        <w:gridCol w:w="141"/>
        <w:gridCol w:w="141"/>
        <w:gridCol w:w="274"/>
        <w:gridCol w:w="1157"/>
        <w:gridCol w:w="207"/>
      </w:tblGrid>
      <w:tr>
        <w:trPr/>
        <w:tc>
          <w:tcPr>
            <w:tcW w:w="2535"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6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6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(344,565)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90"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or write down of assets, net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(272,306)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135,229 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223,735 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 on mortgage notes payable</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share and unit-based plans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 and amortization of above and below market leases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(recovery of) doubtful accounts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joint ventures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205,044 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176,235 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of income from unconsolidated joint ventures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financing arrangement obligation</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dispositions:</w:t>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and other receivables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228,573 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246,119 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property</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redevelopment, expansion and renovation of properties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(78,342)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improvements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6790"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leasing costs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joint ventures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212,108 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to unconsolidated joint ventures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6790"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 from acquisition of unconsolidated joint ventures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Derecognition of cash previously held by a consolidated joint venture to an unconsolidated joint venture</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57"/>
        <w:gridCol w:w="1893"/>
        <w:gridCol w:w="1899"/>
        <w:gridCol w:w="321"/>
        <w:gridCol w:w="1258"/>
        <w:gridCol w:w="165"/>
        <w:gridCol w:w="165"/>
        <w:gridCol w:w="165"/>
        <w:gridCol w:w="165"/>
        <w:gridCol w:w="321"/>
        <w:gridCol w:w="1258"/>
        <w:gridCol w:w="238"/>
      </w:tblGrid>
      <w:tr>
        <w:trPr/>
        <w:tc>
          <w:tcPr>
            <w:tcW w:w="235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ableContents"/>
              <w:bidi w:val="0"/>
              <w:spacing w:lineRule="auto" w:line="240"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(Continued)</w:t>
            </w:r>
          </w:p>
          <w:p>
            <w:pPr>
              <w:pStyle w:val="TableContents"/>
              <w:bidi w:val="0"/>
              <w:spacing w:lineRule="auto" w:line="240" w:before="0" w:after="6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p>
            <w:pPr>
              <w:pStyle w:val="TableContents"/>
              <w:bidi w:val="0"/>
              <w:spacing w:lineRule="auto" w:line="240" w:before="1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w:t>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mortgages, bank and other notes payable</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684,000 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mortgages, bank and other notes payable</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(588,636)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(785,065)</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(costs) from stock offerings, net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148,558 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share and unit-based plans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noncontrolling interests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distributions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(120,071)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(120,133)</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(171,518)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(251,439)</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26,995 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229,978 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w:t>
            </w:r>
          </w:p>
        </w:tc>
        <w:tc>
          <w:tcPr>
            <w:tcW w:w="174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for interest, net of amounts capitalized</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transactions:</w:t>
            </w:r>
          </w:p>
        </w:tc>
        <w:tc>
          <w:tcPr>
            <w:tcW w:w="174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development costs included in accounts payable and accrued expenses and other accrued liabilities</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Derecognition of previously consolidated property and related liabilities to investment in unconsolidated joint venture</w:t>
            </w:r>
          </w:p>
        </w:tc>
        <w:tc>
          <w:tcPr>
            <w:tcW w:w="3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347,290 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Operating Partnership Units to common stock</w:t>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from unconsolidated joint venture</w:t>
            </w:r>
          </w:p>
        </w:tc>
        <w:tc>
          <w:tcPr>
            <w:tcW w:w="3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621,701 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46,713 </w:t>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 from unconsolidated joint venture</w:t>
            </w:r>
          </w:p>
        </w:tc>
        <w:tc>
          <w:tcPr>
            <w:tcW w:w="3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558,439 </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8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Macerich Company (the "Company") is involved in the acquisition, ownership, development, redevelopment, management and leasing of regional retail centers and community/power shopping centers (the "Centers") located throughout the United States.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commenced operations effective with the completion of its initial public offering on March 16, 1994. As of September 30, 2024,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 references to the Company in this Quarterly Report on Form 10-Q include the Company, those entities owned or controlled by the Company and predecessors of the Company,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SanTan Village Regional Center.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Partnership's consolidated VIEs included the following assets and liabilities:</w:t>
      </w:r>
    </w:p>
    <w:tbl>
      <w:tblPr>
        <w:tblW w:w="4749" w:type="dxa"/>
        <w:jc w:val="left"/>
        <w:tblInd w:w="0" w:type="dxa"/>
        <w:tblLayout w:type="fixed"/>
        <w:tblCellMar>
          <w:top w:w="28" w:type="dxa"/>
          <w:left w:w="28" w:type="dxa"/>
          <w:bottom w:w="28" w:type="dxa"/>
          <w:right w:w="28" w:type="dxa"/>
        </w:tblCellMar>
      </w:tblPr>
      <w:tblGrid>
        <w:gridCol w:w="753"/>
        <w:gridCol w:w="662"/>
        <w:gridCol w:w="670"/>
        <w:gridCol w:w="211"/>
        <w:gridCol w:w="826"/>
        <w:gridCol w:w="109"/>
        <w:gridCol w:w="109"/>
        <w:gridCol w:w="109"/>
        <w:gridCol w:w="109"/>
        <w:gridCol w:w="211"/>
        <w:gridCol w:w="826"/>
        <w:gridCol w:w="154"/>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 intercompany accounts and transactions have been eliminated in the consolidated financial statements.</w:t>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160" w:after="160"/>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interim consolidated financial statements should be read in conjunction with the Company's audited consolidated financial statements and notes thereto included in the Company's Annual Report on Form 10-K for the year ended December 31, 2023.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2023 has been derived from the audited financial statements but does not include all disclosures required by GAAP.</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the beginning of period and end of period cash, cash equivalents and restricted cash reported on the Company's consolidated balance sheets to the totals shown on its consolidated statements of cash flows:</w:t>
      </w:r>
    </w:p>
    <w:p>
      <w:pPr>
        <w:pStyle w:val="TextBody"/>
        <w:bidi w:val="0"/>
        <w:spacing w:before="0" w:after="0"/>
        <w:ind w:left="0" w:right="0" w:firstLine="495"/>
        <w:jc w:val="left"/>
        <w:rPr/>
      </w:pPr>
      <w:r>
        <w:rPr/>
      </w:r>
    </w:p>
    <w:tbl>
      <w:tblPr>
        <w:tblW w:w="6730" w:type="dxa"/>
        <w:jc w:val="left"/>
        <w:tblInd w:w="0" w:type="dxa"/>
        <w:tblLayout w:type="fixed"/>
        <w:tblCellMar>
          <w:top w:w="28" w:type="dxa"/>
          <w:left w:w="28" w:type="dxa"/>
          <w:bottom w:w="28" w:type="dxa"/>
          <w:right w:w="28" w:type="dxa"/>
        </w:tblCellMar>
      </w:tblPr>
      <w:tblGrid>
        <w:gridCol w:w="1271"/>
        <w:gridCol w:w="1116"/>
        <w:gridCol w:w="1123"/>
        <w:gridCol w:w="255"/>
        <w:gridCol w:w="1000"/>
        <w:gridCol w:w="131"/>
        <w:gridCol w:w="131"/>
        <w:gridCol w:w="131"/>
        <w:gridCol w:w="131"/>
        <w:gridCol w:w="255"/>
        <w:gridCol w:w="1000"/>
        <w:gridCol w:w="186"/>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of period</w:t>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190,294 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 of period</w:t>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229,978 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issued Accounting Standards Update (“ASU”) No. 2023-07, Segment Reporting - Improvements to Reportable Segment Disclosures (“ASU 2023-07”), which requires incremental disclosures related to a public entity’s reportable segments. Required 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 The Company is finalizing its assessment of the impact of adopting ASU 2023-07 on its consolidated financial statements for the year ended December 31, 2024.</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SEC adopted the final rule under SEC Release No. 33-11275, The Enhancement and Standardization of Climate Related Disclosures for Investors, which requires registrants to disclose climate-related information in registration statements and annual reports. The new rules would be effective for annual reporting periods beginning in fiscal year 2025. However, in April 2024, the SEC exercised its discretion to stay these rules pending the completion of judicial review of certain consolidated petitions with the United States Court of Appeals for the Eighth Circuit in connection with these rules. The Company is evaluating the impact of this rule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160" w:after="16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3. Earnings Per Share ("EPS"):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numerator and denominator used in the computation of EPS for the three and nine months ended September 30, 2024 and 2023 (shares in thousands):</w:t>
      </w:r>
    </w:p>
    <w:tbl>
      <w:tblPr>
        <w:tblW w:w="10205" w:type="dxa"/>
        <w:jc w:val="left"/>
        <w:tblInd w:w="0" w:type="dxa"/>
        <w:tblLayout w:type="fixed"/>
        <w:tblCellMar>
          <w:top w:w="28" w:type="dxa"/>
          <w:left w:w="28" w:type="dxa"/>
          <w:bottom w:w="28" w:type="dxa"/>
          <w:right w:w="28" w:type="dxa"/>
        </w:tblCellMar>
      </w:tblPr>
      <w:tblGrid>
        <w:gridCol w:w="1540"/>
        <w:gridCol w:w="1333"/>
        <w:gridCol w:w="1271"/>
        <w:gridCol w:w="226"/>
        <w:gridCol w:w="930"/>
        <w:gridCol w:w="116"/>
        <w:gridCol w:w="116"/>
        <w:gridCol w:w="116"/>
        <w:gridCol w:w="116"/>
        <w:gridCol w:w="226"/>
        <w:gridCol w:w="930"/>
        <w:gridCol w:w="116"/>
        <w:gridCol w:w="109"/>
        <w:gridCol w:w="109"/>
        <w:gridCol w:w="109"/>
        <w:gridCol w:w="229"/>
        <w:gridCol w:w="786"/>
        <w:gridCol w:w="118"/>
        <w:gridCol w:w="118"/>
        <w:gridCol w:w="118"/>
        <w:gridCol w:w="118"/>
        <w:gridCol w:w="229"/>
        <w:gridCol w:w="946"/>
        <w:gridCol w:w="180"/>
      </w:tblGrid>
      <w:tr>
        <w:trPr/>
        <w:tc>
          <w:tcPr>
            <w:tcW w:w="154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(112,098)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(271,965)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the Company</w:t>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(108,189)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(262,547)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(336,244)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earnings to participating securities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and diluted EPS—net (loss) income attributable to common stockholders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(108,441)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(262,760)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(336,899)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7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and diluted EPS—weighted average number of common shares outstanding(1)</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EPS—net (loss) income attributable to common stockholders</w:t>
            </w:r>
          </w:p>
        </w:tc>
        <w:tc>
          <w:tcPr>
            <w:tcW w:w="127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pPr>
      <w:r>
        <w:rPr>
          <w:rFonts w:ascii="Times New Roman;sans-serif" w:hAnsi="Times New Roman;sans-serif"/>
          <w:b w:val="false"/>
          <w:color w:val="000000"/>
          <w:sz w:val="16"/>
        </w:rPr>
        <w:t>(1)    Diluted EPS excludes 99,565 convertible preferred units for each of the three months ended September 30, 2024 and 2023 and 99,565 convertible preferred partnership units for each of the nine months ended September 30, 2024 and 2023, as their impact was antidilutive. Diluted EPS also excludes 9,987,209</w:t>
      </w:r>
      <w:r>
        <w:rPr>
          <w:color w:val="000000"/>
        </w:rPr>
        <w:t xml:space="preserve"> </w:t>
      </w:r>
      <w:r>
        <w:rPr>
          <w:rFonts w:ascii="Times New Roman;sans-serif" w:hAnsi="Times New Roman;sans-serif"/>
          <w:b w:val="false"/>
          <w:color w:val="000000"/>
          <w:sz w:val="16"/>
        </w:rPr>
        <w:t>and 8,979,065 Operating Partnership units ("OP Units") for the three months ended September 30, 2024 and 2023, respectively, and 10,060,498 and 8,981,061 OP Units for the nine months ended September 30, 2024 and 2023, respectively, as their impact was antidilutive.</w:t>
      </w:r>
    </w:p>
    <w:p>
      <w:pPr>
        <w:pStyle w:val="TextBody"/>
        <w:bidi w:val="0"/>
        <w:spacing w:before="60" w:after="6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4. Investments in Unconsolidated Joint Ventures: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made the following recent financings or other events within its unconsolidated joint ventures: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March 3, 2023, the Company’s joint venture in Scottsdale Fashion Square replaced the existing $403,931 mortgage loan on the property with a $700,000 loan that bears interest at a fixed rate of 6.21%, is interest only during the entire loan term and matures on March 6, 2028.</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25, 2023, the Company's joint venture in Deptford Mall closed on a three-year maturity date extension for the existing loan to April 3, 2026, including extension options. The Company's joint venture repaid $10,000 ($5,100 at the Company's pro rata share) of the outstanding loan balance at closing. The interest rate on the loan remains unchanged at 3.73%.</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Effective May 9, 2023, the Company’s joint venture in Country Club Plaza defaulted on the $295,210 ($147,605 at the Company’s pro rata share) non-recourse loan on the property. The Company’s joint venture was in negotiations with the lender on the terms of this non-recourse loan. Accordingly, the joint venture shortened the holding period of the property due to the uncertainty as to the outcome of those discussions. As a result of shortening the holding period, the joint venture determined the fair value of the property was less than the carrying value and recorded an impairment loss during 2023. The Company recognized $100,997 as its share of the impairment which was limited to the extent of its investment which has been reduced to zero. As discussed below, the joint venture subsequently sold the property on June 28, 2024.</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18, 2023, the Company acquired Seritage Growth Properties' ("Seritage") remaining 50% ownership interest in the MS Portfolio LLC joint venture that owns five former Sears parcels, for a total purchase price of $46,687. These parcels are located at Chandler Fashion Center, Danbury Fair Mall, Freehold Raceway Mall, Los Cerritos Center and Washington Square. As a result of this transaction and the shortening of holding periods, an impairment loss was recorded by the joint venture. The Company's share of the impairment loss was $51,363. Effective as of May 18, 2023, the Company now owns and has </w:t>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4. Investments in Unconsolidated Joint Ventures: (Continued)</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its 100% interest in these five former Sears parcels in its consolidated financial statements (See Note 15—Acquisitions).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4, 2023, the Company's joint venture in Tysons Corner Center replaced the existing $666,465 mortgage loan on the property with a new $710,000 loan that bears interest at a fixed rate of 6.60%, is interest only during the entire loan term and matures on December 6, 2028.</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27, 2023, the Company’s joint venture in One Westside sold the property, a 680,000 square foot office property in Los Angeles, California, for $700,000. The existing $324,632 loan on the property was repaid, and $77,643 of net proceeds were generated at the Company’s 25% ownership share, which were used to reduce the Company’s revolving loan facility. As a result of this transaction, the Company recognized its share of gain on sale of assets of $8,118.</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10, 2024, the Company's joint venture in Boulevard Shops replaced the existing $23,000 mortgage loan on the property with a new $24,000 loan that bears interest at a variable rate of SOFR plus 2.50%, is interest only during the entire loan term and matures on December 5, 2028. The new loan has a required interest rate cap throughout the term of the loan at a strike rate of 7.5%.</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50/50 joint venture with Simon Property Group, which was initially formed to develop Los Angeles Premium Outlets, a premium outlet center in Carson, California. During the three months ended March 31, 2024, the Company evaluated its investment and concluded that due to certain conditions, the Company should not continue to invest capital in this development project. As a result, the Company determined the investment was impaired on an other-than-temporary basis and wrote-off its entire investment of $57,686 in the first quarter of 2024 through equity in loss of unconsolidated joint ventures.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14, 2024, the Company acquired the remaining 40% ownership interest in Arrowhead Towne Center in the New River Associates LLC joint venture that it did not previously own for a total purchase price of $36,447 and the assumption of its joint venture partner's share of debt on the property. Effective as of May 14, 2024, the Company now owns and has consolidated its 100% interest in Arrowhead Towne Center (See Note 15—Acquisitions).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14, 2024, the Company acquired the remaining 40% ownership interest in South Plains Mall in the Pacific Premier Retail LLC joint venture that it did not previously own for no cash consideration and the assumption of its joint venture partner's share of debt on the property. Effective as of May 14, 2024, the Company now owns and has consolidated its 100% interest in South Plains Mall (See Note 15—Acquisitions).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June 13, 2024, the partnership agreement between the Company and its joint venture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June 27, 2024, the Company's joint venture in Chandler Fashion Center refinanced the existing $256,000 loan on the property with a $275,000 loan that bears interest at a fixed rate of 7.06%, is interest only during the entire loan term and matures on July 1, 2029. The Company received a distribution of $17,700 in connection with this transaction.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2024, the Company's joint venture in Country Club Plaza sold the property for $175,600. Concurrent with the transaction, the remaining amount owed by the joint venture under the $295,470 loan ($147,735 at the Company's pro rata share) was forgiven by the lender.</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July 31, 2024, the Company sold its 50% interest in Biltmore Fashion Park, a 611,000 square foot regional retail center in Phoenix, Arizona, for $110,000. The Company used the net proceeds to pay down debt. The Company recognized a gain of approximately $42,815 in connection with this transaction (See Note 6—Property, net).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ending September 30, 2024, the Company shortened the holding periods on certain joint venture properties and recorded impairment losses in equity in loss of unconsolidated joint ventures of $66,953 and $120,643, respectively, at the Company's pro rata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Investments in Unconsolidated Joint Ventures: (Continued)</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Combined and condensed balance sheets and statements of operations are presented below for all unconsolidated joint ventures.</w:t>
      </w:r>
    </w:p>
    <w:p>
      <w:pPr>
        <w:pStyle w:val="TextBody"/>
        <w:bidi w:val="0"/>
        <w:spacing w:lineRule="auto" w:line="288" w:before="160" w:after="160"/>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Combined and Condensed Balance Sheets of Unconsolidated Joint Ventures:</w:t>
      </w:r>
    </w:p>
    <w:tbl>
      <w:tblPr>
        <w:tblW w:w="9879" w:type="dxa"/>
        <w:jc w:val="left"/>
        <w:tblInd w:w="0" w:type="dxa"/>
        <w:tblLayout w:type="fixed"/>
        <w:tblCellMar>
          <w:top w:w="28" w:type="dxa"/>
          <w:left w:w="28" w:type="dxa"/>
          <w:bottom w:w="28" w:type="dxa"/>
          <w:right w:w="28" w:type="dxa"/>
        </w:tblCellMar>
      </w:tblPr>
      <w:tblGrid>
        <w:gridCol w:w="2503"/>
        <w:gridCol w:w="2202"/>
        <w:gridCol w:w="2210"/>
        <w:gridCol w:w="211"/>
        <w:gridCol w:w="976"/>
        <w:gridCol w:w="109"/>
        <w:gridCol w:w="109"/>
        <w:gridCol w:w="109"/>
        <w:gridCol w:w="109"/>
        <w:gridCol w:w="211"/>
        <w:gridCol w:w="976"/>
        <w:gridCol w:w="154"/>
      </w:tblGrid>
      <w:tr>
        <w:trPr/>
        <w:tc>
          <w:tcPr>
            <w:tcW w:w="2503"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Assets(1):</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partners' capital(1):</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notes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partners'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partners' capital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7,809,805 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joint ventures:</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Basis adjustment(2)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Assets—Investments in unconsolidated joint ventures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Liabilities—Distributions in excess of investments in unconsolidated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These amounts include assets of $1,699,223 and $2,613,690 of Pacific Premier Retail LLC (the "PPR Portfolio") as of September 30, 2024 and December 31, 2023, respectively, and liabilities of $1,351,279 and $1,578,328 of the PPR Portfolio as of September 30, 2024 and December 31, 2023, respectively. On October 24, 2024, the Company acquired its joint venture partner's 40% interest in the PPR Portfolio (See Note 21—Subsequent Events). </w:t>
      </w:r>
    </w:p>
    <w:p>
      <w:pPr>
        <w:pStyle w:val="TextBody"/>
        <w:bidi w:val="0"/>
        <w:spacing w:lineRule="auto" w:line="288" w:before="160" w:after="160"/>
        <w:ind w:left="0" w:right="0" w:hanging="450"/>
        <w:jc w:val="left"/>
        <w:rPr/>
      </w:pPr>
      <w:r>
        <w:rPr>
          <w:rFonts w:ascii="Times New Roman;sans-serif" w:hAnsi="Times New Roman;sans-serif"/>
          <w:b w:val="false"/>
          <w:color w:val="000000"/>
          <w:sz w:val="16"/>
        </w:rPr>
        <w:t>(2)     The Company amortizes the difference between the cost of its investments in unconsolidated joint ventures and the book value of the underlying equity and adjusts the basis adjustment for impairment and disposition transactions that may occur, into the Company's share of net (loss) income. The amortization of this difference was $178,179</w:t>
      </w:r>
      <w:r>
        <w:rPr>
          <w:color w:val="000000"/>
        </w:rPr>
        <w:t xml:space="preserve"> </w:t>
      </w:r>
      <w:r>
        <w:rPr>
          <w:rFonts w:ascii="Times New Roman;sans-serif" w:hAnsi="Times New Roman;sans-serif"/>
          <w:b w:val="false"/>
          <w:color w:val="000000"/>
          <w:sz w:val="16"/>
        </w:rPr>
        <w:t>and</w:t>
      </w:r>
      <w:r>
        <w:rPr>
          <w:color w:val="000000"/>
        </w:rPr>
        <w:t xml:space="preserve"> </w:t>
      </w:r>
      <w:r>
        <w:rPr>
          <w:rFonts w:ascii="Times New Roman;sans-serif" w:hAnsi="Times New Roman;sans-serif"/>
          <w:b w:val="false"/>
          <w:color w:val="000000"/>
          <w:sz w:val="16"/>
        </w:rPr>
        <w:t>$(2,494) for the three months ended September 30, 2024 and 2023, respectively, and $360,740 and $(13,942) for the nine months ended September 30, 2024 and 2023, respectively.</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Investments in Unconsolidated Joint Ventures: (Continued)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Combined and Condensed Statements of Operations of Unconsolidated Joint Ventures:</w:t>
      </w:r>
    </w:p>
    <w:p>
      <w:pPr>
        <w:pStyle w:val="TextBody"/>
        <w:bidi w:val="0"/>
        <w:spacing w:before="0" w:after="0"/>
        <w:ind w:left="0" w:right="0" w:firstLine="495"/>
        <w:jc w:val="left"/>
        <w:rPr/>
      </w:pPr>
      <w:r>
        <w:rPr/>
      </w:r>
    </w:p>
    <w:tbl>
      <w:tblPr>
        <w:tblW w:w="8217" w:type="dxa"/>
        <w:jc w:val="center"/>
        <w:tblInd w:w="0" w:type="dxa"/>
        <w:tblLayout w:type="fixed"/>
        <w:tblCellMar>
          <w:top w:w="28" w:type="dxa"/>
          <w:left w:w="28" w:type="dxa"/>
          <w:bottom w:w="28" w:type="dxa"/>
          <w:right w:w="28" w:type="dxa"/>
        </w:tblCellMar>
      </w:tblPr>
      <w:tblGrid>
        <w:gridCol w:w="1395"/>
        <w:gridCol w:w="1228"/>
        <w:gridCol w:w="1232"/>
        <w:gridCol w:w="211"/>
        <w:gridCol w:w="901"/>
        <w:gridCol w:w="109"/>
        <w:gridCol w:w="109"/>
        <w:gridCol w:w="109"/>
        <w:gridCol w:w="109"/>
        <w:gridCol w:w="211"/>
        <w:gridCol w:w="901"/>
        <w:gridCol w:w="109"/>
        <w:gridCol w:w="109"/>
        <w:gridCol w:w="109"/>
        <w:gridCol w:w="109"/>
        <w:gridCol w:w="211"/>
        <w:gridCol w:w="901"/>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PPR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Joint</w:t>
              <w:br/>
              <w:t>Ventures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2024</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Shopping center and operating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or write down of assets, net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equity in net loss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(69,779)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(74,931)</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September 30, 2023</w:t>
            </w:r>
          </w:p>
        </w:tc>
        <w:tc>
          <w:tcPr>
            <w:tcW w:w="12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Shopping center and operating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or write down of assets, net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equity in net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(107,465)</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hanging="450"/>
        <w:jc w:val="left"/>
        <w:rPr/>
      </w:pPr>
      <w:r>
        <w:rPr/>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accounting policies used by the unconsolidated joint ventures are similar to those used by the Company.</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Investments in Unconsolidated Joint Ventures: (Continued)</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160"/>
        <w:ind w:left="0" w:right="0" w:firstLine="495"/>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Combined and Condensed Statements of Operations of Unconsolidated Joint Ventures:</w:t>
      </w:r>
    </w:p>
    <w:p>
      <w:pPr>
        <w:pStyle w:val="TextBody"/>
        <w:bidi w:val="0"/>
        <w:spacing w:before="0" w:after="0"/>
        <w:ind w:left="0" w:right="0" w:firstLine="495"/>
        <w:jc w:val="left"/>
        <w:rPr/>
      </w:pPr>
      <w:r>
        <w:rPr/>
      </w:r>
    </w:p>
    <w:tbl>
      <w:tblPr>
        <w:tblW w:w="7766" w:type="dxa"/>
        <w:jc w:val="left"/>
        <w:tblInd w:w="0" w:type="dxa"/>
        <w:tblLayout w:type="fixed"/>
        <w:tblCellMar>
          <w:top w:w="28" w:type="dxa"/>
          <w:left w:w="28" w:type="dxa"/>
          <w:bottom w:w="28" w:type="dxa"/>
          <w:right w:w="28" w:type="dxa"/>
        </w:tblCellMar>
      </w:tblPr>
      <w:tblGrid>
        <w:gridCol w:w="1231"/>
        <w:gridCol w:w="1085"/>
        <w:gridCol w:w="1088"/>
        <w:gridCol w:w="211"/>
        <w:gridCol w:w="901"/>
        <w:gridCol w:w="109"/>
        <w:gridCol w:w="109"/>
        <w:gridCol w:w="109"/>
        <w:gridCol w:w="109"/>
        <w:gridCol w:w="211"/>
        <w:gridCol w:w="901"/>
        <w:gridCol w:w="109"/>
        <w:gridCol w:w="109"/>
        <w:gridCol w:w="109"/>
        <w:gridCol w:w="109"/>
        <w:gridCol w:w="211"/>
        <w:gridCol w:w="901"/>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PPR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Joint</w:t>
              <w:br/>
              <w:t>Ventures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Shopping center and operating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or write down of assets, net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(852,689)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(900,197)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equity in net loss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(130,713)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(205,044)</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2023</w:t>
            </w:r>
          </w:p>
        </w:tc>
        <w:tc>
          <w:tcPr>
            <w:tcW w:w="12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Shopping center and operating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or write down of assets, net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equity in net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(160,906)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(176,235)</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5. Derivative Instruments and Hedging Activities: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interest rate cap agreements to manage the interest rate risk on certain floating rate debt. The Company recorded other comprehensive (loss) income related to the marking-to-market of derivative instruments of $(147) and $(546) for the three months ended September 30, 2024 and 2023, respectively, and $773 and $(76) for the nine months ended September 30, 2024 and 2023, respectively. The amounts in other comprehensive income represent the Company's pro rata share of hedged derivative instruments from certain unconsolidated joint ventures.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derivatives were outstanding at September 30, 2024 and December 31, 2023:    </w:t>
      </w:r>
    </w:p>
    <w:tbl>
      <w:tblPr>
        <w:tblW w:w="10205" w:type="dxa"/>
        <w:jc w:val="left"/>
        <w:tblInd w:w="0" w:type="dxa"/>
        <w:tblLayout w:type="fixed"/>
        <w:tblCellMar>
          <w:top w:w="28" w:type="dxa"/>
          <w:left w:w="28" w:type="dxa"/>
          <w:bottom w:w="28" w:type="dxa"/>
          <w:right w:w="28" w:type="dxa"/>
        </w:tblCellMar>
      </w:tblPr>
      <w:tblGrid>
        <w:gridCol w:w="575"/>
        <w:gridCol w:w="378"/>
        <w:gridCol w:w="381"/>
        <w:gridCol w:w="109"/>
        <w:gridCol w:w="109"/>
        <w:gridCol w:w="109"/>
        <w:gridCol w:w="344"/>
        <w:gridCol w:w="344"/>
        <w:gridCol w:w="348"/>
        <w:gridCol w:w="109"/>
        <w:gridCol w:w="109"/>
        <w:gridCol w:w="109"/>
        <w:gridCol w:w="207"/>
        <w:gridCol w:w="814"/>
        <w:gridCol w:w="115"/>
        <w:gridCol w:w="109"/>
        <w:gridCol w:w="109"/>
        <w:gridCol w:w="109"/>
        <w:gridCol w:w="236"/>
        <w:gridCol w:w="236"/>
        <w:gridCol w:w="237"/>
        <w:gridCol w:w="109"/>
        <w:gridCol w:w="109"/>
        <w:gridCol w:w="109"/>
        <w:gridCol w:w="328"/>
        <w:gridCol w:w="198"/>
        <w:gridCol w:w="467"/>
        <w:gridCol w:w="109"/>
        <w:gridCol w:w="109"/>
        <w:gridCol w:w="109"/>
        <w:gridCol w:w="260"/>
        <w:gridCol w:w="260"/>
        <w:gridCol w:w="261"/>
        <w:gridCol w:w="109"/>
        <w:gridCol w:w="109"/>
        <w:gridCol w:w="109"/>
        <w:gridCol w:w="248"/>
        <w:gridCol w:w="553"/>
        <w:gridCol w:w="139"/>
        <w:gridCol w:w="109"/>
        <w:gridCol w:w="109"/>
        <w:gridCol w:w="109"/>
        <w:gridCol w:w="204"/>
        <w:gridCol w:w="613"/>
        <w:gridCol w:w="170"/>
      </w:tblGrid>
      <w:tr>
        <w:trPr/>
        <w:tc>
          <w:tcPr>
            <w:tcW w:w="57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SOFR/LIBOR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Santa Monica 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Non-Hedged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Macerich Partnership,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Non-Hedged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Sold Cap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4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above derivatives were valued with an aggregate fair value (Level 2 measurement) and were included in other assets (other accrued liabilities). The fair value of the Company's interest rate derivatives was determined using discounted cash flow analysis on the expected cash flows of the derivatives.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caps. As a result, the Company determined that its interest rate cap valuations in their entirety are classified in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6. Property, net: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 consists of the following:    </w:t>
      </w:r>
    </w:p>
    <w:tbl>
      <w:tblPr>
        <w:tblW w:w="5813" w:type="dxa"/>
        <w:jc w:val="left"/>
        <w:tblInd w:w="0" w:type="dxa"/>
        <w:tblLayout w:type="fixed"/>
        <w:tblCellMar>
          <w:top w:w="28" w:type="dxa"/>
          <w:left w:w="28" w:type="dxa"/>
          <w:bottom w:w="28" w:type="dxa"/>
          <w:right w:w="28" w:type="dxa"/>
        </w:tblCellMar>
      </w:tblPr>
      <w:tblGrid>
        <w:gridCol w:w="1032"/>
        <w:gridCol w:w="904"/>
        <w:gridCol w:w="913"/>
        <w:gridCol w:w="211"/>
        <w:gridCol w:w="976"/>
        <w:gridCol w:w="109"/>
        <w:gridCol w:w="109"/>
        <w:gridCol w:w="109"/>
        <w:gridCol w:w="109"/>
        <w:gridCol w:w="211"/>
        <w:gridCol w:w="97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furnishings(1)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8,710,352 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5,900,489 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Equipment and furnishings and accumulated depreciation include the cost and accumulated amortization of ROU assets in connection with finance leases at September 30, 2024 and December 31, 2023 (See Note 8—Leases).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$65,352 and $66,390 for the three months ended September 30, 2024 and 2023, respectively, and $197,530 and $199,615 for the nine months ended September 30, 2024 and 2023, respectively.</w:t>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6. Property, net: (Continued)</w:t>
      </w:r>
    </w:p>
    <w:p>
      <w:pPr>
        <w:pStyle w:val="TextBody"/>
        <w:bidi w:val="0"/>
        <w:spacing w:before="0" w:after="0"/>
        <w:jc w:val="left"/>
        <w:rPr/>
      </w:pPr>
      <w:r>
        <w:rPr/>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or write-down of assets, net for the three and nine months ended September 30, 2024 and 2023 consist of the following:</w:t>
      </w:r>
    </w:p>
    <w:tbl>
      <w:tblPr>
        <w:tblW w:w="9797" w:type="dxa"/>
        <w:jc w:val="left"/>
        <w:tblInd w:w="0" w:type="dxa"/>
        <w:tblLayout w:type="fixed"/>
        <w:tblCellMar>
          <w:top w:w="28" w:type="dxa"/>
          <w:left w:w="28" w:type="dxa"/>
          <w:bottom w:w="28" w:type="dxa"/>
          <w:right w:w="28" w:type="dxa"/>
        </w:tblCellMar>
      </w:tblPr>
      <w:tblGrid>
        <w:gridCol w:w="962"/>
        <w:gridCol w:w="845"/>
        <w:gridCol w:w="848"/>
        <w:gridCol w:w="109"/>
        <w:gridCol w:w="109"/>
        <w:gridCol w:w="109"/>
        <w:gridCol w:w="259"/>
        <w:gridCol w:w="977"/>
        <w:gridCol w:w="133"/>
        <w:gridCol w:w="133"/>
        <w:gridCol w:w="133"/>
        <w:gridCol w:w="133"/>
        <w:gridCol w:w="259"/>
        <w:gridCol w:w="1106"/>
        <w:gridCol w:w="133"/>
        <w:gridCol w:w="109"/>
        <w:gridCol w:w="109"/>
        <w:gridCol w:w="109"/>
        <w:gridCol w:w="248"/>
        <w:gridCol w:w="972"/>
        <w:gridCol w:w="128"/>
        <w:gridCol w:w="128"/>
        <w:gridCol w:w="128"/>
        <w:gridCol w:w="128"/>
        <w:gridCol w:w="248"/>
        <w:gridCol w:w="1061"/>
        <w:gridCol w:w="181"/>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property sales, net(1)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379,918 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write-down of assets(2)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(59,340)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(152,798)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(108,123)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land sales, net(3)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(16,605)</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(149,287)</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272,306 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(135,229)</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(1)    This includes a gain of $334,285 for the nine months ended September 30, 2024, as a result of the Company no longer recognizing its investment in Chandler Fashion Center as a financing arrangement. Effective June 13, 2024, the Company accounts for its investment under the equity method of accounting (See Note 12—Financing Arrangement and Note 16—Dispositions). Includes a gain of $42,815 for the three and nine months ended September 30, 2024 from the sale of the Company's interest in Biltmore Fashion Park (See Note 4—Investments in Unconsolidated Joint Ventures). For the three and nine months ended September 30, 2023, the gain is from the sales of Marketplace at Flagstaff and Superstition Springs Power Center (See Note 16—Dispositions).</w:t>
      </w:r>
    </w:p>
    <w:p>
      <w:pPr>
        <w:pStyle w:val="TextBody"/>
        <w:bidi w:val="0"/>
        <w:spacing w:before="0" w:after="0"/>
        <w:jc w:val="left"/>
        <w:rPr/>
      </w:pPr>
      <w:r>
        <w:rPr/>
      </w:r>
    </w:p>
    <w:p>
      <w:pPr>
        <w:pStyle w:val="TextBody"/>
        <w:bidi w:val="0"/>
        <w:spacing w:lineRule="auto" w:line="256" w:before="0" w:after="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(2)    Includes impairment losses of $59,340 and $108,016 for the three and nine months ended September 30, 2024, respectively, due to the reduction of the estimated holding periods of certain properties. Includes impairment losses of $144,656 on Fashion Outlets of Niagara Falls and $7,880 on Towne Mall for the three and nine months ended September 30, 2023 due to the reduction of the estimated holding periods of the properties. The remaining amounts for the three and nine months ended September 30, 2024 and 2023 mainly pertain to the write off of development costs.</w:t>
      </w:r>
    </w:p>
    <w:p>
      <w:pPr>
        <w:pStyle w:val="TextBody"/>
        <w:bidi w:val="0"/>
        <w:spacing w:lineRule="auto" w:line="288" w:before="160" w:after="16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(3)    See Note 16—Dispositions.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of the Company's assets that were measured on a nonrecurring basis as a result of the impairment losses recorded for the three and nine months ended September 30, 2024 and 2023, as described above:</w:t>
      </w:r>
    </w:p>
    <w:tbl>
      <w:tblPr>
        <w:tblW w:w="10205" w:type="dxa"/>
        <w:jc w:val="left"/>
        <w:tblInd w:w="0" w:type="dxa"/>
        <w:tblLayout w:type="fixed"/>
        <w:tblCellMar>
          <w:top w:w="28" w:type="dxa"/>
          <w:left w:w="28" w:type="dxa"/>
          <w:bottom w:w="28" w:type="dxa"/>
          <w:right w:w="28" w:type="dxa"/>
        </w:tblCellMar>
      </w:tblPr>
      <w:tblGrid>
        <w:gridCol w:w="446"/>
        <w:gridCol w:w="393"/>
        <w:gridCol w:w="394"/>
        <w:gridCol w:w="109"/>
        <w:gridCol w:w="109"/>
        <w:gridCol w:w="109"/>
        <w:gridCol w:w="323"/>
        <w:gridCol w:w="1266"/>
        <w:gridCol w:w="168"/>
        <w:gridCol w:w="109"/>
        <w:gridCol w:w="109"/>
        <w:gridCol w:w="109"/>
        <w:gridCol w:w="604"/>
        <w:gridCol w:w="1165"/>
        <w:gridCol w:w="316"/>
        <w:gridCol w:w="109"/>
        <w:gridCol w:w="109"/>
        <w:gridCol w:w="109"/>
        <w:gridCol w:w="362"/>
        <w:gridCol w:w="1424"/>
        <w:gridCol w:w="190"/>
        <w:gridCol w:w="109"/>
        <w:gridCol w:w="109"/>
        <w:gridCol w:w="109"/>
        <w:gridCol w:w="325"/>
        <w:gridCol w:w="1275"/>
        <w:gridCol w:w="246"/>
      </w:tblGrid>
      <w:tr>
        <w:trPr/>
        <w:tc>
          <w:tcPr>
            <w:tcW w:w="4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23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Fair Value Measurement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 in Active Markets for Identical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Other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Unobservable Inputs</w:t>
            </w:r>
          </w:p>
        </w:tc>
      </w:tr>
      <w:tr>
        <w:trPr/>
        <w:tc>
          <w:tcPr>
            <w:tcW w:w="12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503,917 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189,907 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314,010 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(Level 2 measurement) relating to a portion of the 2024 and 2023 impairments was based on sales contracts and is classified within level 2 of the hierarchy. The fair value (Level 3 measurement) related to the remaining 2024 and 2023 impairments was based upon an income approach, using an estimated terminal capitalization rate in the range of 7.3% to 9.0%, a discount rate in the range of 9.0% to 11.0% and market rents per square foot of $20 to $200. The fair value is sensitive to these significant unobservable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7. Tenant and Other Receivables, net: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tenant and other receivables, net is an allowance for doubtful accounts of $6,443 and $4,824 at September 30, 2024 and December 31, 2023, respectively. Also included in tenant and other receivables, net are accrued percentage rents of $3,533 and $15,076 at September 30, 2024 and December 31, 2023, respectively, and a deferred rent receivable due to straight-line rent adjustments of $99,821 and $105,260 at September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Leases: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its Centers under agreements that are classified as operating leases. These leases generally include minimum rents, percentage rents and recoveries of real estate taxes, insurance and other shopping center operating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8. Leases: (Continued)</w: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considered probable, lease income is recognized on a cash basis and all previously recognized tenant accounts receivables, including straight-line rent, are fully reserved in the period in which the lease income is determined not to be probable of collection.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leasing revenue for the three and nine months ended September 30, 2024 and 2023:</w:t>
      </w:r>
    </w:p>
    <w:tbl>
      <w:tblPr>
        <w:tblW w:w="10205" w:type="dxa"/>
        <w:jc w:val="left"/>
        <w:tblInd w:w="0" w:type="dxa"/>
        <w:tblLayout w:type="fixed"/>
        <w:tblCellMar>
          <w:top w:w="28" w:type="dxa"/>
          <w:left w:w="28" w:type="dxa"/>
          <w:bottom w:w="28" w:type="dxa"/>
          <w:right w:w="28" w:type="dxa"/>
        </w:tblCellMar>
      </w:tblPr>
      <w:tblGrid>
        <w:gridCol w:w="1268"/>
        <w:gridCol w:w="1114"/>
        <w:gridCol w:w="1119"/>
        <w:gridCol w:w="258"/>
        <w:gridCol w:w="1011"/>
        <w:gridCol w:w="133"/>
        <w:gridCol w:w="133"/>
        <w:gridCol w:w="133"/>
        <w:gridCol w:w="133"/>
        <w:gridCol w:w="258"/>
        <w:gridCol w:w="1011"/>
        <w:gridCol w:w="133"/>
        <w:gridCol w:w="109"/>
        <w:gridCol w:w="109"/>
        <w:gridCol w:w="109"/>
        <w:gridCol w:w="250"/>
        <w:gridCol w:w="983"/>
        <w:gridCol w:w="128"/>
        <w:gridCol w:w="128"/>
        <w:gridCol w:w="128"/>
        <w:gridCol w:w="128"/>
        <w:gridCol w:w="250"/>
        <w:gridCol w:w="983"/>
        <w:gridCol w:w="196"/>
      </w:tblGrid>
      <w:tr>
        <w:trPr/>
        <w:tc>
          <w:tcPr>
            <w:tcW w:w="126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revenue—fixed payments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152,357 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142,344 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449,948 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revenue—variable payments</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recovery of doubtful accounts</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203,448 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197,305 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593,061 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589,003 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future rental payments to the Company:</w:t>
      </w:r>
    </w:p>
    <w:tbl>
      <w:tblPr>
        <w:tblW w:w="4922" w:type="dxa"/>
        <w:jc w:val="left"/>
        <w:tblInd w:w="0" w:type="dxa"/>
        <w:tblLayout w:type="fixed"/>
        <w:tblCellMar>
          <w:top w:w="28" w:type="dxa"/>
          <w:left w:w="28" w:type="dxa"/>
          <w:bottom w:w="28" w:type="dxa"/>
          <w:right w:w="28" w:type="dxa"/>
        </w:tblCellMar>
      </w:tblPr>
      <w:tblGrid>
        <w:gridCol w:w="1179"/>
        <w:gridCol w:w="1036"/>
        <w:gridCol w:w="1039"/>
        <w:gridCol w:w="109"/>
        <w:gridCol w:w="109"/>
        <w:gridCol w:w="109"/>
        <w:gridCol w:w="211"/>
        <w:gridCol w:w="97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Twelve months ending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845,133 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2,554,207 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495"/>
        <w:jc w:val="left"/>
        <w:rPr/>
      </w:pPr>
      <w:r>
        <w:rPr/>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Leases: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certain properties that are subject to non-cancelable operating leases. The leases expire at various times through 2078, subject in some cases to options to extend the terms of the lease. Certain leases provide for contingent rent payments based on a percentage of base rental income, as defined in the lease. In addition, the Company has three finance leases that expire at various times through 2030. </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8. Leases: (Continued)</w:t>
      </w:r>
    </w:p>
    <w:p>
      <w:pPr>
        <w:pStyle w:val="TextBody"/>
        <w:bidi w:val="0"/>
        <w:spacing w:before="0" w:after="0"/>
        <w:jc w:val="left"/>
        <w:rPr/>
      </w:pPr>
      <w:r>
        <w:rPr/>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lease costs for the three and nine months ended September 30, 2024 and 2023:</w:t>
      </w:r>
    </w:p>
    <w:tbl>
      <w:tblPr>
        <w:tblW w:w="9366" w:type="dxa"/>
        <w:jc w:val="left"/>
        <w:tblInd w:w="0" w:type="dxa"/>
        <w:tblLayout w:type="fixed"/>
        <w:tblCellMar>
          <w:top w:w="28" w:type="dxa"/>
          <w:left w:w="28" w:type="dxa"/>
          <w:bottom w:w="28" w:type="dxa"/>
          <w:right w:w="28" w:type="dxa"/>
        </w:tblCellMar>
      </w:tblPr>
      <w:tblGrid>
        <w:gridCol w:w="922"/>
        <w:gridCol w:w="811"/>
        <w:gridCol w:w="816"/>
        <w:gridCol w:w="313"/>
        <w:gridCol w:w="916"/>
        <w:gridCol w:w="162"/>
        <w:gridCol w:w="162"/>
        <w:gridCol w:w="162"/>
        <w:gridCol w:w="162"/>
        <w:gridCol w:w="313"/>
        <w:gridCol w:w="916"/>
        <w:gridCol w:w="162"/>
        <w:gridCol w:w="109"/>
        <w:gridCol w:w="109"/>
        <w:gridCol w:w="109"/>
        <w:gridCol w:w="277"/>
        <w:gridCol w:w="947"/>
        <w:gridCol w:w="143"/>
        <w:gridCol w:w="143"/>
        <w:gridCol w:w="143"/>
        <w:gridCol w:w="143"/>
        <w:gridCol w:w="277"/>
        <w:gridCol w:w="947"/>
        <w:gridCol w:w="202"/>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costs:</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ROU assets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on lease liabilities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future rental payments required under the leases:        </w:t>
      </w:r>
    </w:p>
    <w:tbl>
      <w:tblPr>
        <w:tblW w:w="10132" w:type="dxa"/>
        <w:jc w:val="left"/>
        <w:tblInd w:w="0" w:type="dxa"/>
        <w:tblLayout w:type="fixed"/>
        <w:tblCellMar>
          <w:top w:w="28" w:type="dxa"/>
          <w:left w:w="28" w:type="dxa"/>
          <w:bottom w:w="28" w:type="dxa"/>
          <w:right w:w="28" w:type="dxa"/>
        </w:tblCellMar>
      </w:tblPr>
      <w:tblGrid>
        <w:gridCol w:w="1382"/>
        <w:gridCol w:w="1220"/>
        <w:gridCol w:w="1223"/>
        <w:gridCol w:w="109"/>
        <w:gridCol w:w="109"/>
        <w:gridCol w:w="109"/>
        <w:gridCol w:w="211"/>
        <w:gridCol w:w="721"/>
        <w:gridCol w:w="271"/>
        <w:gridCol w:w="109"/>
        <w:gridCol w:w="109"/>
        <w:gridCol w:w="109"/>
        <w:gridCol w:w="227"/>
        <w:gridCol w:w="665"/>
        <w:gridCol w:w="292"/>
        <w:gridCol w:w="109"/>
        <w:gridCol w:w="109"/>
        <w:gridCol w:w="109"/>
        <w:gridCol w:w="239"/>
        <w:gridCol w:w="818"/>
        <w:gridCol w:w="307"/>
        <w:gridCol w:w="109"/>
        <w:gridCol w:w="109"/>
        <w:gridCol w:w="109"/>
        <w:gridCol w:w="211"/>
        <w:gridCol w:w="721"/>
        <w:gridCol w:w="316"/>
      </w:tblGrid>
      <w:tr>
        <w:trPr/>
        <w:tc>
          <w:tcPr>
            <w:tcW w:w="138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Operating </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rental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129,859 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(56,475)</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73,384 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years</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incremental borrowing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60" w:after="1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9. Deferred Charges and Other Assets, net:</w:t>
      </w:r>
    </w:p>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 and other assets, net consist of the following:</w:t>
      </w:r>
    </w:p>
    <w:tbl>
      <w:tblPr>
        <w:tblW w:w="5768" w:type="dxa"/>
        <w:jc w:val="left"/>
        <w:tblInd w:w="0" w:type="dxa"/>
        <w:tblLayout w:type="fixed"/>
        <w:tblCellMar>
          <w:top w:w="28" w:type="dxa"/>
          <w:left w:w="28" w:type="dxa"/>
          <w:bottom w:w="28" w:type="dxa"/>
          <w:right w:w="28" w:type="dxa"/>
        </w:tblCellMar>
      </w:tblPr>
      <w:tblGrid>
        <w:gridCol w:w="1121"/>
        <w:gridCol w:w="988"/>
        <w:gridCol w:w="995"/>
        <w:gridCol w:w="211"/>
        <w:gridCol w:w="826"/>
        <w:gridCol w:w="109"/>
        <w:gridCol w:w="109"/>
        <w:gridCol w:w="109"/>
        <w:gridCol w:w="109"/>
        <w:gridCol w:w="211"/>
        <w:gridCol w:w="826"/>
        <w:gridCol w:w="154"/>
      </w:tblGrid>
      <w:tr>
        <w:trPr/>
        <w:tc>
          <w:tcPr>
            <w:tcW w:w="112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In-place lease values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commissions and legal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Above-market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9. Deferred Charges and Other Assets, net: (Continued)</w:t>
      </w:r>
    </w:p>
    <w:p>
      <w:pPr>
        <w:pStyle w:val="TextBody"/>
        <w:bidi w:val="0"/>
        <w:spacing w:before="60" w:after="283"/>
        <w:jc w:val="center"/>
        <w:rPr/>
      </w:pPr>
      <w:r>
        <w:rPr/>
      </w:r>
    </w:p>
    <w:p>
      <w:pPr>
        <w:pStyle w:val="TextBody"/>
        <w:bidi w:val="0"/>
        <w:spacing w:lineRule="auto" w:line="288" w:before="6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Accumulated amortization includes $38,962 and $39,540 relating to in-place lease values, leasing commissions and legal costs at September 30, 2024 and December 31, 2023, respectively. Amortization expense of in-place lease values, leasing commissions and legal costs was $6,290 and $1,880 for the three months ended September 30, 2024 and 2023, respectively, and $10,450 and $5,665 for the nine months ended September 30, 2024 and 2023, respectively.</w:t>
      </w:r>
    </w:p>
    <w:p>
      <w:pPr>
        <w:pStyle w:val="TextBody"/>
        <w:bidi w:val="0"/>
        <w:spacing w:before="60" w:after="60"/>
        <w:ind w:left="0" w:right="0" w:hanging="360"/>
        <w:jc w:val="left"/>
        <w:rPr/>
      </w:pPr>
      <w:r>
        <w:rPr/>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The allocated values of above-market leases and below-market leases consist of the following:</w:t>
      </w:r>
    </w:p>
    <w:tbl>
      <w:tblPr>
        <w:tblW w:w="5246" w:type="dxa"/>
        <w:jc w:val="left"/>
        <w:tblInd w:w="0" w:type="dxa"/>
        <w:tblLayout w:type="fixed"/>
        <w:tblCellMar>
          <w:top w:w="28" w:type="dxa"/>
          <w:left w:w="28" w:type="dxa"/>
          <w:bottom w:w="28" w:type="dxa"/>
          <w:right w:w="28" w:type="dxa"/>
        </w:tblCellMar>
      </w:tblPr>
      <w:tblGrid>
        <w:gridCol w:w="955"/>
        <w:gridCol w:w="840"/>
        <w:gridCol w:w="845"/>
        <w:gridCol w:w="231"/>
        <w:gridCol w:w="790"/>
        <w:gridCol w:w="119"/>
        <w:gridCol w:w="109"/>
        <w:gridCol w:w="109"/>
        <w:gridCol w:w="109"/>
        <w:gridCol w:w="221"/>
        <w:gridCol w:w="757"/>
        <w:gridCol w:w="161"/>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Above-Market Leases</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Original allocated value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Below-Market Leases(1)</w:t>
            </w:r>
          </w:p>
        </w:tc>
        <w:tc>
          <w:tcPr>
            <w:tcW w:w="11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Original allocated value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Below-market leases are included in other accrued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10. Mortgage Notes Payable:</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 at September 30, 2024 and December 31, 2023 consist of the following:</w:t>
      </w:r>
    </w:p>
    <w:tbl>
      <w:tblPr>
        <w:tblW w:w="10205" w:type="dxa"/>
        <w:jc w:val="left"/>
        <w:tblInd w:w="0" w:type="dxa"/>
        <w:tblLayout w:type="fixed"/>
        <w:tblCellMar>
          <w:top w:w="28" w:type="dxa"/>
          <w:left w:w="28" w:type="dxa"/>
          <w:bottom w:w="28" w:type="dxa"/>
          <w:right w:w="28" w:type="dxa"/>
        </w:tblCellMar>
      </w:tblPr>
      <w:tblGrid>
        <w:gridCol w:w="1047"/>
        <w:gridCol w:w="819"/>
        <w:gridCol w:w="825"/>
        <w:gridCol w:w="109"/>
        <w:gridCol w:w="109"/>
        <w:gridCol w:w="109"/>
        <w:gridCol w:w="238"/>
        <w:gridCol w:w="1105"/>
        <w:gridCol w:w="122"/>
        <w:gridCol w:w="111"/>
        <w:gridCol w:w="111"/>
        <w:gridCol w:w="111"/>
        <w:gridCol w:w="233"/>
        <w:gridCol w:w="1082"/>
        <w:gridCol w:w="120"/>
        <w:gridCol w:w="109"/>
        <w:gridCol w:w="109"/>
        <w:gridCol w:w="109"/>
        <w:gridCol w:w="300"/>
        <w:gridCol w:w="272"/>
        <w:gridCol w:w="646"/>
        <w:gridCol w:w="109"/>
        <w:gridCol w:w="109"/>
        <w:gridCol w:w="109"/>
        <w:gridCol w:w="211"/>
        <w:gridCol w:w="616"/>
        <w:gridCol w:w="109"/>
        <w:gridCol w:w="109"/>
        <w:gridCol w:w="109"/>
        <w:gridCol w:w="109"/>
        <w:gridCol w:w="237"/>
        <w:gridCol w:w="237"/>
        <w:gridCol w:w="345"/>
      </w:tblGrid>
      <w:tr>
        <w:trPr/>
        <w:tc>
          <w:tcPr>
            <w:tcW w:w="104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of Mortgage Notes(1)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Pledged as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Interest</w:t>
              <w:br/>
              <w:t>Rate(2)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Monthly</w:t>
              <w:br/>
              <w:t>Debt</w:t>
              <w:br/>
              <w:t>Service(3)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br/>
              <w:t>Date(4)</w:t>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Arrowhead Towne Center(5)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351,639 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Chandler Fashion Center(6)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Danbury Fair Mall(7)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w:t>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Fashion District Philadelphia(8)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Fashion Outlets of Chicago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w:t>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Fashion Outlets of Niagara Falls USA(9)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Freehold Raceway Mall(6)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w:t>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Fresno Fashion Fair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r>
      <w:tr>
        <w:trPr/>
        <w:tc>
          <w:tcPr>
            <w:tcW w:w="2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 Acres Mall(10)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Kings Plaza Shopping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w:t>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Oaks, The(11)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Pacific View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w:t>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Queens Center(12)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Santa Monica Place(13)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SanTan Village Regional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w:t>
            </w:r>
          </w:p>
        </w:tc>
      </w:tr>
      <w:tr>
        <w:trPr/>
        <w:tc>
          <w:tcPr>
            <w:tcW w:w="2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Plains Mall(14)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 Valley, Mall of(15)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w:t>
            </w:r>
          </w:p>
        </w:tc>
      </w:tr>
      <w:tr>
        <w:trPr/>
        <w:tc>
          <w:tcPr>
            <w:tcW w:w="2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Vintage Faire Mall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r>
      <w:tr>
        <w:trPr/>
        <w:tc>
          <w:tcPr>
            <w:tcW w:w="2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4,342,216 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4,136,136 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10. Mortgage Notes Payable: (Continued)</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(1)The mortgage notes payable balances include the unamortized debt discounts. Debt discounts represent the deficiency of the fair value of debt under the principal value of debt assumed in various acquisitions. The debt discounts are being amortized into interest expense over the term of the related debt in a manner which approximates the effective interest method. The debt discounts as of September 30, 2024 and December 31, 2023 consisted of the following:</w:t>
      </w:r>
    </w:p>
    <w:tbl>
      <w:tblPr>
        <w:tblW w:w="5302" w:type="dxa"/>
        <w:jc w:val="left"/>
        <w:tblInd w:w="0" w:type="dxa"/>
        <w:tblLayout w:type="fixed"/>
        <w:tblCellMar>
          <w:top w:w="28" w:type="dxa"/>
          <w:left w:w="28" w:type="dxa"/>
          <w:bottom w:w="28" w:type="dxa"/>
          <w:right w:w="28" w:type="dxa"/>
        </w:tblCellMar>
      </w:tblPr>
      <w:tblGrid>
        <w:gridCol w:w="858"/>
        <w:gridCol w:w="753"/>
        <w:gridCol w:w="758"/>
        <w:gridCol w:w="109"/>
        <w:gridCol w:w="109"/>
        <w:gridCol w:w="109"/>
        <w:gridCol w:w="235"/>
        <w:gridCol w:w="775"/>
        <w:gridCol w:w="130"/>
        <w:gridCol w:w="109"/>
        <w:gridCol w:w="109"/>
        <w:gridCol w:w="109"/>
        <w:gridCol w:w="294"/>
        <w:gridCol w:w="611"/>
        <w:gridCol w:w="23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 Pledged as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Arrowhead Towne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29,727 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 Plains Mall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37,529 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hanging="90"/>
        <w:jc w:val="left"/>
        <w:rPr/>
      </w:pPr>
      <w:r>
        <w:rPr/>
      </w:r>
    </w:p>
    <w:p>
      <w:pPr>
        <w:pStyle w:val="TextBody"/>
        <w:bidi w:val="0"/>
        <w:spacing w:lineRule="auto" w:line="288" w:before="160" w:after="16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The mortgage notes payable also include unamortized deferred finance costs that are amortized into interest expense over the remaining term of the related debt in a manner that approximates the effective interest method. Unamortized deferred finance costs were $21,782 and $21,148 at September 30, 2024 and December 31, 2023, respectively.</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(2)The interest rate disclosed represents the effective interest rate, including the impact of debt discounts and deferred finance costs.</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(3)The monthly debt service represents the payment of principal and interest.</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(4)The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(5)On May 14, 2024, the Company acquired the remaining 40% ownership interest in Arrowhead Towne Center that it did not previously own and has consolidated its 100% interest (See Note 15—Acquisitions). In connection with the acquisition, the Company assumed the partner's share of the loan on the property.</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(6)On November 16, 2023, the Company acquired the partner's 49.9% interest in Freehold Raceway Mall for $5.6 million and assumed the partner's share of debt. The Company now owns 100% of Freehold Raceway Mall (See Note 15—Acquisitions). On June 13, 2024, the partnership agreement between the Company and its partner was amended and as a result, the Company no longer accounts for its investment in Chandler Fashion Center as a financing arrangement. Effective June 13, 2024, the Company accounts for its investment in Chandler Fashion Center under the equity method of accounting and the related debt has been deconsolidated (See Note 12—Financing Arrangement and Note 16—Dispositions).</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(7)On January 25, 2024, the Company replaced the existing loan with a $155,000 loan that bears interest at a fixed rate of 6.39%, is interest only during the majority of the loan term and matures on February 6, 2034.</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(8)On January 20, 2023, the Company repaid $26,107 of the outstanding loan balance and exercised its one-year extension option of the loan to January 22, 2024. The interest rate was SOFR plus 3.60%. On January 22, 2024, the Company repaid the majority of the loan balance and the remaining $8,171 matured on April 21, 2024 and was paid in full on April 19, 2024.</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(9)Effective October 6, 2023, the loan was in default and the Company was in negotiations with the lender on the terms of this non-recourse loan. On March 19, 2024, the Company closed on a three-year extension of the loan to October 6, 2026. The interest rate remained unchanged at 5.90%.</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(10)On January 3, 2023, the Company closed on a five-year $370,000 combined refinance of Green Acres Mall and Green Acres Commons. The new interest only loan bears interest at a fixed rate of 5.90% and matures on January 6, 2028.</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(11)On May 6, 2022, the Company closed on a two-year extension of the loan to June 5, 2024 at a new fixed interest rate of 5.25%. The Company repaid $5,000 of the outstanding loan balance at closing. On June 5, 2023, the Company repaid $10,000 of the outstanding loan balance. On May 24, 2024, the Company closed on a two-year extension of the loan to June 5, 2026. The interest rate during the first year of the extended term will be 7.50%, increasing to 8.50% during the second year of the extended term.</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(12)On October 28, 2024, the Company closed a $525,000, five-year refinance of the loan on Queens Center. The new loan bears interest at a fixed rate of 5.37%, is interest only during the entire loan term and matures November 6, 2029.</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(13)On December 9, 2022, the Company closed on a three-year extension of the loan to December 9, 2025, including extension options. The interest rate remained unchanged at LIBOR plus 1.48%, and has converted to 1-month Term SOFR plus 1.52% effective July 9, 2023. The loan was covered by an interest rate cap agreement that effectively prevented LIBOR from exceeding 4.0% during the period ending December 9, 2023. The interest rate cap agreement was converted to 1-month Term SOFR effective July 9, 2023. The interest rate cap agreement has since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10. Mortgage Notes Payable: (Continued)</w:t>
      </w:r>
    </w:p>
    <w:p>
      <w:pPr>
        <w:pStyle w:val="TextBody"/>
        <w:bidi w:val="0"/>
        <w:spacing w:lineRule="auto" w:line="288" w:before="160" w:after="160"/>
        <w:jc w:val="left"/>
        <w:rPr>
          <w:rFonts w:ascii="Times New Roman;sans-serif" w:hAnsi="Times New Roman;sans-serif"/>
          <w:b w:val="false"/>
          <w:color w:val="000000"/>
          <w:sz w:val="16"/>
        </w:rPr>
      </w:pPr>
      <w:r>
        <w:rPr>
          <w:rFonts w:ascii="Times New Roman;sans-serif" w:hAnsi="Times New Roman;sans-serif"/>
          <w:b w:val="false"/>
          <w:color w:val="000000"/>
          <w:sz w:val="16"/>
        </w:rPr>
        <w:t>extended with a 4% strike rate to December 9, 2024. Effective April 9, 2024, the loan is in default and the Company is in negotiations with the lender on the terms of this non-recourse loan.</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(14)On May 14, 2024, the Company acquired the remaining 40% ownership interest in South Plains Mall that it did not previously own and has consolidated its 100% interest (See Note 15—Acquisitions). In connection with the acquisition, the Company assumed the partner's share of the loan on the property.</w:t>
      </w:r>
    </w:p>
    <w:p>
      <w:pPr>
        <w:pStyle w:val="TextBody"/>
        <w:bidi w:val="0"/>
        <w:spacing w:lineRule="auto" w:line="288"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(15)On August 22, 2024, the Company replaced the existing loan with an $85,000 loan that bears interest at a fixed rate of 6.72%, is interest only during the entire loan term and matures on September 6, 2034.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Most of the mortgage loan agreements contain a prepayment penalty provision for the early extinguishment of the debt.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mortgage notes payable are secured by the properties on which they are placed and are non-recourse to the Company.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all loan maturities during the next twelve months will be refinanced, restructured, extended and/or paid off from the Company's revolving loan facility or with cash on hand, with the exception of Santa Monica Place as noted above.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capitalized was $5,834 and $5,670 for the three months ended September 30, 2024 and 2023, respectively, and $16,224 and $15,364 for the nine months ended September 30, 2024 and 2023, respectively.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(Level 2 measurement) of mortgage notes payable at September 30, 2024 and December 31, 2023 was $4,197,716 and $3,863,997,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11. Bank and Other Notes Payable:</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Bank and other notes payable consist of the following:</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Previously, the Company had a $525,000 revolving loan facility, which was scheduled to mature on April 14, 2024. On September 11, 2023, the Company and the Operating Partnership entered into an amended and restated credit agreement, which amended and restated their prior credit agreement, and provides for an aggregate $650,000 revolving loan facility that matures on February 1, 2027, with a one-year extension option. The revolving loan facility can be expanded up to $950,000, subject to receipt of lender commitments and other conditions. Concurrently with the entry into the amended and restated credit agreement, the Company drew $152,000 of the amount available under the revolving loan facility and used the proceeds to repay in full amounts outstanding under its prior credit facility. All obligations under the credit facility are guaranteed unconditionally by the Company and are secured in the form of mortgages on certain wholly-owned assets and pledges of equity interests held by certain of the Company’s subsidiaries. The new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Adjusted term SOFR is Term SOFR (as defined in the credit agreement) plus 0.10% per annum. As of September 30, 2024, the borrowing rate was SOFR plus a spread of 2.35%. As of September 30, 2024, there were no borrowings outstanding under the credit facility. Unamortized deferred finance costs were $12,617 as of September 30, 2024, which are netted against balances outstanding or as an asset when no borrowings are outstanding on the credit facility which was the case as of September 30, 2024. As of September 30, 2024, the Company’s availability under the revolving loan facility for additional borrowings was $649,777.</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was in compliance with all applicable financial loan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60" w:after="283"/>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12. Financing Arrangement: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30, 2009, the Company formed a joint venture whereby a third party acquired a 49.9% interest in Chandler Fashion Center, a 1,402,000 square foot regional shopping center in Chandler, Arizona, and Freehold Raceway Mall, a 1,546,000 square foot regional shopping center in Freehold, New Jersey (collectively referred to herein as "Chandler Freehold"). As a result of the Company having certain rights under the agreement to repurchase the assets of Chandler Freehold, the transaction did not qualify for sale treatment. The Company, however, was not obligated to repurchase the assets. The Company accounted for its investment in Chandler Freehold as a financing arrangement.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16, 2023, the Company acquired the 49.9% ownership interest in Freehold Raceway Mall (See Note 15—Acquisitions). As a result, Freehold Raceway Mall is no longer part of the financing arrangement and is 100% owned by the Company. In connection with the acquisition of the 49.9% ownership interest, the Company recorded the $5,587 purchase amount as a reduction to the financing arrangement obligation.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June 13, 2024, the partnership agreement between the Company and its partner was amended, removing the specific rights that prohibited the transaction's qualification for sale treatment. As a result, the transaction qualified for sale treatment and the Company no longer accounts for its investment in Chandler Fashion Center as a financing arrangement. The financing arrangement obligation was $88,721 on June 13, 2024 and was reversed and included in gain on sale of assets (See Note 16—Dispositions). References to Chandler Freehold for the period after November 16, 2023 through June 13, 2024 shall be deemed to only refer to Chandler Fashion Center.</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(Level 3 measurement) of the financing arrangement obligation at June 13, 2024 and December 31, 2023 was based upon a terminal capitalization rate of approximately 7.00% and 6.50%, respectively, a discount rate at June 13, 2024 and December 31, 2023 of 8.25% and 8.00%, respectively, and market rents per square foot of $45 to $240.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related party interest expense (income) in the Company's consolidated statements of operations.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and 2023, the Company recognized related party interest expense (income) in the Company's consolidated statements of operations in connection with the financing arrangement as follows:</w:t>
      </w:r>
    </w:p>
    <w:tbl>
      <w:tblPr>
        <w:tblW w:w="10205" w:type="dxa"/>
        <w:jc w:val="left"/>
        <w:tblInd w:w="0" w:type="dxa"/>
        <w:tblLayout w:type="fixed"/>
        <w:tblCellMar>
          <w:top w:w="28" w:type="dxa"/>
          <w:left w:w="28" w:type="dxa"/>
          <w:bottom w:w="28" w:type="dxa"/>
          <w:right w:w="28" w:type="dxa"/>
        </w:tblCellMar>
      </w:tblPr>
      <w:tblGrid>
        <w:gridCol w:w="1454"/>
        <w:gridCol w:w="1275"/>
        <w:gridCol w:w="1281"/>
        <w:gridCol w:w="309"/>
        <w:gridCol w:w="595"/>
        <w:gridCol w:w="159"/>
        <w:gridCol w:w="159"/>
        <w:gridCol w:w="159"/>
        <w:gridCol w:w="159"/>
        <w:gridCol w:w="309"/>
        <w:gridCol w:w="904"/>
        <w:gridCol w:w="159"/>
        <w:gridCol w:w="109"/>
        <w:gridCol w:w="109"/>
        <w:gridCol w:w="109"/>
        <w:gridCol w:w="275"/>
        <w:gridCol w:w="1021"/>
        <w:gridCol w:w="141"/>
        <w:gridCol w:w="141"/>
        <w:gridCol w:w="141"/>
        <w:gridCol w:w="141"/>
        <w:gridCol w:w="275"/>
        <w:gridCol w:w="607"/>
        <w:gridCol w:w="214"/>
      </w:tblGrid>
      <w:tr>
        <w:trPr/>
        <w:tc>
          <w:tcPr>
            <w:tcW w:w="145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4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equal to the partner's share of net income</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in excess of the partner's share of net income</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fair value of financing arrangement obligation</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(11,264)</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13. Noncontrolling Interests: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allocates net (loss) income of the Operating Partnership based on the weighted average ownership interest during the period. The net (loss)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ownership interest in the Operating Partnership as of September 30, 2024 and December 31, 2023. The remaining 4% limited partnership interest as of September 30, 2024 and December 31, 2023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13. Noncontrolling Interests: (Continued)</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as of September 30, 2024 and December 31, 2023, the aggregate redemption value of the then-outstanding OP Units not owned by the Company was $172,463 and $158,157, respectively.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permanent equity are outside ownership interests in various consolidated joint ventures. The joint ventures do not have rights that require the Company to redeem the ownership interests in either cash or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14. Stockholders' Equity:</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Offerings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commencement of an “at the market” offering program on March 26, 2021, which is referred to as the “ATM Program,” the Company entered into an equity distribution agreement with certain sales agents pursuant to which the Company may issue and sell shares of its common stock having an aggregate offering price of up to $500,000 under the ATM Program.</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the Company issued 9,401,596 shares of common stock under the ATM Program for aggregate gross proceeds of $151,699 and net proceeds of $148,624 after commissions and other transaction costs. The proceeds from the sales under the ATM Program were used to pay down the Company's revolving loan facility (See Note 11—Bank and Other Notes Payable). As of September 30, 2024, the ATM Program was fully utilized and is no longer active.</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Buyback Program</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 The program is referred to herein as the "Stock Buyback Program".</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repurchases under the Stock Buyback Program during the nine months ended September 30, 2024 or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15.   Acquisitions: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18, 2023, the Company acquired Seritage’s remaining 50% ownership interest in the MS Portfolio LLC joint venture that owns five former Sears parcels, for a total purchase price of $46,687.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allocation of the fair value of the former Sears parcels at Chandler Fashion Center, Danbury Fair Mall, Freehold Raceway Mall, Los Cerritos Center and Washington Square:</w:t>
      </w:r>
    </w:p>
    <w:tbl>
      <w:tblPr>
        <w:tblW w:w="5620" w:type="dxa"/>
        <w:jc w:val="left"/>
        <w:tblInd w:w="0" w:type="dxa"/>
        <w:tblLayout w:type="fixed"/>
        <w:tblCellMar>
          <w:top w:w="28" w:type="dxa"/>
          <w:left w:w="28" w:type="dxa"/>
          <w:bottom w:w="28" w:type="dxa"/>
          <w:right w:w="28" w:type="dxa"/>
        </w:tblCellMar>
      </w:tblPr>
      <w:tblGrid>
        <w:gridCol w:w="1602"/>
        <w:gridCol w:w="1405"/>
        <w:gridCol w:w="1418"/>
        <w:gridCol w:w="211"/>
        <w:gridCol w:w="721"/>
        <w:gridCol w:w="109"/>
        <w:gridCol w:w="154"/>
      </w:tblGrid>
      <w:tr>
        <w:trPr/>
        <w:tc>
          <w:tcPr>
            <w:tcW w:w="160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(below-market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acquired net assets (at 100% ownership)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160" w:after="16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15.   Acquisitions: (Continued)</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16, 2023, the Company acquired its joint venture partner's 49.9% ownership interest in Freehold Raceway Mall for $5,587 and assumed its joint venture partner's share of debt. The Company now owns 100% of this property. Prior to November 16, 2023, the Company accounted for its investment in Freehold Raceway Mall as part of a financing arrangement (See Note 12—Financing Arrangement).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9, 2023, the Company acquired its joint venture partner's 50% interest in Fashion District Philadelphia for no consideration, and the Company now owns 100% of this property. Prior to December 9, 2023, due to the Company's joint venture partner having no substantive participation rights, the Company accounted for this joint venture as a consolidated VIE in its consolidated financial statements (See Note 2—Summary of Significant Accounting Policies).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14, 2024, the Company acquired the remaining 40% ownership interest in Arrowhead Towne Center that it did not previously own for a total purchase price of $36,447 and the assumption of its joint venture partner's share of the debt on the property. Effective as of May 14, 2024, the Company now owns and has consolidated its 100% interest in Arrowhead Towne Center.</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allocation of the fair value of Arrowhead Towne Center:</w:t>
      </w:r>
    </w:p>
    <w:tbl>
      <w:tblPr>
        <w:tblW w:w="5725" w:type="dxa"/>
        <w:jc w:val="left"/>
        <w:tblInd w:w="0" w:type="dxa"/>
        <w:tblLayout w:type="fixed"/>
        <w:tblCellMar>
          <w:top w:w="28" w:type="dxa"/>
          <w:left w:w="28" w:type="dxa"/>
          <w:bottom w:w="28" w:type="dxa"/>
          <w:right w:w="28" w:type="dxa"/>
        </w:tblCellMar>
      </w:tblPr>
      <w:tblGrid>
        <w:gridCol w:w="1605"/>
        <w:gridCol w:w="1406"/>
        <w:gridCol w:w="1414"/>
        <w:gridCol w:w="211"/>
        <w:gridCol w:w="826"/>
        <w:gridCol w:w="109"/>
        <w:gridCol w:w="154"/>
      </w:tblGrid>
      <w:tr>
        <w:trPr/>
        <w:tc>
          <w:tcPr>
            <w:tcW w:w="1605"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 acquired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 payable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on mortgage note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assumed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acquired net assets (at 100% ownership)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net assets acquired upon consolidation of Arrowhead Towne Center were initially recorded at their relative fair values as shown in the table above. The carrying value of the property was then reduced by the remaining negative basis of $58,683 from the equity method investment previously held by the Company.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14, 2024, the Company acquired the remaining 40% ownership interest in South Plains Mall that it did not previously own for no cash consideration and the assumption of its joint venture partner's share of the debt on the property. Effective as of May 14, 2024, the Company now owns and has consolidated its 100% interest in South Plains Mall.</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allocation of the fair value of South Plains Mall:</w:t>
      </w:r>
    </w:p>
    <w:tbl>
      <w:tblPr>
        <w:tblW w:w="5725" w:type="dxa"/>
        <w:jc w:val="left"/>
        <w:tblInd w:w="0" w:type="dxa"/>
        <w:tblLayout w:type="fixed"/>
        <w:tblCellMar>
          <w:top w:w="28" w:type="dxa"/>
          <w:left w:w="28" w:type="dxa"/>
          <w:bottom w:w="28" w:type="dxa"/>
          <w:right w:w="28" w:type="dxa"/>
        </w:tblCellMar>
      </w:tblPr>
      <w:tblGrid>
        <w:gridCol w:w="1605"/>
        <w:gridCol w:w="1406"/>
        <w:gridCol w:w="1414"/>
        <w:gridCol w:w="211"/>
        <w:gridCol w:w="826"/>
        <w:gridCol w:w="109"/>
        <w:gridCol w:w="154"/>
      </w:tblGrid>
      <w:tr>
        <w:trPr/>
        <w:tc>
          <w:tcPr>
            <w:tcW w:w="1605"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 acquired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 payable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on mortgage note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assumed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acquired net assets (at 100% ownership)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160" w:after="16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15.   Acquisitions: (Continued)</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net assets acquired upon consolidation of South Plains Mall were initially recorded at their relative fair values as shown in the table above. The carrying value of the property was then reduced by the remaining negative basis of $72,160 from the equity method investment previously held by the Company.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17, 2024, the Company acquired the former Sears parcel located at Inland Center for $5,382.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160"/>
        <w:jc w:val="left"/>
        <w:rPr>
          <w:rFonts w:ascii="Times New Roman;sans-serif" w:hAnsi="Times New Roman;sans-serif"/>
          <w:b/>
          <w:color w:val="000000"/>
          <w:sz w:val="20"/>
        </w:rPr>
      </w:pPr>
      <w:r>
        <w:rPr>
          <w:rFonts w:ascii="Times New Roman;sans-serif" w:hAnsi="Times New Roman;sans-serif"/>
          <w:b/>
          <w:color w:val="000000"/>
          <w:sz w:val="20"/>
        </w:rPr>
        <w:t>16.   Dispositions: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2, 2023, the Company sold The Marketplace at Flagstaff, a 268,000 square foot power center in Flagstaff, Arizona, for $23,500, which resulted in a gain on sale of assets of $10,349. The Company used the net proceeds to pay down debt.</w:t>
      </w:r>
    </w:p>
    <w:p>
      <w:pPr>
        <w:pStyle w:val="TextBody"/>
        <w:bidi w:val="0"/>
        <w:spacing w:lineRule="auto" w:line="26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July 17, 2023, the Company sold Superstition Springs Power Center, a 204,000 square foot power center in Mesa, Arizona, for $5,634, which resulted in a gain on sale of assets of $1,903. The Company used the net proceeds to pay down debt.</w:t>
      </w:r>
    </w:p>
    <w:p>
      <w:pPr>
        <w:pStyle w:val="TextBody"/>
        <w:bidi w:val="0"/>
        <w:spacing w:lineRule="auto" w:line="26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repay the loan on Towne Mall on its maturity date of November 1, 2022, and completed transition of the property to a receiver. On December 4, 2023, Towne Mall was sold by the receiver for $9,500, resulting in a gain on extinguishment of debt of $8,208.</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13, 2024, the partnership agreement between the Company and its partner was amended and as a result, the Company no longer accounts for its investment in Chandler Fashion Center as a financing arrangement (See Note 12—Financing Arrangement). Effective June 13, 2024, the Company accounts for its investment in Chandler Fashion Center under the equity method of accounting.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the following gain on sale of assets on Chandler Fashion Center:</w:t>
      </w:r>
    </w:p>
    <w:tbl>
      <w:tblPr>
        <w:tblW w:w="8245" w:type="dxa"/>
        <w:jc w:val="left"/>
        <w:tblInd w:w="0" w:type="dxa"/>
        <w:tblLayout w:type="fixed"/>
        <w:tblCellMar>
          <w:top w:w="28" w:type="dxa"/>
          <w:left w:w="28" w:type="dxa"/>
          <w:bottom w:w="28" w:type="dxa"/>
          <w:right w:w="28" w:type="dxa"/>
        </w:tblCellMar>
      </w:tblPr>
      <w:tblGrid>
        <w:gridCol w:w="2514"/>
        <w:gridCol w:w="2213"/>
        <w:gridCol w:w="2218"/>
        <w:gridCol w:w="211"/>
        <w:gridCol w:w="826"/>
        <w:gridCol w:w="109"/>
        <w:gridCol w:w="154"/>
      </w:tblGrid>
      <w:tr>
        <w:trPr/>
        <w:tc>
          <w:tcPr>
            <w:tcW w:w="2514"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investment in unconsolidated joint ventures - Chandler Fashion Center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 of the financing arrangement obligation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Chandler Fashion Center - liabilities in excess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2024, the Company sold a former department store parcel at Valle Vista Mall in Harlingen, Texas for $7,100, which resulted in a gain on sale of assets of $756. The Company used the net proceeds to pay down debt.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the Company sold various land parcels in separate transactions, resulting in gains on sale of land of $222 and $511, respectively. For the three and nine months ended September 30, 2023, the Company sold various land parcels in separate transactions, resulting in gains on sale of land of $480 and $4,854, respectively. The Company used its share of the proceeds from these sales to pay down debt and for other general corporate purposes.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was contingently liable for $41,113 in letters of credit guaranteeing performance by the Company of certain obligations relating to the Centers. As of September 30, 2024, $40,890 of these letters of credit were secured by restricted cash. On October 30, 2024, $35,000 of these letters of credit secured by restricted cash was canceled and is no longer restricted cash. The Company does not believe that these letters of credit will result in a liability to the Company.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a number of construction agreements related to its redevelopment and development activities. Obligations under these agreements are contingent upon the completion of the services within the guidelines specified in the relevant agreement. At September 30, 2024, the Company had $23,807 in outstanding obligations, which it believes will be settled 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18. Related Party Transactions: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fees charged to unconsolidated joint ventures:</w:t>
      </w:r>
    </w:p>
    <w:tbl>
      <w:tblPr>
        <w:tblW w:w="9366" w:type="dxa"/>
        <w:jc w:val="left"/>
        <w:tblInd w:w="0" w:type="dxa"/>
        <w:tblLayout w:type="fixed"/>
        <w:tblCellMar>
          <w:top w:w="28" w:type="dxa"/>
          <w:left w:w="28" w:type="dxa"/>
          <w:bottom w:w="28" w:type="dxa"/>
          <w:right w:w="28" w:type="dxa"/>
        </w:tblCellMar>
      </w:tblPr>
      <w:tblGrid>
        <w:gridCol w:w="924"/>
        <w:gridCol w:w="810"/>
        <w:gridCol w:w="815"/>
        <w:gridCol w:w="313"/>
        <w:gridCol w:w="916"/>
        <w:gridCol w:w="162"/>
        <w:gridCol w:w="162"/>
        <w:gridCol w:w="162"/>
        <w:gridCol w:w="162"/>
        <w:gridCol w:w="313"/>
        <w:gridCol w:w="916"/>
        <w:gridCol w:w="162"/>
        <w:gridCol w:w="109"/>
        <w:gridCol w:w="109"/>
        <w:gridCol w:w="109"/>
        <w:gridCol w:w="277"/>
        <w:gridCol w:w="947"/>
        <w:gridCol w:w="143"/>
        <w:gridCol w:w="143"/>
        <w:gridCol w:w="143"/>
        <w:gridCol w:w="143"/>
        <w:gridCol w:w="277"/>
        <w:gridCol w:w="947"/>
        <w:gridCol w:w="202"/>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and leasing fees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19,961 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expense from related party transactions includes $0 and $3,418 for the three months ended September 30, 2024 and 2023, respectively, and $(11,264) and $(9) for the nine months ended September 30, 2024 and 2023, respectively, in connection with the financing arrangement (See Note 12—Financing Arrangement).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 includes $3,207 and $4,755 of unreimbursed costs and fees from unconsolidated joint ventures due to the Management Companies at September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19. Share and Unit-Based Plans: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performance-based LTI Units vest over a specified period based on the Company's operational performance over that period.</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Company granted the following LTI Units:</w:t>
      </w:r>
    </w:p>
    <w:tbl>
      <w:tblPr>
        <w:tblW w:w="8158"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488"/>
        <w:gridCol w:w="488"/>
        <w:gridCol w:w="176"/>
        <w:gridCol w:w="109"/>
        <w:gridCol w:w="109"/>
        <w:gridCol w:w="109"/>
        <w:gridCol w:w="543"/>
        <w:gridCol w:w="543"/>
        <w:gridCol w:w="550"/>
        <w:gridCol w:w="109"/>
        <w:gridCol w:w="109"/>
        <w:gridCol w:w="109"/>
        <w:gridCol w:w="443"/>
        <w:gridCol w:w="1293"/>
        <w:gridCol w:w="228"/>
        <w:gridCol w:w="109"/>
        <w:gridCol w:w="109"/>
        <w:gridCol w:w="109"/>
        <w:gridCol w:w="323"/>
        <w:gridCol w:w="323"/>
        <w:gridCol w:w="463"/>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per LTI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Vest Date</w:t>
            </w:r>
          </w:p>
        </w:tc>
      </w:tr>
      <w:tr>
        <w:trPr/>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305,129 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12/31/2026</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12/31/2026</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12/31/2026</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3/1/2027</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3/1/2028</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3/1/2029</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12/31/2026</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1,290,216 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service-based LTI Units was determined by the market price of the Company's common stock on the date of grant. The fair value (Level 3 measurement) of the performance-based LTI Units granted on February 15, 2024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19. Share and Unit-Based Plans: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estimated on the date of grant using a Monte Carlo Simulation model that assumed an approximate three-year risk-free interest rate of 4.28% and an expected volatility of 45.04%. The fair value (Level 3 measurement) of the performance-based LTI Units granted on March 1, 2024 was estimated on the date of grant using a Monte Carlo Simulation model that assumed an approximate three-year risk-free interest rate of 4.25% and an expected volatility of 45.09%.</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the non-vested LTI Units, phantom stock units and stock units:</w:t>
      </w:r>
    </w:p>
    <w:tbl>
      <w:tblPr>
        <w:tblW w:w="10205" w:type="dxa"/>
        <w:jc w:val="left"/>
        <w:tblInd w:w="0" w:type="dxa"/>
        <w:tblLayout w:type="fixed"/>
        <w:tblCellMar>
          <w:top w:w="28" w:type="dxa"/>
          <w:left w:w="28" w:type="dxa"/>
          <w:bottom w:w="28" w:type="dxa"/>
          <w:right w:w="28" w:type="dxa"/>
        </w:tblCellMar>
      </w:tblPr>
      <w:tblGrid>
        <w:gridCol w:w="708"/>
        <w:gridCol w:w="532"/>
        <w:gridCol w:w="536"/>
        <w:gridCol w:w="488"/>
        <w:gridCol w:w="488"/>
        <w:gridCol w:w="176"/>
        <w:gridCol w:w="109"/>
        <w:gridCol w:w="109"/>
        <w:gridCol w:w="109"/>
        <w:gridCol w:w="211"/>
        <w:gridCol w:w="616"/>
        <w:gridCol w:w="109"/>
        <w:gridCol w:w="109"/>
        <w:gridCol w:w="109"/>
        <w:gridCol w:w="109"/>
        <w:gridCol w:w="109"/>
        <w:gridCol w:w="109"/>
        <w:gridCol w:w="252"/>
        <w:gridCol w:w="252"/>
        <w:gridCol w:w="411"/>
        <w:gridCol w:w="353"/>
        <w:gridCol w:w="254"/>
        <w:gridCol w:w="109"/>
        <w:gridCol w:w="109"/>
        <w:gridCol w:w="109"/>
        <w:gridCol w:w="211"/>
        <w:gridCol w:w="616"/>
        <w:gridCol w:w="109"/>
        <w:gridCol w:w="109"/>
        <w:gridCol w:w="109"/>
        <w:gridCol w:w="109"/>
        <w:gridCol w:w="433"/>
        <w:gridCol w:w="435"/>
        <w:gridCol w:w="176"/>
        <w:gridCol w:w="109"/>
        <w:gridCol w:w="109"/>
        <w:gridCol w:w="109"/>
        <w:gridCol w:w="211"/>
        <w:gridCol w:w="616"/>
        <w:gridCol w:w="159"/>
      </w:tblGrid>
      <w:tr>
        <w:trPr/>
        <w:tc>
          <w:tcPr>
            <w:tcW w:w="70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LTI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Phantom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Units</w:t>
            </w:r>
          </w:p>
        </w:tc>
        <w:tc>
          <w:tcPr>
            <w:tcW w:w="1313" w:type="dxa"/>
            <w:gridSpan w:val="6"/>
            <w:tcBorders/>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Value(1)</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2,256,847 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17,043 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284,047 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(14,119)</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(209,525)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3,547,063 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240,547 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1" w:type="dxa"/>
            <w:gridSpan w:val="28"/>
            <w:tcBorders/>
            <w:tcMar>
              <w:top w:w="0" w:type="dxa"/>
              <w:left w:w="0" w:type="dxa"/>
              <w:bottom w:w="0" w:type="dxa"/>
              <w:right w:w="0" w:type="dxa"/>
            </w:tcMar>
            <w:vAlign w:val="center"/>
          </w:tcPr>
          <w:p>
            <w:pPr>
              <w:pStyle w:val="TableContents"/>
              <w:bidi w:val="0"/>
              <w:spacing w:lineRule="auto" w:line="240" w:before="160" w:after="16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 Value represents the weighted average grant date fair value.</w:t>
            </w:r>
          </w:p>
        </w:tc>
        <w:tc>
          <w:tcPr>
            <w:tcW w:w="2684"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the vested stock options outstanding:</w:t>
      </w:r>
    </w:p>
    <w:tbl>
      <w:tblPr>
        <w:tblW w:w="6268" w:type="dxa"/>
        <w:jc w:val="left"/>
        <w:tblInd w:w="0" w:type="dxa"/>
        <w:tblLayout w:type="fixed"/>
        <w:tblCellMar>
          <w:top w:w="28" w:type="dxa"/>
          <w:left w:w="28" w:type="dxa"/>
          <w:bottom w:w="28" w:type="dxa"/>
          <w:right w:w="28" w:type="dxa"/>
        </w:tblCellMar>
      </w:tblPr>
      <w:tblGrid>
        <w:gridCol w:w="1098"/>
        <w:gridCol w:w="961"/>
        <w:gridCol w:w="970"/>
        <w:gridCol w:w="125"/>
        <w:gridCol w:w="125"/>
        <w:gridCol w:w="196"/>
        <w:gridCol w:w="196"/>
        <w:gridCol w:w="196"/>
        <w:gridCol w:w="196"/>
        <w:gridCol w:w="360"/>
        <w:gridCol w:w="361"/>
        <w:gridCol w:w="176"/>
        <w:gridCol w:w="109"/>
        <w:gridCol w:w="109"/>
        <w:gridCol w:w="109"/>
        <w:gridCol w:w="211"/>
        <w:gridCol w:w="616"/>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Options</w:t>
            </w:r>
          </w:p>
        </w:tc>
        <w:tc>
          <w:tcPr>
            <w:tcW w:w="1308" w:type="dxa"/>
            <w:gridSpan w:val="6"/>
            <w:tcBorders/>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Value(1)</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2024</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2024</w:t>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Value represents the weighted average exercise price.</w:t>
            </w:r>
          </w:p>
        </w:tc>
        <w:tc>
          <w:tcPr>
            <w:tcW w:w="2205" w:type="dxa"/>
            <w:gridSpan w:val="9"/>
            <w:tcBorders/>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270"/>
        <w:jc w:val="left"/>
        <w:rPr/>
      </w:pPr>
      <w:r>
        <w:rPr/>
      </w:r>
    </w:p>
    <w:p>
      <w:pPr>
        <w:pStyle w:val="TextBody"/>
        <w:bidi w:val="0"/>
        <w:spacing w:lineRule="auto" w:line="288" w:before="160" w:after="16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compensation cost under the share and unit-based plans:</w:t>
      </w:r>
    </w:p>
    <w:tbl>
      <w:tblPr>
        <w:tblW w:w="8584" w:type="dxa"/>
        <w:jc w:val="left"/>
        <w:tblInd w:w="0" w:type="dxa"/>
        <w:tblLayout w:type="fixed"/>
        <w:tblCellMar>
          <w:top w:w="28" w:type="dxa"/>
          <w:left w:w="28" w:type="dxa"/>
          <w:bottom w:w="28" w:type="dxa"/>
          <w:right w:w="28" w:type="dxa"/>
        </w:tblCellMar>
      </w:tblPr>
      <w:tblGrid>
        <w:gridCol w:w="640"/>
        <w:gridCol w:w="563"/>
        <w:gridCol w:w="566"/>
        <w:gridCol w:w="313"/>
        <w:gridCol w:w="916"/>
        <w:gridCol w:w="162"/>
        <w:gridCol w:w="162"/>
        <w:gridCol w:w="162"/>
        <w:gridCol w:w="162"/>
        <w:gridCol w:w="313"/>
        <w:gridCol w:w="916"/>
        <w:gridCol w:w="162"/>
        <w:gridCol w:w="109"/>
        <w:gridCol w:w="109"/>
        <w:gridCol w:w="109"/>
        <w:gridCol w:w="289"/>
        <w:gridCol w:w="845"/>
        <w:gridCol w:w="149"/>
        <w:gridCol w:w="149"/>
        <w:gridCol w:w="149"/>
        <w:gridCol w:w="149"/>
        <w:gridCol w:w="289"/>
        <w:gridCol w:w="990"/>
        <w:gridCol w:w="211"/>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 Units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units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Phantom stock units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capitalized share and unit-based compensation costs of $411 and $190 for the three months ended September 30, 2024 and 2023, respectively, and $665 and $2,344 for the nine months ended September 30, 2024 and 2023, respectively. Unrecognized compensation costs of share and unit-based plans at September 30, 2024 consisted of $15,578 from LTI Units, $1,775 from stock units and $37 from phantom stock units.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60" w:after="16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and square foot amounts)</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160" w:after="160"/>
        <w:ind w:left="0" w:right="0" w:hanging="36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20. Income Taxes: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of the TRSs are as follows:</w:t>
      </w:r>
    </w:p>
    <w:tbl>
      <w:tblPr>
        <w:tblW w:w="8992" w:type="dxa"/>
        <w:jc w:val="left"/>
        <w:tblInd w:w="0" w:type="dxa"/>
        <w:tblLayout w:type="fixed"/>
        <w:tblCellMar>
          <w:top w:w="28" w:type="dxa"/>
          <w:left w:w="28" w:type="dxa"/>
          <w:bottom w:w="28" w:type="dxa"/>
          <w:right w:w="28" w:type="dxa"/>
        </w:tblCellMar>
      </w:tblPr>
      <w:tblGrid>
        <w:gridCol w:w="784"/>
        <w:gridCol w:w="688"/>
        <w:gridCol w:w="702"/>
        <w:gridCol w:w="313"/>
        <w:gridCol w:w="804"/>
        <w:gridCol w:w="162"/>
        <w:gridCol w:w="162"/>
        <w:gridCol w:w="162"/>
        <w:gridCol w:w="162"/>
        <w:gridCol w:w="313"/>
        <w:gridCol w:w="1027"/>
        <w:gridCol w:w="162"/>
        <w:gridCol w:w="109"/>
        <w:gridCol w:w="109"/>
        <w:gridCol w:w="109"/>
        <w:gridCol w:w="337"/>
        <w:gridCol w:w="744"/>
        <w:gridCol w:w="174"/>
        <w:gridCol w:w="174"/>
        <w:gridCol w:w="174"/>
        <w:gridCol w:w="174"/>
        <w:gridCol w:w="337"/>
        <w:gridCol w:w="864"/>
        <w:gridCol w:w="246"/>
      </w:tblGrid>
      <w:tr>
        <w:trPr/>
        <w:tc>
          <w:tcPr>
            <w:tcW w:w="7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(expense) benefit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net operating loss ("NOL") carryforwards generated through the 2017 tax year are scheduled to expire through 2037, beginning in 2031.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$24,445 and $24,024 were included in deferred charges and other assets, net at September 30, 2024 and December 31, 2023, respectively.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September 30, 2024, the Company had no valuation allowance recorded.</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tax years 2020 through 2022 remain open to examination by the taxing jurisdictions to which the Company is subject. The Company does not expect that the total amount of unrecognized tax benefit will materially change within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21. Subsequent Events: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24, 2024, the Company acquired its joint venture partner's 40% interest in the PPR Portfolio, which includes Lakewood Center, Los Cerritos Center and Washington Square, for a net purchase price of approximately $122,000, which includes the assumption of the partner's share of property level indebtedness. The Company now owns and will consolidate its 100% interests in the PPR Portfolio effective October 24, 2024.</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31, 2024, the Company announced a dividend/distribution of $0.17 per share for common stockholders and OP Unitholders of record on November 12, 2024. All dividends/distributions will be paid 100% in cash on December 2, 2024.</w:t>
      </w:r>
    </w:p>
    <w:p>
      <w:pPr>
        <w:pStyle w:val="TextBody"/>
        <w:bidi w:val="0"/>
        <w:spacing w:before="0" w:after="0"/>
        <w:ind w:left="0" w:right="0" w:firstLine="495"/>
        <w:jc w:val="left"/>
        <w:rPr/>
      </w:pPr>
      <w:r>
        <w:rPr/>
      </w:r>
    </w:p>
    <w:p>
      <w:pPr>
        <w:pStyle w:val="TextBody"/>
        <w:bidi w:val="0"/>
        <w:spacing w:before="0" w:after="0"/>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IMPORTANT INFORMATION RELATED TO FORWARD-LOOKING STATEMENTS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expectations regarding the Company's growth;</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 xml:space="preserve">expectations regarding the Company's Path Forward Plan and its ability to meet the goals established under such plan; </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the Company's beliefs regarding its acquisition, redevelopment, development, leasing and operational activities and opportunities, including the performance and financial stability of its retailers;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the Company's acquisition, disposition and other strategies;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regulatory matters pertaining to compliance with governmental regulations;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the Company's capital expenditure plans and expectations for obtaining capital for expenditures;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the Company's expectations regarding income tax benefits;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the Company's expectations regarding its financial condition or results of operations; and</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the Company's expectations for refinancing its indebtedness, entering into and servicing debt obligations and entering into joint venture arrangements.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elevated interest rates and inflation and its impact on the financial condition and results of operations of the Company, including as a result of any defaults on mortgage loans, and its tenants, availability, terms and cost of financing and operating expenses; adverse changes in the real estate markets including, among other things, competition from other companies, retail formats and technology, risks of real estate development and redevelopment (including rising inflation, supply chain disruptions and construction delays), acquisitions and dispositions; adverse impacts from any future pandemic, epidemic or outbreak of any highly infectious disease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in our Annual Report on Form 10-K for the year ended December 31, 2023,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Management's Overview and Summary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September 30, 2024, the Operating Partnership owned or had an ownership interest in 41 regional retail centers (including office, hotel and residential space adjacent to these shopping centers), three community/power shopping centers and one redevelopment property. These 45 regional retail centers, community/power shopping centers and one redevelopment property consist of approximately 45 million square feet of gross leasable area ("GLA") and are referred to herein as the "Centers". The Centers consist of consolidated Centers ("Consolidated Centers") and unconsolidated joint venture Centers ("Unconsolidated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Centers"), unless the context otherwise requires. The property management, leasing and redevelopment of the Company's portfolio is provided by the Company's seven management companies (collectively referred to herein as the "Management Companies"). The Company is a self-administered and self-managed real estate investment trust ("REIT") and conducts all of its operations through the Operating Partnership and the Management Companies.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is based primarily on the consolidated financial statements of the Company for the three and nine months ended September 30, 2024 and 2023. It compares the results of operations for the three months ended September 30, 2024 to the results of operations for the three months ended September 30, 2023. It also compares the results of operations and cash flows for the nine months ended September 30, 2024 to the results of operations and cash flows for the nine months ended September 30, 2023.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information should be read in conjunction with the accompanying consolidated financial statements and notes thereto.</w:t>
      </w:r>
    </w:p>
    <w:p>
      <w:pPr>
        <w:pStyle w:val="TextBody"/>
        <w:bidi w:val="0"/>
        <w:spacing w:lineRule="auto" w:line="288" w:before="160" w:after="160"/>
        <w:ind w:left="0" w:right="0" w:firstLine="495"/>
        <w:jc w:val="left"/>
        <w:rPr/>
      </w:pPr>
      <w:r>
        <w:rPr>
          <w:rFonts w:ascii="Times New Roman;sans-serif" w:hAnsi="Times New Roman;sans-serif"/>
          <w:b w:val="false"/>
          <w:i/>
          <w:color w:val="000000"/>
          <w:sz w:val="20"/>
        </w:rPr>
        <w:t>Acquisitions</w:t>
      </w:r>
      <w:r>
        <w:rPr>
          <w:rFonts w:ascii="Times New Roman;sans-serif" w:hAnsi="Times New Roman;sans-serif"/>
          <w:b w:val="false"/>
          <w:color w:val="000000"/>
          <w:sz w:val="20"/>
        </w:rPr>
        <w: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18, 2023, the Company acquired Seritage Growth Properties' ("Seritage") remaining 50% ownership interest in the MS Portfolio LLC joint venture that owns five former Sears parcels, for a total purchase price of approximately $46.7 million.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 (See Note 15—Acquisitions in the Notes to the Consolidated Financial Statements).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16, 2023, the Company acquired its joint venture partner’s 49.9% ownership interest in Freehold Raceway Mall for $5.6 million and the assumption of its joint venture partner’s share of debt. The Company now owns 100% of Freehold Raceway Mall. Prior to November 16, 2023, the Company accounted for its investment in Freehold Raceway Mall as part of a financing arrangement (See Note 12 – Financing Arrangement and Note 15 – Acquisitions in the Notes to the Consolidated Financial Statements).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9, 2023, the Company acquired its joint venture partner’s 50% interest in Fashion District Philadelphia for no consideration, and the Company now owns 100% of this property. Prior to December 9, 2023, due to the Company’s joint venture partner having no substantive participation rights, the Company accounted for this joint venture as a consolidated variable interest entity in its consolidated financial statements (See Note 2 – Summary of Significant Accounting Policies and Note 15 – Acquisitions in the Notes to the Consolidated Financial Statements).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14, 2024, the Company acquired its joint venture partner's 40% interest in each of Arrowhead Towne Center and South Plains Mall for a purchase price of $36.4 million and the assumption of its joint venture partner's share of debt for each property. The Company now owns and has consolidated its 100% interests in Arrowhead Towne Center and South Plains Mall (See Note 15—Acquisitions in the Notes to the Consolidated Financial Statements).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17, 2024, the Company acquired the former Sears parcel located at Inland Center for $5.4 million (See Note 15—Acquisitions in the Notes to the Consolidated Financial Statements).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24, 2024, the Company acquired its joint venture partner's 40% interest in the Pacific Premier Retail Trust portfolio, which includes Los Cerritos Center, Washington Square and Lakewood Center, for a net purchase price of approximately $122.0 million, which includes the assumption of the partner's share of property level indebtedness. The Company now owns and will consolidate its 100% interests in these properties in its consolidated financial statements.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Dispositions: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2, 2023, the Company sold The Marketplace at Flagstaff, a 268,000 square foot power center in Flagstaff, Arizona, for $23.5 million, which resulted in a gain on sale of assets of $10.3 million. The Company used the net proceeds to pay down debt (See "Liquidity and Capital Resources").</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July 17, 2023, the Company sold Superstition Springs Power Center, a 204,000 square foot power center in Mesa, Arizona, for $5.6 million, which resulted in a gain on sale of assets of $1.9 million. The Company used the net proceeds to pay down debt (See "Liquidity and Capital Resources").</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repay the loan on Towne Mall on its maturity date of November 1, 2022, and completed transition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 the property to a receiver. On December 4, 2023, Towne Mall was sold by the receiver for $9.5 million, resulting in a gain on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debt of $8.2 million.</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27, 2023, the Company’s joint venture in One Westside sold the property, a 680,000 square foot office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in Los Angeles, California, for $700.0 million. The existing $324.6 million loan on the property was repaid, and $77.6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million of net proceeds were generated at the Company’s 25% ownership share, which were used to reduce the Company’s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revolving loan facility. As a result of this transaction, the Company recognized its share of gain on sale of assets of $8.1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million (See "Liquidity and Capital Resources").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twelve months ended December 31, 2023, the Company and certain joint venture partners sold various land parcels in separate transactions, resulting in the Company’s share of the gain on sale of land of $10.8 million. The Company used its share of the proceeds from these sales of $16.4 million to pay down debt and for other general corporate purposes.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June 13, 2024, the partnership agreement between the Company and its joint venture partner was amended and as a result, the Company no longer accounts for its investment in Chandler Fashion Center as a financing arrangement. Effective June 13, 2024, the Company accounts for its investment in Chandler Fashion Center under the equity method of accounting (See Note 12—Financing Arrangement and Note 16—Dispositions in the Notes to the Consolidated Financial Statements).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2024, the Company's joint venture sold Country Club Plaza, a 971,000 square foot regional retail center in Kansas City, Missouri, for $175.6 million. Concurrent with the sale, the remaining amount owed by the joint venture under the $295.5 million loan ($147.7 million at the Company's share) was forgiven by the lender.</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2024, the Company sold a former department store parcel at Valle Vista Mall in Harlingen, Texas for $7.1 million. The Company used the net proceeds to pay down debt. The Company recognized a gain on sale of assets of $0.8 million (See "Liquidity and Capital Resources" and Note 16—Dispositions in the Notes to the Consolidated Financial Statements).</w:t>
      </w:r>
    </w:p>
    <w:p>
      <w:pPr>
        <w:pStyle w:val="TextBody"/>
        <w:bidi w:val="0"/>
        <w:spacing w:lineRule="auto" w:line="256"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July 31, 2024, the Company sold its 50% interest in Biltmore Fashion Park, a 611,000 square foot regional retail center in Phoenix, Arizona, for $110.0 million. The Company used the net proceeds to pay down debt. As a result of this transaction, the Company recognized a gain of $42.8 million (See "Liquidity and Capital Resources" and Note 4—Investments In Unconsolidated Joint Ventures in the Notes to the Consolidated Financial Statements).</w:t>
      </w:r>
    </w:p>
    <w:p>
      <w:pPr>
        <w:pStyle w:val="TextBody"/>
        <w:bidi w:val="0"/>
        <w:spacing w:lineRule="auto" w:line="25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the Company and certain joint venture partners sold various land parcels in separate transactions, resulting in the Company’s share of the gain on sale of land of $0.3 million and $1.6 million, respectively. The Company’s proceeds from these sales in the three and nine months ended September 30, 2024 were $0.9 million and $3.4 million, respectively. The Company used its share of the proceeds from these sales to pay down debt and for other general corporate purposes.</w:t>
      </w:r>
    </w:p>
    <w:p>
      <w:pPr>
        <w:pStyle w:val="TextBody"/>
        <w:bidi w:val="0"/>
        <w:spacing w:before="0" w:after="0"/>
        <w:ind w:left="0" w:right="0" w:firstLine="495"/>
        <w:jc w:val="left"/>
        <w:rPr/>
      </w:pPr>
      <w:r>
        <w:rPr/>
      </w:r>
    </w:p>
    <w:p>
      <w:pPr>
        <w:pStyle w:val="TextBody"/>
        <w:bidi w:val="0"/>
        <w:spacing w:lineRule="auto" w:line="25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under contract to sell The Oaks for $157.0 million, which is expected to close during the fourth quarter of 2024, subject to customary closing conditions.</w:t>
      </w:r>
    </w:p>
    <w:p>
      <w:pPr>
        <w:pStyle w:val="TextBody"/>
        <w:bidi w:val="0"/>
        <w:spacing w:lineRule="auto" w:line="288" w:before="160" w:after="160"/>
        <w:ind w:left="0" w:right="0" w:firstLine="450"/>
        <w:jc w:val="left"/>
        <w:rPr/>
      </w:pPr>
      <w:r>
        <w:rPr>
          <w:rFonts w:ascii="Times New Roman;sans-serif" w:hAnsi="Times New Roman;sans-serif"/>
          <w:b w:val="false"/>
          <w:i/>
          <w:color w:val="000000"/>
          <w:sz w:val="20"/>
        </w:rPr>
        <w:t>Financing Activities:</w:t>
      </w:r>
      <w:r>
        <w:rPr>
          <w:color w:val="000000"/>
        </w:rPr>
        <w:t xml:space="preserve">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 2023, the Company replaced the existing $363.0 million of combined loans on Green Acres Mall and Green Acres Commons, both of which were scheduled to mature during the first quarter of 2023, with a $370.0 million loan that bears interest at a fixed rate of 5.90%, is interest only during the entire loan term and matures on January 6, 2028.</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20, 2023, the Company exercised its one-year extension option of the loan on Fashion District Philadelphia to January 22, 2024. The interest rate was SOFR plus 3.60% and the Company repaid $26.1 million of the outstanding loan balance at closing.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March 3, 2023, the Company’s joint venture in Scottsdale Fashion Square replaced the existing $403.9 million mortgage loan on the property with a new $700.0 million loan that bears interest at a fixed rate of 6.21%, is interest only during the entire loan term and matures on March 6, 2028.</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March 22, 2023, the Company executed the one-year extension option on its credit facility to April 14, 2024. Effective March 13, 2023, the credit facility converted from LIBOR to 1-month Term SOFR.</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25, 2023, the Company's joint venture in Deptford Mall closed on a three-year maturity date extension for the existing loan of $159.9 million to April 3, 2026, including extension options. The Company's joint venture repaid $10.0 million ($5.1 million at the Company's pro rata share) of the outstanding loan balance at closing. The interest rate on the loan remains unchanged at 3.73%.</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Effective May 9, 2023, the Company’s joint venture in Country Club Plaza defaulted on the $295.2 million ($147.6 million at the Company's pro rata share) non-recourse loan on the property. The Company’s joint venture subsequently sold the property on June 28, 2024.</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27, 2023, the Company closed on a one-year extension on the $133.5 million loan on Danbury Fair Mall to July 1, 2024. The Company repaid $10.0 million of the outstanding loan balance at closing and the amended interest rate was 7.5%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1, 2023 and incrementally increased to 8.0% as of October 1, 2023, 8.5% as of January 1, 2024 and 9.0% as of April 1, 2024.</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11, 2023, the Company and Operating Partnership entered into an amended and restated credit agreement, which amended and restated their prior $525.0 million credit agreement, and provides for an aggregate $650.0 million revolving loan facility that matures on February 1, 2027, with a one-year extension option. Concurrently with the entry into the amended and restated credit agreement, the Company drew $152.0 million of the amount available under the revolving loan facility and used the proceeds to repay in full amounts outstanding under the Company’s prior credit facility. (See “Liquidity and Capital Resources”).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Effective October 6, 2023, the Company's $86.5 million loan on Fashion Outlets of Niagara Falls was in default. On March 19, 2024, the Company closed a three-year extension of the $84.7 million loan on Fashion Outlets of Niagara Falls. The scheduled outstanding $1.8 million principal payments were applied at closing. The extended loan bears the same fixed interest rate of 5.90%, and matures on October 6, 2026.</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4, 2023, the Company's joint venture in Tysons Corner Center replaced the existing $666.5 million mortgage loan on the property with a new $710.0 million loan that bears interest at a fixed rate of 6.60%, is interest only during the entire loan term and matures on December 6, 2028.</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10, 2024, the Company's joint venture in Boulevard Shops replaced the existing $23.0 million mortgage loan on the property with a new $24.0 million loan that bears interest at a variable rate of SOFR plus 2.50%, is interest only during the entire loan term and matures on December 5, 2028. The new loan has a required interest rate cap throughout the term of the loan at a strike rate of 7.5%.</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22, 2024, the Company repaid the majority of the mortgage loan on Fashion District Philadelphia. The remaining $8.2 million was scheduled to mature on April 21, 2024 and was paid in full prior to maturity.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25, 2024, the Company replaced the existing $116.9 million mortgage loan on Danbury Fair Mall with a new $155.0 million loan that bears interest at a fixed rate of 6.39%, is interest only during the majority of the loan term and matures on February 6, 2034.</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9, 2024, the Company defaulted on the $300.0 million loan on Santa Monica Place. The Company is in negotiations with the lender on the terms of this non-recourse loan.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19, 2024, the Company repaid in full the remaining $8.2 million loan on Fashion District Philadelphia.</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May 24, 2024, the Company closed a two-year extension of the $149.9 million loan on The Oaks, which now matures on June 5, 2026. The interest rate during the first year of the extended term will be 7.5% and will increase to 8.5% during the second year of the extended term.</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June 27, 2024, the Company's joint venture in Chandler Fashion Center replaced the existing $256.0 million loan on the property with a new $275.0 million loan that bears interest at 7.06%, is interest only during the entire loan term and matures on July 1, 2029. The Company received a distribution of $17.7 million in connection with the refinancing.</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August 22, 2024, the Company closed an $85.0 million, ten-year refinance of the loan on The Mall of Victor Valley. The new loan bears interest at a fixed rate of 6.72%, is interest only during the entire loan term and matures on September 6, 2034.</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28, 2024, the Company closed a $525.0 million, five-year refinance of the loan on Queens Center, which matures on November 6, 2029. The new loan replaced the existing $600.0 million loan, bears interest at a fixed rate of 5.37% and is interest only during the entire loan term.</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Redevelopment and Development Activities: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50/50 joint venture with Simon Property Group, which was initially formed to develop Los Angeles Premium Outlets, a premium outlet center in Carson, California. During the first quarter of 2024, the Company evaluated its investment and concluded that due to certain conditions, the Company should not continue to invest capital in this development project. As a result, the Company wrote-off its share of the investment in the three months ended March 31, 2024. At the time of the write-off, the Company had funded $39.5 million of the total $78.9 million incurred by the joint venture (See Note 4 – Investments in Unconsolidated Joint Ventures in the Notes to the Consolidated Financial Statements).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joint venture in Scottsdale Fashion Square, a 2,117,000 square foot regional retail center in Scottsdale, Arizona, is redeveloping a two-level Nordstrom wing with luxury-focused retail and restaurant uses. The total cost of the project is estimated to be between $84.0 million and $90.0 million, with $42.0 million to $45.0 million estimated to be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Company’s pro rata share. The Company has incurred $24.5 million of the total $49.0 million incurred by the joint venture as of September 30, 2024. The anticipated opening will be in phases beginning in 2024, with completion in 2025.</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redeveloping the northeast quadrant of Green Acres Mall, a 2,062,000 square foot regional retail center in Valley Stream, New York. The project will include new exterior shops and facade totaling approximately 385,000 square feet of leasing, including new grocery use, redevelopment of a vacant anchor building and demolition of another vacant anchor building. The total cost of the project is estimated to be between $120.0 million and $140.0 million. The Company has incurred approximately $17.1 million as of September 30, 2024. The anticipated opening is in 2026.</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joint venture in FlatIron Crossing, a 1,391,000 square foot regional retail center in Broomfield, Colorado, is developing luxury, multi-family residential units, new/repurposed retail and food and beverage uses, and a community plaza, in addition to the redevelopment of the vacant former Nordstrom store located on the property. The Company's ownership percentage is expected to be 43.4% in the residential portion of the development and 51% in the remainder of the property. The total cost of the project is estimated to be between $240.0 million and $260.0 million, with $120.0 million to $130.0 million estimated to be the Company’s pro rata share. The Company has incurred $7.8 million of the total $15.3 million incurred by the joint venture as of September 30, 2024. The anticipated opening is in 2027.</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Transactions and Events: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declared a cash dividend of $0.17 per share of its common stock for each quarter of 2023 and the first three quarters of 2024. On October 31, 2024, the Company announced a fourth quarter cash dividend of $0.17 per share of its common stock, which will be paid on December 2, 2024 to stockholders of record on November 12, 2024. The dividend amount will be reviewed by the Board on a quarterly basis.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commencement of an “at the market” offering program on March 26, 2021, which is referred to as the “ATM Program,” the Company entered into an equity distribution agreement with certain sales agents pursuant to which the Company may issue and sell shares of its common stock having an aggregate offering price of up to $500 million. The ATM Program was fully utilized as of September 30, 2024 and is no longer active.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“—Liquidity and Capital Resources” for a further discussion of the Company’s anticipated liquidity needs, and the measures taken by the Company to meet those needs.</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Inflation: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has had a negative impact on the Company's costs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2—Summary of Significant Accounting Policies in the Company's Notes to the Consolidated Financial Statements. However, the following policies are deemed to be critical.</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Remeasurement gains are recognized when the Company becomes the primary beneficiary of an existing equity method investment that is a variable interest entity to the extent that the fair value of the existing equity investment exceeds the carrying value of the investment, and remeasurement losses are recognized to the extent the carrying value of the investment exceeds the fair value. The fair value is determined based on a discounted cash flow model, with the significant unobservable inputs including discount rate, terminal capitalization rate and market rents. </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Asset Impairment: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capitalization rates and estimated holding periods. The Company generally holds and operates its properties long-term, which decreases the likelihood of their carrying values not being recoverable. Changes in events or changes in circumstances may alter the expected hold period of an asset or asset group, which may result in an impairment loss and such loss could be material to the Company’s financial condition or operating performance. If the carrying value of the property exceeds the estimated undiscounted cash flows, an impairment loss is recognized equal to the excess of carrying value over its estimated fair value. Properties classified as held for sale are measured at the lower of the carrying amount or fair value less cost to sell.</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a property is typically determined through a discounted cash flow analysis or based upon a contracted sales price. The discounted cash flow method includes significant unobservable inputs including the discount rate, terminal capitalization rate and market rents. Cash flow projections and rates are subject to management’s judgment and changes in those assumptions could impact the estimation of fair value.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unconsolidated joint ventures apply the same accounting model for property level impairment as described above. Further, 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 The Company records any such impairment up to the extent of its investment.</w:t>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of Financial Instruments: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distinguishes between market participant assumptions based on market data obtained from sources independent of the reporting entity and the reporting entity's own assumptions about market participant assumptions. 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its financing arrangement (See Note 12—Financing Arrangement in the Company's Notes to the Consolidated Financial Statements) obligation at fair value on a recurring basis with changes in fair value being recorded as interest expense in the Company’s consolidated statements of operations. The fair value was determined based on a discounted cash flow model, with the significant unobservable inputs including discount rate, terminal capitalization rate, and market rents. The fair value of the financing arrangement obligation was sensitive to these significant unobservable inputs and a change in these inputs may result in a significantly higher or lower fair value measurement.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variations in the results of operations, discussed below, occurred because of the transactions affecting the Company’s properties described in Management’s Overview and Summary above, including the Redevelopment Properties, the JV Transition Centers and the Disposition Properties (as defined below).</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Santa Monica Place and the Disposition Properties, for the periods of comparison. Santa Monica Place is excluded from Same Centers due to the Company's default on the non-recourse loan on April 9, 2024.</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comparison of the three and nine months ended September 30, 2024 to the three and nine months ended September 30, 2023, the JV Transition Centers are Arrowhead Towne Center, Chandler Fashion Center, South Plains Mall and the five former Sears parcels located at Chandler Fashion Center, Danbury Fair Mall, Freehold Raceway Mall, Los Cerritos Center and Washington Square (See “Acquisitions” in Management’s Overview and Summary). The Disposition Properties are The Marketplace at Flagstaff, Superstition Springs Power Center, Towne Mall and a former department store parcel at Valle Vista Mall (See "Dispositions" in Management’s Overview and Summary). For the comparison of the three and nine months ended September 30, 2024 to the three and nine months ended September 30, 2023, the Redevelopment Properties are Green Acres Mall and Fashion District Philadelphia.</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Unconsolidated joint ventures are reflected using the equity method of accounting. The Company’s pro rata share of the results from these Centers is reflected in the Consolidated Statements of Operations as equity in loss of unconsolidated joint ventures.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trailing twelve months ended September 30, 2024, comparable tenant sales for spaces less than 10,000 square feet across the portfolio decreased by 1.0% relative to the third quarter of 2023. The leased occupancy rate of 93.7% at September 30, 2024 represented a 0.3% increase from 93.4% at September 30, 2023 and a 0.4% sequential increase compared to the 93.3% occupancy rate at June 30, 2024. Releasing spreads increased as the Company executed leases at an average rent of $66.98 for new and renewal leases executed compared to $59.86 on leases expiring, resulting in a releasing spread increase of $7.13 per square foot, or 11.9%, for the trailing twelve months ended September 30, 2024. This was the Company’s twelfth consecutive quarter of positive base rent leasing spreads.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renew or replace leases that are scheduled to expire in 2024, however, due to a variety of factors, the Company cannot be certain of its ability to sign, renew or replace leases expiring in 2024 or beyond. As of September 30, 2024, the Company has executed renewal leases or commitments on 84% of its square footage expiring in 2024, which leases are expected to commence throughout 2024 and another 13% of such expiring space is in the letter of intent stage. Excluding those leases, the remaining leases expiring in 2024, which represent approximately 96,000 square feet of the Centers, are in the prospecting stage.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225 leases for new stores totaling approximately 1.6 million square feet that have opened or are planned for opening in 2024, and another 79 leases for new stores totaling approximately 1.2 million square feet opening throughout 2025 and 2026. In total, through 2027, new store leases are expected to produce incremental rent of approximately $79.8 million (at the Company’s pro rata share) in excess of the rent generated from prior uses in the same spaces. While there may be additional new space openings in 2024, any such leases are not yet executed.</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2024, the Company signed 70 new leases and 150 renewal leases comprising approximately 831,000 square feet of GLA. The average tenant allowance was $24.31 per square foot.</w:t>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March 2024, the Company celebrated its 30th anniversary as a public company and also welcomed Jackson Hsieh as its Chief Executive Officer and President. Following the appointment of Mr. Hsieh, the Company’s leadership team has spent considerable time refining the Company's strategy and unveiled the Path Forward Plan during the second quarter of 2024.</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Path Forward Plan is a multi-pronged strategy to improve the Company's balance sheet, while also making inward-facing enhancements to both bolster company culture and improve key business processes to gain operating efficiencies. Essential goals of the Path Forward Plan include:</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 xml:space="preserve">Deleverage the capital structure, with a focus on reducing the Company's Net Debt to Adjusted EBITDA leverage ratio over the next three to four years;             </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Invest in and fortify the Company's key assets in the portfolio;</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Proactively consolidate selected joint venture assets over time that are core to the Company's overall strategy;</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Deliver a post-deleveraging Funds From Operations ("FFO") launch point goal over the next three to four years;</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Achieve outstanding operational results through rigorous internal process improvements; and</w:t>
      </w:r>
    </w:p>
    <w:p>
      <w:pPr>
        <w:pStyle w:val="TextBody"/>
        <w:bidi w:val="0"/>
        <w:spacing w:lineRule="auto" w:line="288" w:before="60" w:after="283"/>
        <w:ind w:left="0" w:right="0" w:hanging="720"/>
        <w:jc w:val="left"/>
        <w:rPr/>
      </w:pPr>
      <w:r>
        <w:rPr>
          <w:color w:val="000000"/>
        </w:rPr>
        <w:t>•</w:t>
      </w:r>
      <w:r>
        <w:rPr>
          <w:rFonts w:ascii="Times New Roman;sans-serif" w:hAnsi="Times New Roman;sans-serif"/>
          <w:b w:val="false"/>
          <w:color w:val="000000"/>
          <w:sz w:val="20"/>
        </w:rPr>
        <w:t>Position the Company to take an offensive stance on acquisitions, reinvestment and selected development.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achieve these goals through a variety of methods and the timing, extent and impact of any transactions that the Company has or will undertake while implementing the Path Forward Plan are indeterminable at this time.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Company has a long-term four-pronged business strategy that focuses on the acquisition, leasing and management, redevelopment and development of regional retail centers. Although the majority of the key performance indicators at the Centers continued to improve during the first three quarters of 2024, operating results in 2024 have been and are expected to continue to be negatively impacted by certain external factors, including any increase in inflation and elevated interest rates, as well as the impact from the recent bankruptcy of Express and any future tenant bankruptcies.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Traffic levels at the Company’s Centers for the first three quarters of 2024 increased by 1.6% from 2023 levels for the same time period. Portfolio tenant sales per square foot from spaces less than 10,000 square feet for the trailing twelve months ended September 30, 2024 were $834 compared to $836 for the year ended December 31, 2023. Comparable tenant sales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spaces less than 10,000 square feet across the portfolio for the quarter ended September 30, 2024 decreased by 1.8% compared to the same period in 2023.</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the Company signed 839 new and renewal leases for approximately 4.2 million square feet, compared to 963 leases and 3.8 million square feet signed during 2022. This leasing volume represented a 13% decrease in the number of leases and a 12% increase in the amount of square footage leased compared to the same period in 2022 on a comparable basis, and was the highest volume leasing year in the Company’s history. During the third quarter of 2024, the Company signed 220 leases for approximately 831,000 square feet, compared to 194 leases and 719,000 square feet leased during the third quarter of 2023, representing a 15.5% increase in the amount of square footage leased and a 13.4% increase in the number of leases signed on a comparable center basis.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diversity of use within its tenant base has been, and will continue to be, a prominent internal growth catalyst at its Centers going forward, as new uses enhance the productivity and diversity of the tenant mix and have the potential to significantly increase customer traffic at the applicable Centers. During the quarter ended September 30, 2024, the Company signed leases for new stores with new-to-Macerich portfolio uses for 71,000 square feet, with another 273,000 square feet of such new-to-Macerich portfolio leases currently in negotiation as of the date of this Quarterly Report on Form 10-Q. During the year ended December 31, 2023, the Company signed leases for new stores with new-to-Macerich portfolio uses totaling over 600,000 square feet.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leased occupancy rate was 93.7%, a 0.3% increase compared to the leased occupancy rate at September 30, 2023 of 93.4% and a 0.4% sequential increase compared to the 93.3% occupancy rate at June 30, 2024.</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Company’s leases contain co-tenancy clauses. Certain Anchor or small tenant closures have become permanent, whether caused by the pandemic or otherwise, and co-tenancy clauses within certain leases may be triggered as a result. The Company does not anticipate that the negative impact of such clauses on lease revenue will be significant.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pace of bankruptcy filings involving the Company’s tenants decreased substantially in 2023 and in 2022 compared to 2021. For the year ended December 31, 2023, there were ten bankruptcy filings involving the Company’s tenants totaling fifteen leases and representing approximately 111,000 square feet of leased space and $3.6 million of annual leasing revenue at the Company’s share. Year-to-date in 2024, there have been nine bankruptcy filings involving the Company’s tenants, including the bankruptcy of Express announced on April 22, 2024, totaling 45 leases and representing approximately 312,000 square feet of leased space and $18.4 million of annual leasing revenue at the Company’s share.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the Company expects to generate positive cash flow from operations after recurring operating capital expenditures, leasing capital expenditures and payment of dividends. This assumption does not include any potential capital generated from dispositions, refinancings or issuances of common stock. To the extent available, this expected surplus will be used to fund the Company’s development and redevelopment pipeline and de-lever the Company’s balance sheet.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actively address its near-term, non-recourse loan maturities, with eight completed transactions year-to-date in 2024 totaling approximately $1.3 billion, or approximately $1.1 billion at the Company’s pro rata share. The Company has no remaining maturities in 2024. For additional information on the Company’s financing transactions in the year ended 2023 through the date of this Quarterly Report on Form 10-Q, see “Financing Activities” in Management’s Overview and Summary.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9, 2024, the Company defaulted on the $300.0 million loan on Santa Monica Place and the Company is in negotiations with the lender on the terms of this non-recourse loan.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Elevated interest rates have increased, and may continue to increase, the cost of the Company’s borrowings due to its outstanding floating-rate debt and have led, and may continue to lead, to higher interest rates on new fixed-rate debt. While interest rates have begun to decrease, they remain elevated and the Company expects to incur increased interest expense from the refinancing or extension of loans that may currently carry below-market interest rates. In certain cases, the Company has limited, and may continue to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before="160" w:after="16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Comparison of Three Months Ended September 30, 2024 and 2023 </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 increased by $6.1 million, or 3.1%, from 2023 to 2024. The increase in leasing revenue is attributed to increases of $7.7 million from the JV Transition Centers offset in part by decreases of $1.4 million from the Disposition Properties and $0.2 million from the Redevelopment Properties. Leasing revenue includes the amortization of above and below-market leases, the amortization of straight-line rents, lease termination income, percentage rent and the recovery of bad debts. The amortization of above and below-market leases increased from $0.5 million in 2023 to $0.7 million in 2024. The amortization of straight-line rents increased from $(0.6) million in 2023 to $1.1 million in 2024. Lease termination income increased from $0.1 million in 2023 to $0.2 million in 2024. Percentage rent decreased from $8.2 million in 2023 to $6.2 million in 2024. Recovery of (provisions for) bad debts decreased from $0.2 million in 2023 to $(0.1) million in 2024.</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decreased from $13.4 million in 2023 to $9.7 million in 2024. This decrease is primarily due to other income related to the Same Centers.</w:t>
      </w:r>
    </w:p>
    <w:p>
      <w:pPr>
        <w:pStyle w:val="TextBody"/>
        <w:bidi w:val="0"/>
        <w:spacing w:lineRule="auto" w:line="288" w:before="16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Companies' revenue decreased from $7.4 million in 2023 to $7.1 million in 2024 primarily due to a decrease in leasing and development fees.</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Shopping Center and Operating Expenses: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Shopping center and operating expenses decreased $1.2 million, or 1.6%, from 2023 to 2024. The decrease in shopping center and operating expenses is attributed to decreases of $0.8 million from the Redevelopment Properties and $1.9 million from the Disposition Properties offset in part by increases of $0.9 million from the JV Transition Centers and $0.6 million from the Same Centers.</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Leasing Expenses: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Leasing expenses increased from $8.8 million in 2023 to $9.9 million in 2024 primarily due to an increase in compensation expense.</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 Companies' Operating Expenses: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Companies' operating expenses increased $2.3 million from 2023 to 2024 due to an increase in compensation expense. </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increased $2.5 million from 2023 to 2024. The increase in depreciation and amortization is attributed to an increase of $4.8 million from the JV Transition Centers and $0.1 million from the Redevelopment Properties offset in part by decreases of $2.8 million from the Same Centers and $0.3 million from the Disposition Properties. Additionally, $0.7 million of the increase is attributable to Santa Monica Place.</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rPr>
        <w:t>Interest expense increased $3.7 million from 2023 to 2024. The increase in interest expense is attributed to increases of $7.1 million from the JV Transition Centers and $1.0 million from the Same Centers offset in part by decreases of $3.4 million from the financing arrangement (See Note 12—Financing Arrangement in the Company's Notes to the Consolidated Financial Statements), $2.1 million from the Redevelopment Properties, $0.9 million from the Disposition Properties and $1.4 million from lower outstanding balances and interest rates on the Company's revolving loan facility. Additionally, $3.4 million of the increase is attributable to Santa Monica Place, which includes default interest expense of $3.1 million. The decrease in interest expense from the financing arrangement is primarily due to Chandler Freehold no longer being accounted for as a financing arrangement (See Note 12</w:t>
      </w:r>
      <w:r>
        <w:rPr>
          <w:color w:val="000000"/>
          <w:shd w:fill="FFFFFF" w:val="clear"/>
        </w:rPr>
        <w:t>—</w:t>
      </w:r>
      <w:r>
        <w:rPr>
          <w:rFonts w:ascii="Times New Roman;sans-serif" w:hAnsi="Times New Roman;sans-serif"/>
          <w:b w:val="false"/>
          <w:color w:val="000000"/>
          <w:sz w:val="20"/>
          <w:shd w:fill="FFFFFF" w:val="clear"/>
        </w:rPr>
        <w:t xml:space="preserve">Financing Arrangement in the </w:t>
      </w:r>
      <w:r>
        <w:rPr>
          <w:rFonts w:ascii="Times New Roman;sans-serif" w:hAnsi="Times New Roman;sans-serif"/>
          <w:b w:val="false"/>
          <w:color w:val="000000"/>
          <w:sz w:val="20"/>
        </w:rPr>
        <w:t>Notes to the Consolidated Financial Statements).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in Loss of Unconsolidated Joint Ventures: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unconsolidated joint ventures decreased $32.5 million from 2023 to 2024. The decrease in equity in loss of unconsolidated joint ventures is primarily due to an impairment loss of $107.7 million at Country Club Plaza in 2023 offset in part in 2024 by $67.0 million of impairment losses recognized as a result of the reduction in the estimated holding period of properties held by certain unconsolidated joint ventures.</w:t>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Sale or Write Down of Assets, net: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loss on sale or write down of assets, net decreased $132.7 million from 2023 to 2024 primarily due to the loss of $144.7 million as a result of the reduction in the estimated holding period of Fashion Outlets of Niagara Falls in 2023 and gain of $42.8 million from the sale of the Company's ownership interest in Biltmore Fashion Park in 2024 offset in part by $59.3 million of impairment losses recognized as a result of the reduction in the estimated holding period of certain properties. </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loss decreased $159.9 million from 2023 to 2024. The decrease in net loss is primarily due to the 2023 impairment losses of $107.7 million at Country Club Plaza and $144.7 million at Fashion Outlets of Niagara Falls and $42.8 million gain from the sale of the Company's ownership interest in Biltmore Fashion Park in 2024 offset in part by 2024 impairment losses of $67.0 million recognized as a result of the reduction in the estimated holding period of properties held by certain unconsolidated joint ventures and $59.3 million recognized as a result of the reduction in the estimated holding period of certain properties.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Funds From Operations ("FFO"):</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rPr>
        <w:t xml:space="preserve">Primarily as a result of the factors mentioned above, </w:t>
      </w:r>
      <w:r>
        <w:rPr>
          <w:rFonts w:ascii="Times New Roman;sans-serif" w:hAnsi="Times New Roman;sans-serif"/>
          <w:b w:val="false"/>
          <w:color w:val="000000"/>
          <w:sz w:val="20"/>
          <w:shd w:fill="FFFFFF" w:val="clear"/>
        </w:rPr>
        <w:t xml:space="preserve">FFO attributable to common stockholders and unit holders—diluted, excluding financing expense in connection with Chandler Freehold, accrued default interest expense and loss on non-real estate investments </w:t>
      </w:r>
      <w:r>
        <w:rPr>
          <w:rFonts w:ascii="Times New Roman;sans-serif" w:hAnsi="Times New Roman;sans-serif"/>
          <w:b w:val="false"/>
          <w:color w:val="000000"/>
          <w:sz w:val="20"/>
        </w:rPr>
        <w:t xml:space="preserve">decreased 14.5% from </w:t>
      </w:r>
      <w:r>
        <w:rPr>
          <w:rFonts w:ascii="Times New Roman;sans-serif" w:hAnsi="Times New Roman;sans-serif"/>
          <w:b w:val="false"/>
          <w:color w:val="000000"/>
          <w:sz w:val="20"/>
          <w:shd w:fill="FFFFFF" w:val="clear"/>
        </w:rPr>
        <w:t>$100.6 million</w:t>
      </w:r>
      <w:r>
        <w:rPr>
          <w:color w:val="000000"/>
        </w:rPr>
        <w:t xml:space="preserve"> </w:t>
      </w:r>
      <w:r>
        <w:rPr>
          <w:rFonts w:ascii="Times New Roman;sans-serif" w:hAnsi="Times New Roman;sans-serif"/>
          <w:b w:val="false"/>
          <w:color w:val="000000"/>
          <w:sz w:val="20"/>
        </w:rPr>
        <w:t xml:space="preserve">in 2023 to </w:t>
      </w:r>
      <w:r>
        <w:rPr>
          <w:rFonts w:ascii="Times New Roman;sans-serif" w:hAnsi="Times New Roman;sans-serif"/>
          <w:b w:val="false"/>
          <w:color w:val="000000"/>
          <w:sz w:val="20"/>
          <w:shd w:fill="FFFFFF" w:val="clear"/>
        </w:rPr>
        <w:t>$86.0 million</w:t>
      </w:r>
      <w:r>
        <w:rPr>
          <w:color w:val="000000"/>
        </w:rPr>
        <w:t xml:space="preserve"> </w:t>
      </w:r>
      <w:r>
        <w:rPr>
          <w:rFonts w:ascii="Times New Roman;sans-serif" w:hAnsi="Times New Roman;sans-serif"/>
          <w:b w:val="false"/>
          <w:color w:val="000000"/>
          <w:sz w:val="20"/>
        </w:rPr>
        <w:t>in 2024. For a reconciliation of net loss (income) attributable to the Company, the most directly comparable GAAP financial measure, to FFO attributable to common stockholders and unit holders</w:t>
      </w:r>
      <w:r>
        <w:rPr>
          <w:color w:val="000000"/>
          <w:shd w:fill="FFFFFF" w:val="clear"/>
        </w:rPr>
        <w:t>—</w:t>
      </w:r>
      <w:r>
        <w:rPr>
          <w:rFonts w:ascii="Times New Roman;sans-serif" w:hAnsi="Times New Roman;sans-serif"/>
          <w:b w:val="false"/>
          <w:color w:val="000000"/>
          <w:sz w:val="20"/>
          <w:shd w:fill="FFFFFF" w:val="clear"/>
        </w:rPr>
        <w:t>diluted</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shd w:fill="FFFFFF" w:val="clear"/>
        </w:rPr>
        <w:t>FFO attributable to common stockholders and unit holders, excluding financing expense in connection with Chandler Freehold, accrued default interest expense and loss on non-real estate investments—diluted</w:t>
      </w:r>
      <w:r>
        <w:rPr>
          <w:rFonts w:ascii="Times New Roman;sans-serif" w:hAnsi="Times New Roman;sans-serif"/>
          <w:b w:val="false"/>
          <w:color w:val="000000"/>
          <w:sz w:val="20"/>
        </w:rPr>
        <w:t>, see "Funds From Operations ("FFO")"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 xml:space="preserve">Comparison of Nine Months Ended September 30, 2024 and 2023 </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 increased by $4.1 million, or 0.7%, from 2023 to 2024. The increase in leasing revenue is attributed to an increase of $16.3 million from the JV Transition Centers offset in part by decreases of $3.3 million from the Same Centers, $4.4 million from the Disposition Properties and $4.5 million from the Redevelopment Properties. Leasing revenue includes the amortization of above and below-market leases, the amortization of straight-line rents, lease termination income, percentage rent and the recovery of bad debts. The amortization of above and below-market leases increased from $2.1 million in 2023 to $3.2 million in 2024. Straight-line rents increased from $(3.2) million in 2023 to $(2.6) million in 2024. Lease termination income decreased from $1.8 million in 2023 to $1.4 million in 2024. Percentage rent decreased from $18.2 million in 2023 to $11.7 million in 2024. (Provisions for) recovery of bad debts increased from $1.9 million in 2023 to $(4.6) million in 2024.</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decreased from $34.1 million in 2023 to $29.4 million in 2024. This decrease is primarily due to other income related to the Same Centers.</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Shopping Center and Operating Expenses: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Shopping center and operating expenses increased $3.0 million, or 1.4%, from 2023 to 2024. The increase in shopping center and operating expenses is attributed to an increase of $4.8 million from the Same Centers, which is primarily due to increased insurance, utilities and snow removal costs, and $2.4 million from the JV Transition Centers offset in part by decreases of $2.2 million from the Redevelopment Properties and $3.3 million from the Disposition Properties. Additionally, $1.3 million of the increase is attributable to Santa Monica Place.</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Leasing Expenses: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Leasing expenses increased from $26.9 million in 2023 to $30.0 million in 2024 due primarily to an increase in compensation expense.</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 Companies' Operating Expenses: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Companies' operating expenses increased $4.6 million from 2023 to 2024 due primarily to an increase in compensation expense. </w:t>
      </w:r>
    </w:p>
    <w:p>
      <w:pPr>
        <w:pStyle w:val="TextBody"/>
        <w:bidi w:val="0"/>
        <w:spacing w:lineRule="auto" w:line="288" w:before="160" w:after="160"/>
        <w:ind w:left="0" w:right="0" w:firstLine="405"/>
        <w:jc w:val="left"/>
        <w:rPr>
          <w:rFonts w:ascii="Times New Roman;sans-serif" w:hAnsi="Times New Roman;sans-serif"/>
          <w:b w:val="false"/>
          <w:i/>
          <w:color w:val="000000"/>
          <w:sz w:val="20"/>
        </w:rPr>
      </w:pPr>
      <w:r>
        <w:rPr>
          <w:rFonts w:ascii="Times New Roman;sans-serif" w:hAnsi="Times New Roman;sans-serif"/>
          <w:b w:val="false"/>
          <w:i/>
          <w:color w:val="000000"/>
          <w:sz w:val="20"/>
        </w:rPr>
        <w:t>REIT General and Administrative Expenses: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REIT general and administrative expenses decreased $1.0 million from 2023 to 2024 due primarily to a decrease in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increased $0.7 million from 2023 to 2024. The increase in depreciation and amortization is attributed to increases of $8.3 million from the JV Transition Centers and $1.0 million from the Redevelopment Properties offset in part by decreases of $10.3 million from the Same Centers and $1.2 million from the Disposition Properties. Additionally, $2.9 million of the offset is attributable to Santa Monica Place.</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rPr>
        <w:t>Interest expense increased $1.5 million from 2023 to 2024. The increase in interest expense is attributed to increases of $10.3 million from the JV Transition Centers, $2.0 million from the Same Centers and $0.6 million from higher interest rates and outstanding balances on the Company's revolving loan facility, offset in part by decreases of $11.3 million from the financing arrangement discussed in Note 12 in the Company's Notes to the Consolidated Financial Statements, $5.0 million from the Redevelopment Properties and $1.3 million from the Disposition Properties. Additionally, $6.2 million of the increase is attributable to Santa Monica Place, which includes default interest expense of $5.8 million. The decrease in interest expense from the financing arrangement is primarily due to the change in fair value of the underlying properties and the mortgage notes payable on the underlying properties and Chandler Freehold no longer being accounted for as a financing arrangement (See Note 12</w:t>
      </w:r>
      <w:r>
        <w:rPr>
          <w:color w:val="000000"/>
          <w:shd w:fill="FFFFFF" w:val="clear"/>
        </w:rPr>
        <w:t>—</w:t>
      </w:r>
      <w:r>
        <w:rPr>
          <w:rFonts w:ascii="Times New Roman;sans-serif" w:hAnsi="Times New Roman;sans-serif"/>
          <w:b w:val="false"/>
          <w:color w:val="000000"/>
          <w:sz w:val="20"/>
          <w:shd w:fill="FFFFFF" w:val="clear"/>
        </w:rPr>
        <w:t xml:space="preserve">Financing Arrangement in the </w:t>
      </w:r>
      <w:r>
        <w:rPr>
          <w:rFonts w:ascii="Times New Roman;sans-serif" w:hAnsi="Times New Roman;sans-serif"/>
          <w:b w:val="false"/>
          <w:color w:val="000000"/>
          <w:sz w:val="20"/>
        </w:rPr>
        <w:t>Notes to the Consolidated Financial Statements).</w:t>
      </w:r>
    </w:p>
    <w:p>
      <w:pPr>
        <w:pStyle w:val="TextBody"/>
        <w:bidi w:val="0"/>
        <w:spacing w:lineRule="auto" w:line="288" w:before="160" w:after="16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in Loss of Unconsolidated Joint Ventures:</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shd w:fill="FFFFFF" w:val="clear"/>
        </w:rPr>
        <w:t>Equity in loss of unconsolidated joint ventures increased $28.8 million from 2023 to 2024</w:t>
      </w:r>
      <w:r>
        <w:rPr>
          <w:rFonts w:ascii="Times New Roman;sans-serif" w:hAnsi="Times New Roman;sans-serif"/>
          <w:b w:val="false"/>
          <w:color w:val="000000"/>
          <w:sz w:val="20"/>
        </w:rPr>
        <w:t>. The increase in equity in loss of unconsolidated joint ventures is primarily due to the write-down of the Company's investment in Los Angeles Premium Outlets of $57.7 million in 2024 and impairment losses of $120.6 million as a result of the reduction in the estimated holding period of properties held by certain unconsolidated joint ventures offset in part by the impairment losses in 2023 of $51.4 million at MS Portfolio LLC and $107.7 million at Country Club Plaza, as a result of the reduction in the estimated holding period (See Note 4 – Investments in Unconsolidated Joint Ventures in the Company’s Notes to the Consolidated Financial Statements).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Gain (loss) on Sale or Write Down of Assets, net:</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or write down of assets, net increased $407.5 million from 2023 to 2024. The increase is primarily due to the gains recognized in 2024 of $334.3 million relating to the Company no longer accounting for its investment in Chandler Fashion Center as a financing arrangement (See Note 12 – Financing Arrangement and Note 16 – Dispositions in the Company’s Notes to the Consolidated Financial Statements) and $42.8 million from the sale of the Company's ownership interest in Biltmore Fashion Park and an impairment loss of $144.7 million recognized in 2023 as a result of the reduction in the estimated holding period of Fashion Outlets of Niagara Falls offset in part by impairment losses in 2024 of $108.0 million recognized as a result of the reduction in the estimated holding period of certain properties.</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Income (Loss):</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shd w:fill="FFFFFF" w:val="clear"/>
        </w:rPr>
        <w:t>Net income (loss) in</w:t>
      </w:r>
      <w:r>
        <w:rPr>
          <w:rFonts w:ascii="Times New Roman;sans-serif" w:hAnsi="Times New Roman;sans-serif"/>
          <w:b w:val="false"/>
          <w:color w:val="000000"/>
          <w:sz w:val="20"/>
        </w:rPr>
        <w:t>creased $366.5 million from 2023 to 2024. The increase in net income (loss) is primarily due to the gain on sale of assets discussed above offset in part by impairment losses recognized as a result of the reduction in the estimated holding period of certain unconsolidated joint ventures, 2024 impairment losses at Santa Monica Place and Los Angeles Premium Outlets and by the 2023 write-down of assets as a result of the reduction in the estimated holding period at MS Portfolio LLC, and Country Club Plaza along with the other variances noted above.</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Funds From Operations ("FFO"):</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shd w:fill="FFFFFF" w:val="clear"/>
        </w:rPr>
        <w:t>Primarily as a result of the factors mentioned above, FFO attributable to common stockholders and unit holders—diluted, excluding financing expense in connection with Chandler Freehold, accrued default interest expense and loss on non-real estate investments</w:t>
      </w:r>
      <w:r>
        <w:rPr>
          <w:color w:val="000000"/>
        </w:rPr>
        <w:t xml:space="preserve"> </w:t>
      </w:r>
      <w:r>
        <w:rPr>
          <w:rFonts w:ascii="Times New Roman;sans-serif" w:hAnsi="Times New Roman;sans-serif"/>
          <w:b w:val="false"/>
          <w:color w:val="000000"/>
          <w:sz w:val="20"/>
        </w:rPr>
        <w:t xml:space="preserve">decreased 12.9% from </w:t>
      </w:r>
      <w:r>
        <w:rPr>
          <w:rFonts w:ascii="Times New Roman;sans-serif" w:hAnsi="Times New Roman;sans-serif"/>
          <w:b w:val="false"/>
          <w:color w:val="000000"/>
          <w:sz w:val="20"/>
          <w:shd w:fill="FFFFFF" w:val="clear"/>
        </w:rPr>
        <w:t xml:space="preserve">$285.5 million </w:t>
      </w:r>
      <w:r>
        <w:rPr>
          <w:rFonts w:ascii="Times New Roman;sans-serif" w:hAnsi="Times New Roman;sans-serif"/>
          <w:b w:val="false"/>
          <w:color w:val="000000"/>
          <w:sz w:val="20"/>
        </w:rPr>
        <w:t xml:space="preserve">in 2023 to </w:t>
      </w:r>
      <w:r>
        <w:rPr>
          <w:rFonts w:ascii="Times New Roman;sans-serif" w:hAnsi="Times New Roman;sans-serif"/>
          <w:b w:val="false"/>
          <w:color w:val="000000"/>
          <w:sz w:val="20"/>
          <w:shd w:fill="FFFFFF" w:val="clear"/>
        </w:rPr>
        <w:t>$248.7 million</w:t>
      </w:r>
      <w:r>
        <w:rPr>
          <w:color w:val="000000"/>
        </w:rPr>
        <w:t xml:space="preserve"> </w:t>
      </w:r>
      <w:r>
        <w:rPr>
          <w:rFonts w:ascii="Times New Roman;sans-serif" w:hAnsi="Times New Roman;sans-serif"/>
          <w:b w:val="false"/>
          <w:color w:val="000000"/>
          <w:sz w:val="20"/>
        </w:rPr>
        <w:t>in 2024. For a reconciliation of net income (loss) attributable to the Company, the most directly comparable GAAP financial measure, to FFO attributable to common stockholders and unit holders</w:t>
      </w:r>
      <w:r>
        <w:rPr>
          <w:color w:val="000000"/>
          <w:shd w:fill="FFFFFF" w:val="clear"/>
        </w:rPr>
        <w:t>—</w:t>
      </w:r>
      <w:r>
        <w:rPr>
          <w:rFonts w:ascii="Times New Roman;sans-serif" w:hAnsi="Times New Roman;sans-serif"/>
          <w:b w:val="false"/>
          <w:color w:val="000000"/>
          <w:sz w:val="20"/>
          <w:shd w:fill="FFFFFF" w:val="clear"/>
        </w:rPr>
        <w:t>diluted</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shd w:fill="FFFFFF" w:val="clear"/>
        </w:rPr>
        <w:t>FFO attributable to common stockholders and unit holders, excluding financing expense in connection with Chandler Freehold, accrued default interest expense and loss on non-real estate investments—diluted</w:t>
      </w:r>
      <w:r>
        <w:rPr>
          <w:rFonts w:ascii="Times New Roman;sans-serif" w:hAnsi="Times New Roman;sans-serif"/>
          <w:b w:val="false"/>
          <w:color w:val="000000"/>
          <w:sz w:val="20"/>
        </w:rPr>
        <w:t>, see "Funds From Operations ("FFO")" below.</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decreased $17.5 million from 2023 to 2024. The decrease is primarily due to the changes in assets and liabilities and the results, as discussed above.</w:t>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was $17.4 million in 2024 compared to cash provided by investing activities of $32.3 million in 2023. The increase in cash used in investing activities is primarily attributed to decreases in distributions from unconsolidated joint ventures of $142.8 million and increases in development, redevelopment and renovation of $26.7 million offset in part by increases in proceeds from the sale of assets of $87.7 million, decreases in contributions to unconsolidated joint ventures of $18.6 million and decreases in property improvements of $6.4 million and acquisitions of property of $4.8 million. The decrease in distributions from unconsolidated joint ventures is primarily due to the distribution of net loan proceeds from the Scottsdale Fashion Square refinance in 2023 (See “Financing Activities” in Management’s Overview and Summary).</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decreased $79.9 million from 2023 to 2024. The decrease in cash used in financing activities is primarily due to a decrease in payments on mortgages, bank and other notes payable of $196.4 million, an increase in proceeds from stock offerings under the ATM Program of $149.0 million and a decrease in deferred financing costs of $22.6 million offset in part by a decrease in proceeds from mortgages, bank and other notes payable of $284.0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revolving loan facility.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is focused on implementing the Path Forward Plan, including its goal to reduce its Net Debt to Adjusted EBITDA leverage ratio to a lower level over the next three to four years. The Company may achieve this goal, and other goals set in connection with the Path Forward Plan, through a variety of methods and the timing, extent and impact of any transactions that the Company has or will undertake while implementing the Path Forward Plan are indeterminable at this time. In order to de-leverage its capital structure, the Company may pursue asset dispositions and acquisitions, experience organic growth in EBITDA as tenants in its lease pipeline open for business, be selective about undertaking new development and redevelopment projects, and/or issue common stock. Asset sales will focus on whether a property is core to the Company’s strategy and may include defaulting on certain mortgage debts on the Company's properties and giving possession of such secured properties to the lender. </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Uses of Capital</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capital expenditures incurred at the Centers (at the Company's pro rata share): </w:t>
      </w:r>
    </w:p>
    <w:tbl>
      <w:tblPr>
        <w:tblW w:w="8965" w:type="dxa"/>
        <w:jc w:val="left"/>
        <w:tblInd w:w="0" w:type="dxa"/>
        <w:tblLayout w:type="fixed"/>
        <w:tblCellMar>
          <w:top w:w="28" w:type="dxa"/>
          <w:left w:w="28" w:type="dxa"/>
          <w:bottom w:w="28" w:type="dxa"/>
          <w:right w:w="28" w:type="dxa"/>
        </w:tblCellMar>
      </w:tblPr>
      <w:tblGrid>
        <w:gridCol w:w="2077"/>
        <w:gridCol w:w="1831"/>
        <w:gridCol w:w="1837"/>
        <w:gridCol w:w="255"/>
        <w:gridCol w:w="1000"/>
        <w:gridCol w:w="131"/>
        <w:gridCol w:w="131"/>
        <w:gridCol w:w="131"/>
        <w:gridCol w:w="131"/>
        <w:gridCol w:w="255"/>
        <w:gridCol w:w="1000"/>
        <w:gridCol w:w="186"/>
      </w:tblGrid>
      <w:tr>
        <w:trPr/>
        <w:tc>
          <w:tcPr>
            <w:tcW w:w="207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Consolidated Centers:</w:t>
            </w:r>
          </w:p>
        </w:tc>
        <w:tc>
          <w:tcPr>
            <w:tcW w:w="1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property, building improvement and equipment(1)</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redevelopment, expansions and renovations of Centers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allowances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leasing charges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152,492 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153,196 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Unconsolidated Joint Venture Centers:</w:t>
            </w:r>
          </w:p>
        </w:tc>
        <w:tc>
          <w:tcPr>
            <w:tcW w:w="13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property, building improvement and equipment</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redevelopment, expansions and renovations of Centers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allowances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leasing charges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(1)For the nine months ended September 30, 2024, this includes the cash paid of $36.4 million on May 14, 2024, for the Company’s acquisition of its joint venture partner’s 40% interest in Arrowhead Towne Center and South Plains Mall. For the nine months ended September 30, 2023, this includes $46.7 million relating to the acquisition of five former Sears parcels in the MS Portfolio LLC joint venture (See “Acquisitions” in Management’s Overview and Summary).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expects amounts to be incurred during the next twelve months for tenant allowances and deferred leasing charges to be comparable to 2024. The Company expects to incur approximately $35.0 million to $45.0 million during the remainder of 2024 for development, redevelopment, expansion and renovations. Capital for these expenditures, developments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and/or redevelopments has been, and is expected to continue to be, obtained from a combination of cash on hand, debt or equity financings, which are expected to include borrowings under the Company's revolving loan facility and sales of common stock, from property financings and construction loans, each to the extent available. The Company will be very selective in undertaking any future development or redevelopment projects and may choose to pause existing projects if the Company believes they are no longer economically viable.</w:t>
      </w:r>
    </w:p>
    <w:p>
      <w:pPr>
        <w:pStyle w:val="TextBody"/>
        <w:bidi w:val="0"/>
        <w:spacing w:lineRule="auto" w:line="288" w:before="16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Sources of Capital</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generated liquidity in the past, and may continue to do so in the future, through equity offerings and issuances, property refinancings, joint venture transactions and the sale of non-core assets. Asset sales will focus on whether a property is core to the Company's strategy and may include defaulting on certain mortgage debts on the Company's properties and giving possession of such secured properties to the lender. For example, the Company sold The Marketplace at Flagstaff in Flagstaff, Arizona on May 2, 2023, Superstition Springs Power Center in Mesa, Arizona on July 17, 2023, and the Company's joint venture sold One Westside in Los Angeles, California on December 27, 2023. Since implementing the Path Forward Plan, the Company's joint venture sold Country Club Plaza in Kansas City, Missouri on June 28, 2024 and the Company sold its 50% interest in Biltmore Fashion Park in Phoenix, Arizona on July 31, 2024. The Company used its share of proceeds from these transactions to pay down its revolving loan facility and other debt obligations. In addition, the Company is under contract to sell The Oaks, which is expected to close during the fourth quarter of 2024, subject to customary closing conditions. During the year ended December 31, 2023 and nine months ended September 30, 2024, the Company and certain joint venture partners sold various land parcels in separate transactions for aggregate proceeds of $16.4 million and $3.4 million, respectively (at the Company's share), which the Company used to pay down debt and for other general corporate purposes.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March 26, 2021, the Company registered an "at the market" offering program, pursuant to which the Company may issue and sell shares of its common stock having an aggregate offering price of up to $500 million under the ATM Program, in amounts and at times to be determined by the Company. During the three months ended September 30, 2024, 9.4 million shares of common stock were issued under the ATM Program for gross proceeds of $151.7 million at a weighted average share price of $16.14. The ATM Program was fully utilized as of September 30, 2024 and is no longer active.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issuances under the ATM Program as of September 30, 2024.</w:t>
      </w:r>
    </w:p>
    <w:tbl>
      <w:tblPr>
        <w:tblW w:w="8381" w:type="dxa"/>
        <w:jc w:val="left"/>
        <w:tblInd w:w="0" w:type="dxa"/>
        <w:tblLayout w:type="fixed"/>
        <w:tblCellMar>
          <w:top w:w="28" w:type="dxa"/>
          <w:left w:w="28" w:type="dxa"/>
          <w:bottom w:w="28" w:type="dxa"/>
          <w:right w:w="28" w:type="dxa"/>
        </w:tblCellMar>
      </w:tblPr>
      <w:tblGrid>
        <w:gridCol w:w="1054"/>
        <w:gridCol w:w="926"/>
        <w:gridCol w:w="929"/>
        <w:gridCol w:w="109"/>
        <w:gridCol w:w="109"/>
        <w:gridCol w:w="109"/>
        <w:gridCol w:w="729"/>
        <w:gridCol w:w="729"/>
        <w:gridCol w:w="732"/>
        <w:gridCol w:w="221"/>
        <w:gridCol w:w="865"/>
        <w:gridCol w:w="114"/>
        <w:gridCol w:w="377"/>
        <w:gridCol w:w="1102"/>
        <w:gridCol w:w="276"/>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and 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ATM Program</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Issued</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Proceeds</w:t>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Sales Commissions</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credit markets have experienced and may continue to experience a slowdown stemming from broader market issues pertaining to various factors, including among others, the health of regional banks, prevailing market sentiment regarding various commercial real estate sectors and interest rate increases imposed by the Federal Reserve. While interest rates have begun to decrease, they remain elevated and the Company expects to incur increased interest expense from the refinancing or extension of loans that may carry below-market interest rates. In addition, increases in the Company's proportion of floating rate debt will cause it to be subject to interest rate fluctuations in the future.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total outstanding loan indebtedness, which includes mortgages and other notes payable, at September 30, 2024 was $6.78 billion (consisting of $4.34 billion of consolidated debt, less $0.03 billion of noncontrolling interests, plus $2.47 billion of its pro rata share of unconsolidated joint venture debt). The Company has no remaining maturities in 2024.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majority of the Company's debt consists of fixed-rate conventional mortgage notes collateralized by individual properties. The Company expects that all of the maturities during the next twelve months will be refinanced, restructured, extended and/or paid off from the Company's revolving loan facility or cash on hand, with the exception of Santa Monica Place (See “—Financing Activities” in Management’s Overview and Summary).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as of September 30, 2024, the Company was contingently liable for $41.1 million in letters of credit guaranteeing performance by the Company of certain obligations relating to the Centers. As of September 30, 2024, $40.9 million of these letters of credit were secured by restricted cash. On October 30, 2024, $35.0 million of these letters of credit secured by restricted cash was canceled and is no longer restricted cash. The Company does not believe that these letters of credit will result in a liability to the Company.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actively address its near-term, non-recourse loan maturities, with eight completed transactions year-to-date in 2024 totaling approximately $1.3 billion, or approximately $1.1 billion at the Company’s pro rata share. For additional information on the Company’s financing transactions in the year ended 2023 through the date of this Quarterly Report on Form 10-Q, see “Financing Activities” in Management’s Overview and Summary.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Previously, the Company had a $525.0 million revolving loan facility, which was scheduled to mature on April 14, 2024. On September 11, 2023, the Company and the Operating Partnership entered into an amended and restated credit agreement, which amended and restated their prior credit agreement, and provides for an aggregate $650.0 million revolving loan facility that matures on February 1, 2027, with a one-year extension option. The revolving loan facility can be expanded up to $950.0 million, subject to receipt of lender commitments and other conditions. Concurrently with the entry into the amended and restated credit agreement, the Company drew $152.0 million of the amount available under the revolving loan facility and used the proceeds to repay in full amounts outstanding under its prior credit facility. All obligations under the credit facility are guaranteed unconditionally by the Company and are secured in the form of mortgages on certain wholly-owned assets and pledges of equity interests held by certain of the Company’s subsidiaries. The new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As of September 30, 2024, the borrowing rate was SOFR plus a spread of 2.35%. As of September 30, 2024, there were no borrowings outstanding under the credit facility. Unamortized deferred finance costs were $12.6 million as of September 30, 2024, which are netted against balances outstanding or as an asset when no borrowings are outstanding on the credit facility which was the case as of September 30, 2024. As of September 30, 2024, the Company’s availability under the revolving loan facility for additional borrowings was $649.8 million.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and distributions for the nine months ended September 30, 2024 were $120.1 million (including distributions from consolidated joint ventures of $1.1 million), which were funded by operations.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Company was in compliance with all applicable loan covenants under its agreements.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Company had cash and cash equivalents of $116.5 million.</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Material Cash Commitments: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schedule of material cash commitments as of September 30, 2024 for the Consolidated Centers over the periods in which they are expected to be paid (in thousands):</w:t>
      </w:r>
    </w:p>
    <w:tbl>
      <w:tblPr>
        <w:tblW w:w="10205" w:type="dxa"/>
        <w:jc w:val="left"/>
        <w:tblInd w:w="0" w:type="dxa"/>
        <w:tblLayout w:type="fixed"/>
        <w:tblCellMar>
          <w:top w:w="28" w:type="dxa"/>
          <w:left w:w="28" w:type="dxa"/>
          <w:bottom w:w="28" w:type="dxa"/>
          <w:right w:w="28" w:type="dxa"/>
        </w:tblCellMar>
      </w:tblPr>
      <w:tblGrid>
        <w:gridCol w:w="913"/>
        <w:gridCol w:w="801"/>
        <w:gridCol w:w="806"/>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 Due by Period</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Commitments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br/>
              <w:t>five years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obligations (includes expected interest payments)(1)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1,643,439 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1,719,843 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(1)Interest payments on floating rate debt were based on rates in effect at September 30, 2024.</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(2)See Note 8—Leases in the Company's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Funds From Operations ("FFO")</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rPr>
        <w:t xml:space="preserve">The Company uses FFO in addition to net income to report its operating and financial results and considers FFO and FFO </w:t>
      </w:r>
      <w:r>
        <w:rPr>
          <w:color w:val="000000"/>
        </w:rPr>
        <w:t>—</w:t>
      </w:r>
      <w:r>
        <w:rPr>
          <w:rFonts w:ascii="Times New Roman;sans-serif" w:hAnsi="Times New Roman;sans-serif"/>
          <w:b w:val="false"/>
          <w:color w:val="000000"/>
          <w:sz w:val="20"/>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Prior to June 13, 2024, the Company accounted for its joint venture in Chandler Freehold as a financing arrangement. In connection with this treatment, the Company recognized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 On November 16, 2023, the Company acquired its joint venture partner’s 49.9% ownership interest in Freehold Raceway Mall and as a result, this property is no longer part of the financing arrangement and is 100% owned by the Company. On June 13, 2024, the partnership agreement between the Company and its partner was amended. As a result, the Company no longer accounts for its investment in Chandler Fashion Center as a financing arrangement. Effective June 13, 2024, the Company accounts for its investment in Chandler Fashion Center under the equity method of accounting (See Note 12 – Financing Arrangement and Note 16 – Dispositions in the Notes to the Consolidated Financial Statements). References to Chandler Freehold for the period November 16, 2023 through June 13, 2024 shall be deemed to only refer to Chandler Fashion Center.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presents FFO excluding financing expense in connection with Chandler Freehold, gain or loss on extinguishment of debt, accrued default interest expense and gain or loss on non-real estate investments.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more meaningful measure of its operating results in comparison to the operating results of other REITs. In addition, the Company believes that FFO excluding financing expense in connection with Chandler Freehold, impact associated with extinguishment of debt, accrued default interest expense and impact of non-cash changes in the market value of non-real estate investments provides useful supplemental information regarding the Company’s performance as it shows a more meaningful and consistent comparison of the Company’s operating performance and allows investors to more easily compare the Company’s results. On March 19, 2024, the Company closed on a three-year extension of the Fashion Outlets of Niagara Falls non-recourse loan and all default interest expense was reversed. Effective April 9, 2024, default interest expense has been accrued on the non-recourse loan on Santa Monica Place. GAAP requires that the Company accrue default interest expense, which is not expected to be paid and is expected to be reversed once a loan is modified or once title to the mortgaged loan collateral is transferred. The Company believes that the accrual of default interest on non-recourse loans, and the related reversal thereof should be excluded. The Company holds certain non-real estate investments that are subject to mark to market changes every quarter. These investments are not core to the Company's business, and the changes to market value and the related gain or loss are entirely non-cash in nature. As a result, the Company believes that the gain or loss on non-real estate investments should be excluded. In the first quarter of 2024, the Company updated its presentation to exclude gain or loss on non-real estate investments for the reasons noted above. The Company recast the presentation for prior periods to reflect this change.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FFO does not represent cash flow from operations as defined by GAAP, should not be considered as an alternative to net income (loss) as defined by GAAP, and is not indicative of cash available to fund all cash flow needs. The Company also cautions that FFO, as presented, may not be comparable to similarly titled measures reported by other real estate investment trusts.</w:t>
      </w:r>
    </w:p>
    <w:p>
      <w:pPr>
        <w:pStyle w:val="TextBody"/>
        <w:bidi w:val="0"/>
        <w:spacing w:lineRule="auto" w:line="288" w:before="160" w:after="160"/>
        <w:ind w:left="0" w:right="0" w:firstLine="495"/>
        <w:jc w:val="left"/>
        <w:rPr/>
      </w:pPr>
      <w:r>
        <w:rPr>
          <w:rFonts w:ascii="Times New Roman;sans-serif" w:hAnsi="Times New Roman;sans-serif"/>
          <w:b w:val="false"/>
          <w:color w:val="000000"/>
          <w:sz w:val="20"/>
        </w:rPr>
        <w:t>Management compensates for the limitations of FFO by providing investors with financial statements prepared according to GAAP, along with this detailed discussion of FFO and a reconciliation of net (loss) income to FFO and FFO</w:t>
      </w:r>
      <w:r>
        <w:rPr>
          <w:color w:val="000000"/>
        </w:rPr>
        <w:t>—</w:t>
      </w:r>
      <w:r>
        <w:rPr>
          <w:rFonts w:ascii="Times New Roman;sans-serif" w:hAnsi="Times New Roman;sans-serif"/>
          <w:b w:val="false"/>
          <w:color w:val="000000"/>
          <w:sz w:val="20"/>
        </w:rPr>
        <w:t>diluted. Management believes that to further understand the Company's performance, FFO should be compared with the Company's reported net income (loss) and considered in addition to cash flows in accordance with GAAP, as presented in the Company's consolidated financial statements. The following reconciles net income (loss) attributable to the Company to FFO and FFO</w:t>
      </w:r>
      <w:r>
        <w:rPr>
          <w:color w:val="000000"/>
        </w:rPr>
        <w:t>—</w:t>
      </w:r>
      <w:r>
        <w:rPr>
          <w:rFonts w:ascii="Times New Roman;sans-serif" w:hAnsi="Times New Roman;sans-serif"/>
          <w:b w:val="false"/>
          <w:color w:val="000000"/>
          <w:sz w:val="20"/>
        </w:rPr>
        <w:t>diluted attributable to common stockholders and unit holders-basic and diluted, excluding financing expense in connection with Chandler Freehold, accrued default interest expense and loss on non-real estate investments for the three and nine months ended September 30, 2024 and 2023 (dollars and shares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06"/>
        <w:gridCol w:w="1295"/>
        <w:gridCol w:w="1300"/>
        <w:gridCol w:w="109"/>
        <w:gridCol w:w="109"/>
        <w:gridCol w:w="109"/>
        <w:gridCol w:w="207"/>
        <w:gridCol w:w="812"/>
        <w:gridCol w:w="115"/>
        <w:gridCol w:w="115"/>
        <w:gridCol w:w="115"/>
        <w:gridCol w:w="115"/>
        <w:gridCol w:w="207"/>
        <w:gridCol w:w="812"/>
        <w:gridCol w:w="115"/>
        <w:gridCol w:w="109"/>
        <w:gridCol w:w="109"/>
        <w:gridCol w:w="109"/>
        <w:gridCol w:w="207"/>
        <w:gridCol w:w="779"/>
        <w:gridCol w:w="115"/>
        <w:gridCol w:w="115"/>
        <w:gridCol w:w="115"/>
        <w:gridCol w:w="115"/>
        <w:gridCol w:w="207"/>
        <w:gridCol w:w="811"/>
        <w:gridCol w:w="173"/>
      </w:tblGrid>
      <w:tr>
        <w:trPr/>
        <w:tc>
          <w:tcPr>
            <w:tcW w:w="170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(108,189)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(262,547)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(336,244)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income attributable to the Company to FFO attributable to common stockholders and unit holders—basic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 in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or write down of assets, net—consolidated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noncontrolling interests share of gain on sale or write down of assets—consolidated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gain on sale of undepreciated assets—consolidated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noncontrolling interests share of gain of undepreciated assets—consolidated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or write down of assets—unconsolidated joint ventures, net(1)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gain on sale of undepreciated assets—unconsolidated joint ventures(1)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amortization—consolidated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noncontrolling interests in depreciation and amortization—consolidated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amortization—unconsolidated joint ventures(1)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depreciation on personal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FFO attributable to common stockholders and unit holders—basic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81,225 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91,957 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247,470 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272,721 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 in connection with Chandler Freehold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FFO attributable to common stockholders and unit holders, excluding financing expense in connection with Chandler Freehold—basic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81,225 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95,046 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234,641 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272,462 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default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non-real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FFO attributable to common stockholders and unit holders, excluding financing expense in connection with Chandler Freehold, accrued default interest expense and loss on non-real estate investments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248,665 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285,526 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FFO shares outstanding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FFO attributable to common stockholders and unit holders—basic(2)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228,409 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224,441 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 impact of dilutive securities in computing FFO—diluted: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Share and unit 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FFO shares outstanding for FFO attributable to common stockholders and unit holders—basic and diluted(2)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228,409 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224,611 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226,945 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224,441 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     Unconsolidated joint ventures are presented at the Company's pro rata share.</w:t>
      </w:r>
    </w:p>
    <w:p>
      <w:pPr>
        <w:pStyle w:val="TextBody"/>
        <w:bidi w:val="0"/>
        <w:spacing w:lineRule="auto" w:line="288" w:before="160" w:after="16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     Calculated based upon basic net income as adjusted to reach basic FFO. Includes 10.0 million and 9.0 million of OP Units outstanding for the three months ended September 30, 2024 and 2023, respectively, and 10.1 million and 9.0 million of OP Units outstanding for the nine months ended September 30, 2024 and 2023, respectively. </w:t>
      </w:r>
    </w:p>
    <w:p>
      <w:pPr>
        <w:pStyle w:val="TextBody"/>
        <w:bidi w:val="0"/>
        <w:spacing w:lineRule="auto" w:line="288" w:before="160" w:after="160"/>
        <w:jc w:val="left"/>
        <w:rPr>
          <w:rFonts w:ascii="Times New Roman;sans-serif" w:hAnsi="Times New Roman;sans-serif"/>
          <w:b w:val="false"/>
          <w:color w:val="000000"/>
          <w:sz w:val="18"/>
        </w:rPr>
      </w:pPr>
      <w:r>
        <w:rPr>
          <w:rFonts w:ascii="Times New Roman;sans-serif" w:hAnsi="Times New Roman;sans-serif"/>
          <w:b w:val="false"/>
          <w:color w:val="000000"/>
          <w:sz w:val="18"/>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primary market risk exposure is interest rate risk. The Company has managed and will continue to manage interest rate risk by (1) 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as of September 30, 2024 concerning the Company's long-term debt obligations, including principal cash flows by scheduled maturity, weighted average interest rates and estimated fair value (dollars in thousands):</w:t>
      </w:r>
    </w:p>
    <w:tbl>
      <w:tblPr>
        <w:tblW w:w="13687" w:type="dxa"/>
        <w:jc w:val="left"/>
        <w:tblInd w:w="0" w:type="dxa"/>
        <w:tblLayout w:type="fixed"/>
        <w:tblCellMar>
          <w:top w:w="28" w:type="dxa"/>
          <w:left w:w="28" w:type="dxa"/>
          <w:bottom w:w="28" w:type="dxa"/>
          <w:right w:w="28" w:type="dxa"/>
        </w:tblCellMar>
      </w:tblPr>
      <w:tblGrid>
        <w:gridCol w:w="767"/>
        <w:gridCol w:w="464"/>
        <w:gridCol w:w="465"/>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241"/>
        <w:gridCol w:w="109"/>
        <w:gridCol w:w="109"/>
        <w:gridCol w:w="109"/>
        <w:gridCol w:w="196"/>
        <w:gridCol w:w="871"/>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7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twelve months ending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 CENTERS:</w:t>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633,535 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562,882 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409,347 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734,219 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1,532,938 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4,101,527 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3,897,043 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Floating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debt—Consolidated Centers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633,535 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862,882 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409,347 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734,219 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228,606 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1,532,938 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4,401,527 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4,197,716 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UNCONSOLIDATED JOINT VENTURE CENTERS:</w:t>
            </w:r>
          </w:p>
        </w:tc>
        <w:tc>
          <w:tcPr>
            <w:tcW w:w="11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(at Company's pro rata share):</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352,868 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391,289 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735,746 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498,357 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343,202 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2,440,284 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2,387,206 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Floating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debt—Unconsolidated Joint Venture Centers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118,822 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352,868 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424,317 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735,746 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510,357 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343,202 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2,485,312 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2,434,503 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     On October 28, 2024, the Company replaced the existing $600.0 million loan on Queens Center with a new $525.0 million, five-year fixed rate loan (See "Financing Activity" in Management Overview and Summary).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Centers' total fixed rate debt at September 30, 2024 and December 31, 2023 was $4.1 billion and $3.8 billion, respectively. The average interest rate on the fixed rate debt at September 30, 2024 and December 31, 2023 was 4.38% and 4.29%, respectively. The Consolidated Centers' total floating rate debt at September 30, 2024 and December 31, 2023 was $300.0 million and $475.8 million, respectively. The average interest rate on the floating rate debt at September 30, 2024 and December 31, 2023 was 6.62% and 7.43%, respectively.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 rata share of the Unconsolidated Joint Venture Centers' fixed rate debt at September 30, 2024 and December 31, 2023 was $2.4 billion and $2.8 billion, respectively. The average interest rate on the fixed rate debt at September 30, 2024 and December 31, 2023 was 5.42% and 5.06%, respectively. The Company's pro rata share of the Unconsolidated Joint Venture Centers' floating rate debt at September 30, 2024 and December 31, 2023 was $45.0 million and $45.2 million, respectively. The average interest rate on the floating rate debt at September 30, 2024 and December 31, 2023 was 8.90% and 9.00%, respectively.</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September 30, 2024, the Company has interest rate cap agreements in place (See Note 4—Investments in Unconsolidated Joint Ventures and Note 5—Derivative Instruments and Hedging Activities in the Company's Notes to the Consolidated Financial Statements). The respective loans each require an interest rate cap agreement to be in place at all times, which limits how high the prevailing floating loan rate index (i.e., SOFR) for the loans can rise. As of the date of this Quarterly Report on Form 10-Q, SOFR for each of these loans exceeded the strike interest rate (the "Strike Rate") within the required interest rate cap agreement. If SOFR does exceed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Strike Rate, each of these loans would then be considered fixed rate debt. If SOFR for these respective loans thereafter no longer exceeds the Strike Rate, then these loans would once again be considered floating rate debt.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has assessed the market risk for its floating rate debt and believes that a 1% increase in interest rates would decrease future earnings and cash flows by approximately $3.5 million per year based on $345.0 million of floating rate debt outstanding at September 30, 2024.</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under the Securities Exchange Act of 1934, as amended (the "Exchange Act"),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September 30, 2024, the Company's Chief Executive Officer and Chief Financial Officer have concluded that the Company's disclosure controls and procedures (as defined in Rule 13a-15(e) and 15d-15(e) under the Exchange Act) were effective to ensure that the information required to be disclosed by the Company in the reports that it files or submits under the Exchange Act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has been no change in the Company's internal control over financial reporting (as such term is defined in Rules 13a-15(f) and 15(d)-15(f) under the Exchange Act) that occurred during the Company's most recent fiscal quarter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relating to the Company set forth under the caption "Item 1A. Risk Factors" in the Company's Annual Report on Form 10-K for the year ended December 31, 2023.</w:t>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TextBody"/>
        <w:bidi w:val="0"/>
        <w:spacing w:before="160" w:after="16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before="160" w:after="16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On August 5, 2024, September 18, 2024 and September 18, 2024, the Company, as general partner of the Operating Partnership, issued 6,558, 50,005 and 77,984 shares of common stock of the Company, respectively, upon the redemption of an aggregate of 134,547 common partnership units of the Operating Partnership. These shares of common stock were issued in private placements to three limited partners of the Operating Partnership, each an accredited investor, pursuant to Section 4(a)(2) of the Securities Act of 1933, as amended. </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 Not applicable.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 Issuer Purchases of Equity Securities</w:t>
      </w:r>
    </w:p>
    <w:tbl>
      <w:tblPr>
        <w:tblW w:w="10205" w:type="dxa"/>
        <w:jc w:val="left"/>
        <w:tblInd w:w="0" w:type="dxa"/>
        <w:tblLayout w:type="fixed"/>
        <w:tblCellMar>
          <w:top w:w="28" w:type="dxa"/>
          <w:left w:w="28" w:type="dxa"/>
          <w:bottom w:w="28" w:type="dxa"/>
          <w:right w:w="28" w:type="dxa"/>
        </w:tblCellMar>
      </w:tblPr>
      <w:tblGrid>
        <w:gridCol w:w="586"/>
        <w:gridCol w:w="329"/>
        <w:gridCol w:w="331"/>
        <w:gridCol w:w="109"/>
        <w:gridCol w:w="109"/>
        <w:gridCol w:w="109"/>
        <w:gridCol w:w="411"/>
        <w:gridCol w:w="411"/>
        <w:gridCol w:w="413"/>
        <w:gridCol w:w="109"/>
        <w:gridCol w:w="109"/>
        <w:gridCol w:w="109"/>
        <w:gridCol w:w="109"/>
        <w:gridCol w:w="109"/>
        <w:gridCol w:w="109"/>
        <w:gridCol w:w="291"/>
        <w:gridCol w:w="561"/>
        <w:gridCol w:w="153"/>
        <w:gridCol w:w="109"/>
        <w:gridCol w:w="109"/>
        <w:gridCol w:w="109"/>
        <w:gridCol w:w="652"/>
        <w:gridCol w:w="652"/>
        <w:gridCol w:w="654"/>
        <w:gridCol w:w="109"/>
        <w:gridCol w:w="109"/>
        <w:gridCol w:w="109"/>
        <w:gridCol w:w="109"/>
        <w:gridCol w:w="109"/>
        <w:gridCol w:w="109"/>
        <w:gridCol w:w="349"/>
        <w:gridCol w:w="1876"/>
        <w:gridCol w:w="194"/>
        <w:gridCol w:w="109"/>
        <w:gridCol w:w="109"/>
        <w:gridCol w:w="162"/>
      </w:tblGrid>
      <w:tr>
        <w:trPr/>
        <w:tc>
          <w:tcPr>
            <w:tcW w:w="58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Plans or Programs (1)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2024 to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278,707,048 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 2024 to 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278,707,048 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 2024 to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278,707,048 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63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(1)On February 12, 2017, the Company's Board of Directors authorized the repurchase of up to $500.0 million of the Company's outstanding common shares from time to time as market conditions warrant.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none of the Company’s directors or officers (as defined in Rule 16a-1(f) of the Exchange Act)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93"/>
        <w:gridCol w:w="2622"/>
        <w:gridCol w:w="375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r:id="rId2">
              <w:r>
                <w:rPr>
                  <w:rStyle w:val="InternetLink"/>
                  <w:rFonts w:ascii="Times New Roman;sans-serif" w:hAnsi="Times New Roman;sans-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Master Agreement, dated November 14, 2014, by and among Pacific Premier Retail LP, MACPT LLC, Macerich PPR GP LLC, Queens JV LP, Macerich Queens JV LP, Queens JV GP LLC, 1700480 Ontario Inc. and the Company (incorporated by reference as an exhibit to the Company’s Current Report on Form 8-K, event date November 14,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Articles of Amendment and Restatement of the Company (incorporated by reference as an exhibit to the Company's Registration Statement on Form S-11, as amended (No. 33-68964)) (Filed in paper - hyperlink is not required pursuant to Rule 105 of Regulation S-T).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Articles Supplementary of the Company (incorporated by reference as an exhibit to the Company's Current Report on Form 8-K, event date May 30, 1995) (Filed in paper - hyperlink is not required pursuant to Rule 105 of Regulation S-T).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Articles Supplementary of the Company (with respect to the first paragraph) (incorporated by reference as an exhibit to the Company's 1998 Form 10-K).</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Times New Roman;sans-serif" w:hAnsi="Times New Roman;sans-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Articles Supplementary of the Company (Series D Preferred Stock) (incorporated by reference as an exhibit to the Company's Current Report on Form 8-K, event date July 26, 2002).</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8">
              <w:r>
                <w:rPr>
                  <w:rStyle w:val="InternetLink"/>
                  <w:rFonts w:ascii="Times New Roman;sans-serif" w:hAnsi="Times New Roman;sans-serif"/>
                  <w:b w:val="false"/>
                  <w:color w:val="0000FF"/>
                  <w:sz w:val="20"/>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Articles Supplementary of the Company (incorporated by reference as an exhibit to the Company's Registration Statement on Form S-3, as amended (No. 333-88718)).</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0">
              <w:r>
                <w:rPr>
                  <w:rStyle w:val="InternetLink"/>
                  <w:rFonts w:ascii="Times New Roman;sans-serif" w:hAnsi="Times New Roman;sans-serif"/>
                  <w:b w:val="false"/>
                  <w:color w:val="0000FF"/>
                  <w:sz w:val="20"/>
                  <w:u w:val="single"/>
                </w:rPr>
                <w:t>3.1.5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Articles of Amendment of the Company (declassification of Board) (incorporated by reference as an exhibit to the Company's 2008 Form 10-K).</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2">
              <w:r>
                <w:rPr>
                  <w:rStyle w:val="InternetLink"/>
                  <w:rFonts w:ascii="Times New Roman;sans-serif" w:hAnsi="Times New Roman;sans-serif"/>
                  <w:b w:val="false"/>
                  <w:color w:val="0000FF"/>
                  <w:sz w:val="20"/>
                  <w:u w:val="single"/>
                </w:rPr>
                <w:t>3.1.6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Articles Supplementary of the Company (incorporated by reference as an exhibit to the Company's Current Report on Form 8-K, event date February 5, 2009).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4">
              <w:r>
                <w:rPr>
                  <w:rStyle w:val="InternetLink"/>
                  <w:rFonts w:ascii="Times New Roman;sans-serif" w:hAnsi="Times New Roman;sans-serif"/>
                  <w:b w:val="false"/>
                  <w:color w:val="0000FF"/>
                  <w:sz w:val="20"/>
                  <w:u w:val="single"/>
                </w:rPr>
                <w:t>3.1.7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Articles of Amendment of the Company (increased authorized shares) (incorporated by reference as an exhibit to the Company's Quarterly Report on Form 10-Q for the quarter ended June 30, 2009).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6">
              <w:r>
                <w:rPr>
                  <w:rStyle w:val="InternetLink"/>
                  <w:rFonts w:ascii="Times New Roman;sans-serif" w:hAnsi="Times New Roman;sans-serif"/>
                  <w:b w:val="false"/>
                  <w:color w:val="0000FF"/>
                  <w:sz w:val="20"/>
                  <w:u w:val="single"/>
                </w:rPr>
                <w:t>3.1.8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Articles of Amendment of the Company (to eliminate the supermajority vote requirement to amend the charter and to clarify a reference in Article NINTH) (incorporated by reference as an exhibit to the Company’s Current Report on Form 8-K, event date May 30, 2014).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8">
              <w:r>
                <w:rPr>
                  <w:rStyle w:val="InternetLink"/>
                  <w:rFonts w:ascii="Times New Roman;sans-serif" w:hAnsi="Times New Roman;sans-serif"/>
                  <w:b w:val="false"/>
                  <w:color w:val="0000FF"/>
                  <w:sz w:val="20"/>
                  <w:u w:val="single"/>
                </w:rPr>
                <w:t>3.1.9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Articles Supplementary of the Company (election to be subject to Section 3-803 of the Maryland General Corporation Law) (incorporated by reference as an exhibit to the Company’s Current Report on Form 8-K, event date March 17, 2015).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0">
              <w:r>
                <w:rPr>
                  <w:rStyle w:val="InternetLink"/>
                  <w:rFonts w:ascii="Times New Roman;sans-serif" w:hAnsi="Times New Roman;sans-serif"/>
                  <w:b w:val="false"/>
                  <w:color w:val="0000FF"/>
                  <w:sz w:val="20"/>
                  <w:u w:val="single"/>
                </w:rPr>
                <w:t>3.1.10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Articles Supplementary of the Company (Series E Preferred Stock) (incorporated by reference as an exhibit to the Company’s Current Report on Form 8-K, event date March 18, 2015).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2">
              <w:r>
                <w:rPr>
                  <w:rStyle w:val="InternetLink"/>
                  <w:rFonts w:ascii="Times New Roman;sans-serif" w:hAnsi="Times New Roman;sans-serif"/>
                  <w:b w:val="false"/>
                  <w:color w:val="0000FF"/>
                  <w:sz w:val="20"/>
                  <w:u w:val="single"/>
                </w:rPr>
                <w:t>3.1.11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Articles Supplementary of the Company (reclassification of Series E Preferred Stock to Preferred Stock) (incorporated by reference as an exhibit to the Company’s Current Report on Form 8-K, event date May 7, 2015).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4">
              <w:r>
                <w:rPr>
                  <w:rStyle w:val="InternetLink"/>
                  <w:rFonts w:ascii="Times New Roman;sans-serif" w:hAnsi="Times New Roman;sans-serif"/>
                  <w:b w:val="false"/>
                  <w:color w:val="0000FF"/>
                  <w:sz w:val="20"/>
                  <w:u w:val="single"/>
                </w:rPr>
                <w:t>3.1.12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Articles Supplementary of the Company (repeal of election to be subject to Section 3-803 of the Maryland General Corporation Law) (incorporated by reference as an exhibit to the Company’s Current Report on Form 8-K, event date May 28, 2015).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6">
              <w:r>
                <w:rPr>
                  <w:rStyle w:val="InternetLink"/>
                  <w:rFonts w:ascii="Times New Roman;sans-serif" w:hAnsi="Times New Roman;sans-serif"/>
                  <w:b w:val="false"/>
                  <w:color w:val="0000FF"/>
                  <w:sz w:val="20"/>
                  <w:u w:val="single"/>
                </w:rPr>
                <w:t>3.1.13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Articles Supplementary of the Company (opting out of provisions of Subtitle 8 of Title 3 of the Maryland General Corporate Law (MUTA provisions)) (incorporated by reference as an exhibit to the Company’s Current Report on Form 8-K, event date April 24, 2019).</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8">
              <w:r>
                <w:rPr>
                  <w:rStyle w:val="InternetLink"/>
                  <w:rFonts w:ascii="Times New Roman;sans-serif" w:hAnsi="Times New Roman;sans-serif"/>
                  <w:b w:val="false"/>
                  <w:color w:val="0000FF"/>
                  <w:sz w:val="20"/>
                  <w:u w:val="single"/>
                </w:rPr>
                <w:t>3.1.14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Articles of Amendment of the Company (increased authorized shares) (incorporated by reference as an exhibit to the Company's Current Report on Form 8-K, event date May 28,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0">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Amended and Restated Bylaws of the Company (incorporated by reference as an exhibit to the Company's Current Report on Form 8-K, event date January 26, 2023).</w:t>
              </w:r>
            </w:hyperlink>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0"/>
        <w:gridCol w:w="264"/>
        <w:gridCol w:w="266"/>
        <w:gridCol w:w="109"/>
        <w:gridCol w:w="109"/>
        <w:gridCol w:w="109"/>
        <w:gridCol w:w="2689"/>
        <w:gridCol w:w="2622"/>
        <w:gridCol w:w="3737"/>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mac-20240930x10qexhibit101.htm">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c-20240930x10qexhibit101.htm">
              <w:r>
                <w:rPr>
                  <w:rStyle w:val="InternetLink"/>
                  <w:rFonts w:ascii="Times New Roman;sans-serif" w:hAnsi="Times New Roman;sans-serif"/>
                  <w:b w:val="false"/>
                  <w:color w:val="0000FF"/>
                  <w:sz w:val="20"/>
                  <w:u w:val="single"/>
                </w:rPr>
                <w:t xml:space="preserve">The Macerich Company Amended and Restated Severance Pay Plan, effective as of March 1, 2024 </w:t>
              </w:r>
            </w:hyperlink>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mac-20240930x10qexhibit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c-20240930x10qexhibit311.htm">
              <w:r>
                <w:rPr>
                  <w:rStyle w:val="InternetLink"/>
                  <w:rFonts w:ascii="Times New Roman;sans-serif" w:hAnsi="Times New Roman;sans-serif"/>
                  <w:b w:val="false"/>
                  <w:color w:val="0000FF"/>
                  <w:sz w:val="20"/>
                  <w:u w:val="single"/>
                </w:rPr>
                <w:t>Section 302 Certification of Jackson Hsieh, Chief Executive Officer</w:t>
              </w:r>
            </w:hyperlink>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mac-20240930x10qexhibit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c-20240930x10qexhibit312.htm">
              <w:r>
                <w:rPr>
                  <w:rStyle w:val="InternetLink"/>
                  <w:rFonts w:ascii="Times New Roman;sans-serif" w:hAnsi="Times New Roman;sans-serif"/>
                  <w:b w:val="false"/>
                  <w:color w:val="0000FF"/>
                  <w:sz w:val="20"/>
                  <w:u w:val="single"/>
                </w:rPr>
                <w:t>Section 302 Certification of Scott Kingsmore, Chief Financial Officer</w:t>
              </w:r>
            </w:hyperlink>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mac-20240930x10qexhibit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c-20240930x10qexhibit321.htm">
              <w:r>
                <w:rPr>
                  <w:rStyle w:val="InternetLink"/>
                  <w:rFonts w:ascii="Times New Roman;sans-serif" w:hAnsi="Times New Roman;sans-serif"/>
                  <w:b w:val="false"/>
                  <w:color w:val="0000FF"/>
                  <w:sz w:val="20"/>
                  <w:u w:val="single"/>
                </w:rPr>
                <w:t>Section 906 Certifications of Jackson Hsieh and Scott Kingsmore</w:t>
              </w:r>
            </w:hyperlink>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Cover Page Interactive Data File (formatted as Inline XBRL with applicable taxonomy extension information contained in Exhibits 101.*). </w:t>
            </w:r>
          </w:p>
        </w:tc>
      </w:tr>
      <w:tr>
        <w:trPr/>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Represents a management contract, or compensatory plan, contract or arrangement required to be filed pursuant to Regulation S-K.</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03c8a5b0d164279bd33cb274b6e4df1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6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403" w:type="dxa"/>
        <w:jc w:val="left"/>
        <w:tblInd w:w="0" w:type="dxa"/>
        <w:tblLayout w:type="fixed"/>
        <w:tblCellMar>
          <w:top w:w="28" w:type="dxa"/>
          <w:left w:w="28" w:type="dxa"/>
          <w:bottom w:w="28" w:type="dxa"/>
          <w:right w:w="28" w:type="dxa"/>
        </w:tblCellMar>
      </w:tblPr>
      <w:tblGrid>
        <w:gridCol w:w="200"/>
        <w:gridCol w:w="177"/>
        <w:gridCol w:w="178"/>
        <w:gridCol w:w="266"/>
        <w:gridCol w:w="266"/>
        <w:gridCol w:w="266"/>
        <w:gridCol w:w="266"/>
        <w:gridCol w:w="266"/>
        <w:gridCol w:w="273"/>
        <w:gridCol w:w="405"/>
        <w:gridCol w:w="405"/>
        <w:gridCol w:w="405"/>
        <w:gridCol w:w="1750"/>
        <w:gridCol w:w="1750"/>
        <w:gridCol w:w="25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MACERICH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W. KINGSMORE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Scott W. Kingsmore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i/>
                <w:color w:val="000000"/>
                <w:sz w:val="20"/>
              </w:rPr>
              <w:t>Senior Executive Vice President, Treasurer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Exhibit 10.1</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THE MACERICH COMPANY</w:t>
        <w:br/>
        <w:t>AMENDED AND RESTATED SEVERANCE PAY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The Macerich Company Change in Control Severance Pay Plan for Executive Vice Presidents and the Macerich Company Change in Control Severance Pay Plan for Senior Executives are each hereby amended and restated by the Company (as defined below), effective as of March 1, 2024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into a single combined plan, and such plan, as amended and restated herein and renamed,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The Plan is intended to be a top hat welfare benefit plan under ERISA for the benefit of a select group of management or highly compensated employees.</w:t>
      </w:r>
    </w:p>
    <w:p>
      <w:pPr>
        <w:pStyle w:val="TextBody"/>
        <w:bidi w:val="0"/>
        <w:spacing w:lineRule="auto" w:line="288" w:before="0" w:after="240"/>
        <w:jc w:val="both"/>
        <w:rPr/>
      </w:pPr>
      <w:r>
        <w:rPr>
          <w:rFonts w:ascii="Times New Roman;sans-serif" w:hAnsi="Times New Roman;sans-serif"/>
          <w:b w:val="false"/>
          <w:color w:val="000000"/>
          <w:sz w:val="24"/>
        </w:rPr>
        <w:t>SECTION 1.</w:t>
      </w:r>
      <w:r>
        <w:rPr>
          <w:rFonts w:ascii="Times New Roman;sans-serif" w:hAnsi="Times New Roman;sans-serif"/>
          <w:b w:val="false"/>
          <w:color w:val="000000"/>
          <w:sz w:val="24"/>
          <w:u w:val="single"/>
        </w:rPr>
        <w:t>PURPOSE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Board of Directors of the Company believes that it is in the best interests of the Company to encourage the continued dedication to the Company of certain of the Company’s and its Subsidiaries’ employees in the face of potentially distracting circumstances arising from the possibility or occurrence of a termination of employment, whether or not in connection with a change in control of the Company, and the Board (defined below) has established the Plan for this purpose. The purpose of the Plan is to provide severance benefits in the event certain employees incur a Qualified Termination. </w:t>
      </w:r>
    </w:p>
    <w:p>
      <w:pPr>
        <w:pStyle w:val="TextBody"/>
        <w:bidi w:val="0"/>
        <w:spacing w:lineRule="auto" w:line="288" w:before="0" w:after="240"/>
        <w:jc w:val="both"/>
        <w:rPr/>
      </w:pPr>
      <w:r>
        <w:rPr>
          <w:rFonts w:ascii="Times New Roman;sans-serif" w:hAnsi="Times New Roman;sans-serif"/>
          <w:b w:val="false"/>
          <w:color w:val="000000"/>
          <w:sz w:val="24"/>
        </w:rPr>
        <w:t>SECTION 2.</w:t>
      </w:r>
      <w:r>
        <w:rPr>
          <w:rFonts w:ascii="Times New Roman;sans-serif" w:hAnsi="Times New Roman;sans-serif"/>
          <w:b w:val="false"/>
          <w:color w:val="000000"/>
          <w:sz w:val="24"/>
          <w:u w:val="single"/>
        </w:rPr>
        <w:t>DEFINITIONS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val="false"/>
          <w:color w:val="000000"/>
          <w:sz w:val="24"/>
          <w:u w:val="single"/>
        </w:rPr>
        <w:t>Accrued Obligations</w:t>
      </w:r>
      <w:r>
        <w:rPr>
          <w:color w:val="000000"/>
        </w:rPr>
        <w:t xml:space="preserve">” </w:t>
      </w:r>
      <w:r>
        <w:rPr>
          <w:rFonts w:ascii="Times New Roman;sans-serif" w:hAnsi="Times New Roman;sans-serif"/>
          <w:b w:val="false"/>
          <w:color w:val="000000"/>
          <w:sz w:val="24"/>
        </w:rPr>
        <w:t>means, with respect to an Eligible Employee, the sum of the Eligible Employee’s (i) Base Salary through the Date of Termination to the extent earned and not theretofore paid, (ii) accrued vacation pay and/or personal days to the extent earned and payable in connection with the termination of employment pursuant to the Company’s policy, (iii) accrued annual incentive bonus for the fiscal year immediately preceding the year in which the Date of Termination occurs, to the extent such bonus is determined to otherwise have been earned based on the Company’s achievement of applicable performance targets and employee service requirements, but not theretofore paid, and (iv) vested rights under any equity, compensation or benefit plan, policy, practice or program of or any other contract or agreement with the Company or the Employer including, without limitation, any acceleration of vesting of equity awards that shall occur upon a Qualifying Termination as set forth in the applicable equity award agreement and/or equity incentive plan pursuant to which such awards have been granted (“</w:t>
      </w:r>
      <w:r>
        <w:rPr>
          <w:rFonts w:ascii="Times New Roman;sans-serif" w:hAnsi="Times New Roman;sans-serif"/>
          <w:b w:val="false"/>
          <w:color w:val="000000"/>
          <w:sz w:val="24"/>
          <w:u w:val="single"/>
        </w:rPr>
        <w:t>Double Trigger Equity Vesting</w:t>
      </w:r>
      <w:r>
        <w:rPr>
          <w:color w:val="000000"/>
        </w:rPr>
        <w:t>”</w:t>
      </w:r>
      <w:r>
        <w:rPr>
          <w:rFonts w:ascii="Times New Roman;sans-serif" w:hAnsi="Times New Roman;sans-serif"/>
          <w:b w:val="false"/>
          <w:color w:val="000000"/>
          <w:sz w:val="24"/>
        </w:rPr>
        <w:t>). Accrued Obligations described in clauses (i) and (ii) shall be paid in a lump sum in cash within the time required by law but in no event more than 30 days after the Date of Termination. Accrued Obligations described in clause (iii) shall be paid at such time as annual incentive bonuses for such fiscal year are otherwise paid pursuant to the terms of the applicable plan, but in no event later than 75 days after the end of such fiscal year. Accrued Obligations described in clause (iv) (including without limitation the Double Trigger Equity Vesting) shall be paid at such time(s) as required under the terms of the applicable plan or program.</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u w:val="single"/>
        </w:rPr>
        <w:t>Base Salary</w:t>
      </w:r>
      <w:r>
        <w:rPr>
          <w:color w:val="000000"/>
        </w:rPr>
        <w:t xml:space="preserve">” </w:t>
      </w:r>
      <w:r>
        <w:rPr>
          <w:rFonts w:ascii="Times New Roman;sans-serif" w:hAnsi="Times New Roman;sans-serif"/>
          <w:b w:val="false"/>
          <w:color w:val="000000"/>
          <w:sz w:val="24"/>
        </w:rPr>
        <w:t xml:space="preserve">means the annual base rate of compensation payable as salary to the Eligible Employee by the Employer as of the Eligible Employee’s Date of Termination or as of immediately prior to the first day of the Change in Control Period, whichever is higher, before deductions of voluntary deferrals authorized by the Eligible Employee or required by law to be withheld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94995"/>
                <wp:effectExtent l="0" t="0" r="0" b="0"/>
                <wp:wrapNone/>
                <wp:docPr id="55" name="Frame5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from the Eligible Employee by the Employer, and excludes all other extra pay such as overtime, pensions, severance payments, bonuses, stock incentives, living or other allowances, and other benefits and perquisites.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u w:val="single"/>
        </w:rPr>
        <w:t>Bonus</w:t>
      </w:r>
      <w:r>
        <w:rPr>
          <w:color w:val="000000"/>
        </w:rPr>
        <w:t xml:space="preserve">” </w:t>
      </w:r>
      <w:r>
        <w:rPr>
          <w:rFonts w:ascii="Times New Roman;sans-serif" w:hAnsi="Times New Roman;sans-serif"/>
          <w:b w:val="false"/>
          <w:color w:val="000000"/>
          <w:sz w:val="24"/>
        </w:rPr>
        <w:t xml:space="preserve">means, with respect to an Eligible Employee, the average of the annual incentive bonuses awarded to the Eligible Employee in respect of the immediately preceding three years (including, for the avoidance of doubt, the grant date fair value of any annual incentive bonuses awarded in the form of cash and/or equity, </w:t>
      </w:r>
      <w:r>
        <w:rPr>
          <w:rFonts w:ascii="Times New Roman;sans-serif" w:hAnsi="Times New Roman;sans-serif"/>
          <w:b w:val="false"/>
          <w:color w:val="000000"/>
          <w:sz w:val="24"/>
          <w:u w:val="single"/>
        </w:rPr>
        <w:t>but</w:t>
      </w:r>
      <w:r>
        <w:rPr>
          <w:color w:val="000000"/>
        </w:rPr>
        <w:t xml:space="preserve"> </w:t>
      </w:r>
      <w:r>
        <w:rPr>
          <w:rFonts w:ascii="Times New Roman;sans-serif" w:hAnsi="Times New Roman;sans-serif"/>
          <w:b w:val="false"/>
          <w:color w:val="000000"/>
          <w:sz w:val="24"/>
        </w:rPr>
        <w:t>excluding for the avoidance of doubt, any equity incentive awards granted as part of the Company’s long-term equity incentive award program, which exists separate and apart from the Company’s annual short-term incentive bonus program); provided, however, that if an Eligible Employee’s employment with the Company is terminated prior to the first payment date for the first Company bonus the Eligible Employee was eligible to earn following the Eligible Employee’s date of hire, the Eligible Employee’s target annual bonus alone will be deemed the “average” hereunder and, provided further, that if an Eligible Employee has received an annual incentive bonus but has been employed by the Company for less than three years prior to the date of termination, the average of the annual incentive bonuses awarded to the Eligible Employee prior to the date of termination will be deemed the “average” 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shd w:fill="FFFFFF" w:val="clear"/>
        </w:rPr>
        <w:t xml:space="preserve">means, with respect to an Eligible Employee, the occurrence of any of the following events, as reasonably determined by the Plan Administrator in its sole discretion: </w:t>
      </w:r>
      <w:r>
        <w:rPr>
          <w:rFonts w:ascii="Times New Roman;sans-serif" w:hAnsi="Times New Roman;sans-serif"/>
          <w:b w:val="false"/>
          <w:color w:val="000000"/>
          <w:sz w:val="24"/>
        </w:rPr>
        <w:t>(i) the Eligible Employee’s willful misconduct or gross negligence in the performance of the Eligible Employee’s duties to the Company or any of its subsidiaries; (ii) the Eligible Employee’s repeated failure to perform the Eligible Employee’s lawful duties to the Company or any of its subsidiaries or follow the lawful written directives of the Board (other than as a result of death or physical or mental incapacity); (iii) the Eligible Employee’s conviction of, or pleading of guilty or nolo contendere to, a felony or any crime involving moral turpitude; (iv) the Eligible Employee’s performance of any material act of theft, embezzlement, fraud, malfeasance, dishonesty or misappropriation of the property of the Company or any of its subsidiaries; (v) the Eligible Employee’s use of alcohol or illegal drugs that materially impairs the Employee’s ability to perform the Employee’s duties contemplated hereunder; (vi) the Eligible Employee’s material breach of any fiduciary duty owed to the Company or any of its subsidiaries (including, without limitation, the duty of care and the duty of loyalty); or (vii) the Eligible Employee’s material breach of any employment agreement between the Eligible Employee and the Company, or a material violation of the Company’s (or any of its subsidiaries’) code of conduct or other written policy pursuant to which the Eligible Employee would be subject to immediate dismissal.</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termination for Cause shall be deemed to occur on the date on which the Employer first delivers written notice to the Eligible Employee of a finding of termination for Cause; provided, however, that such termination shall only occur following the Eligible Employee’s failure to cure, within ten days after receiving notice from the Company of an allegation of an act or failure to act of the kind described above, to the extent the Company determines such act or failure to act is curable.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means any of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70890"/>
                <wp:effectExtent l="0" t="0" r="0" b="0"/>
                <wp:wrapNone/>
                <wp:docPr id="56" name="Frame56"/>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acquisition by any individual, entity or group (within the meaning of Section 13(d)(3) or 14(d)(2) of the Securities Exchange Act of 1934, as amended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(such individual, entity or group, a “</w:t>
      </w:r>
      <w:r>
        <w:rPr>
          <w:rFonts w:ascii="Times New Roman;sans-serif" w:hAnsi="Times New Roman;sans-serif"/>
          <w:b w:val="false"/>
          <w:color w:val="000000"/>
          <w:sz w:val="24"/>
          <w:u w:val="single"/>
        </w:rPr>
        <w:t>Person</w:t>
      </w:r>
      <w:r>
        <w:rPr>
          <w:color w:val="000000"/>
        </w:rPr>
        <w:t>”</w:t>
      </w:r>
      <w:r>
        <w:rPr>
          <w:rFonts w:ascii="Times New Roman;sans-serif" w:hAnsi="Times New Roman;sans-serif"/>
          <w:b w:val="false"/>
          <w:color w:val="000000"/>
          <w:sz w:val="24"/>
        </w:rPr>
        <w:t>) of beneficial ownership (within the meaning of Rule 13d-3 promulgated under the Exchange Act) of 33% or more of either (A) the then- outstanding shares of common stock of the Company (the “</w:t>
      </w:r>
      <w:r>
        <w:rPr>
          <w:rFonts w:ascii="Times New Roman;sans-serif" w:hAnsi="Times New Roman;sans-serif"/>
          <w:b w:val="false"/>
          <w:color w:val="000000"/>
          <w:sz w:val="24"/>
          <w:u w:val="single"/>
        </w:rPr>
        <w:t>Outstanding Company Common Stock</w:t>
      </w:r>
      <w:r>
        <w:rPr>
          <w:color w:val="000000"/>
        </w:rPr>
        <w:t>”</w:t>
      </w:r>
      <w:r>
        <w:rPr>
          <w:rFonts w:ascii="Times New Roman;sans-serif" w:hAnsi="Times New Roman;sans-serif"/>
          <w:b w:val="false"/>
          <w:color w:val="000000"/>
          <w:sz w:val="24"/>
        </w:rPr>
        <w:t>) or (B) the combined voting power of the then-outstanding voting securities of the Company entitled to vote generally in the election of directors (the “</w:t>
      </w:r>
      <w:r>
        <w:rPr>
          <w:rFonts w:ascii="Times New Roman;sans-serif" w:hAnsi="Times New Roman;sans-serif"/>
          <w:b w:val="false"/>
          <w:color w:val="000000"/>
          <w:sz w:val="24"/>
          <w:u w:val="single"/>
        </w:rPr>
        <w:t>Outstanding Company Voting Securities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purposes of this definition, the following acquisitions shall not constitute a Change in Control: (i) any acquisition directly from the Company, (ii) any acquisition by the Company, (iii) any acquisition by any employee benefit plan (or related trust) sponsored or maintained by the Company or any affiliate of the Company or successor or (iv) any acquisition by any entity pursuant to a transaction that complies with (f)(iii)(1), (f)(iii)(2) or (f)(iii) (3) below;</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individuals who, as of the Effective Date, constitute the Board (the “</w:t>
      </w:r>
      <w:r>
        <w:rPr>
          <w:rFonts w:ascii="Times New Roman;sans-serif" w:hAnsi="Times New Roman;sans-serif"/>
          <w:b w:val="false"/>
          <w:color w:val="000000"/>
          <w:sz w:val="24"/>
          <w:u w:val="single"/>
        </w:rPr>
        <w:t>Incumbent Board</w:t>
      </w:r>
      <w:r>
        <w:rPr>
          <w:color w:val="000000"/>
        </w:rPr>
        <w:t>”</w:t>
      </w:r>
      <w:r>
        <w:rPr>
          <w:rFonts w:ascii="Times New Roman;sans-serif" w:hAnsi="Times New Roman;sans-serif"/>
          <w:b w:val="false"/>
          <w:color w:val="000000"/>
          <w:sz w:val="24"/>
        </w:rPr>
        <w:t xml:space="preserve">) cease for any reason to constitute at least a majority of the Board;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individual becoming a director subsequent to the date hereof whose election, or nomination for election by the Company’s stockholders, was approved by a vote of at least two- thirds of the directors then comprising the Incumbent Board (including for these purposes, the new members whose election or nomination was so approved, without counting the member and her/his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w:t>
      </w:r>
      <w:r>
        <w:rPr>
          <w:rFonts w:ascii="Times New Roman;sans-serif" w:hAnsi="Times New Roman;sans-serif"/>
          <w:b w:val="false"/>
          <w:color w:val="000000"/>
          <w:sz w:val="24"/>
          <w:u w:val="single"/>
        </w:rPr>
        <w:t>Business Combination</w:t>
      </w:r>
      <w:r>
        <w:rPr>
          <w:color w:val="000000"/>
        </w:rPr>
        <w:t>”</w:t>
      </w:r>
      <w:r>
        <w:rPr>
          <w:rFonts w:ascii="Times New Roman;sans-serif" w:hAnsi="Times New Roman;sans-serif"/>
          <w:b w:val="false"/>
          <w:color w:val="000000"/>
          <w:sz w:val="24"/>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60%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Company or all or substantially all of the Company’s assets directly or through one or more subsidiaries (“</w:t>
      </w:r>
      <w:r>
        <w:rPr>
          <w:rFonts w:ascii="Times New Roman;sans-serif" w:hAnsi="Times New Roman;sans-serif"/>
          <w:b w:val="false"/>
          <w:color w:val="000000"/>
          <w:sz w:val="24"/>
          <w:u w:val="single"/>
        </w:rPr>
        <w:t>Parent</w:t>
      </w:r>
      <w:r>
        <w:rPr>
          <w:color w:val="000000"/>
        </w:rPr>
        <w:t>”</w:t>
      </w:r>
      <w:r>
        <w:rPr>
          <w:rFonts w:ascii="Times New Roman;sans-serif" w:hAnsi="Times New Roman;sans-serif"/>
          <w:b w:val="false"/>
          <w:color w:val="000000"/>
          <w:sz w:val="24"/>
        </w:rPr>
        <w:t xml:space="preserve">))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or any employee benefit plan (or related trust) of the Company or such entity resulting from such Business Combination or Parent) beneficially owns, directly or indirectly, 20% or more of, respectively, the then-outstanding shares of common stock of the entity resulting from such Business Combination or the combined voting power of the then-outstanding voting securities of such entity, except to the extent that the ownership in excess of 20% existed prior to the Business Combination, and (3) at least a majority of the members of the board of directors or trustees of the entity resulting from such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70890"/>
                <wp:effectExtent l="0" t="0" r="0" b="0"/>
                <wp:wrapNone/>
                <wp:docPr id="57" name="Frame57"/>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Combination were members of the Incumbent Board at the time of the execution of the initial agreement or of the action of the Board providing for such Business Combination; or</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approval by the stockholders of the Company of a complete liquidation or dissolution of the Company.</w: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Notwithstanding anything to the contrary in the Plan, to the extent required by Section 409A, an event shall constitute a Change in Control under the Plan only to the extent such event is a permissible payment event under Section 409A of the Code and Treas. Reg. § 1.409A-3(i)(5).</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val="false"/>
          <w:color w:val="000000"/>
          <w:sz w:val="24"/>
          <w:u w:val="single"/>
        </w:rPr>
        <w:t>Change in Control Period</w:t>
      </w:r>
      <w:r>
        <w:rPr>
          <w:color w:val="000000"/>
        </w:rPr>
        <w:t xml:space="preserve">” </w:t>
      </w:r>
      <w:r>
        <w:rPr>
          <w:rFonts w:ascii="Times New Roman;sans-serif" w:hAnsi="Times New Roman;sans-serif"/>
          <w:b w:val="false"/>
          <w:color w:val="000000"/>
          <w:sz w:val="24"/>
        </w:rPr>
        <w:t>means the period commencing upon the consummation of a Change in Control and ending 24 months after such Change in Control.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Internal Revenue Code of 1986, as amended.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means The Macerich Company, a Maryland corporation, or, from and after a Change in Control, the successor to the Company in any such Change in Control.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(j)</w:t>
      </w:r>
      <w:r>
        <w:rPr>
          <w:color w:val="000000"/>
        </w:rPr>
        <w:t>“</w:t>
      </w:r>
      <w:r>
        <w:rPr>
          <w:rFonts w:ascii="Times New Roman;sans-serif" w:hAnsi="Times New Roman;sans-serif"/>
          <w:b w:val="false"/>
          <w:color w:val="000000"/>
          <w:sz w:val="24"/>
          <w:u w:val="single"/>
        </w:rPr>
        <w:t>Date of Termination</w:t>
      </w:r>
      <w:r>
        <w:rPr>
          <w:color w:val="000000"/>
        </w:rPr>
        <w:t xml:space="preserve">” </w:t>
      </w:r>
      <w:r>
        <w:rPr>
          <w:rFonts w:ascii="Times New Roman;sans-serif" w:hAnsi="Times New Roman;sans-serif"/>
          <w:b w:val="false"/>
          <w:color w:val="000000"/>
          <w:sz w:val="24"/>
        </w:rPr>
        <w:t>means, with respect to an Eligible Employee, the effective date of termination of the Eligible Employee’s employment with the Employer.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(k)</w:t>
      </w:r>
      <w:r>
        <w:rPr>
          <w:color w:val="000000"/>
        </w:rPr>
        <w:t>“</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means a “disability”, as determined under the Company’s long-term disability plan in effect on the Date of Termination, entitling the Eligible Employee to benefits under such long-term disability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(l)</w:t>
      </w:r>
      <w:r>
        <w:rPr>
          <w:color w:val="000000"/>
        </w:rPr>
        <w:t>“</w:t>
      </w:r>
      <w:r>
        <w:rPr>
          <w:rFonts w:ascii="Times New Roman;sans-serif" w:hAnsi="Times New Roman;sans-serif"/>
          <w:b w:val="false"/>
          <w:color w:val="000000"/>
          <w:sz w:val="24"/>
          <w:u w:val="single"/>
        </w:rPr>
        <w:t>Eligible Employee</w:t>
      </w:r>
      <w:r>
        <w:rPr>
          <w:color w:val="000000"/>
        </w:rPr>
        <w:t xml:space="preserve">” </w:t>
      </w:r>
      <w:r>
        <w:rPr>
          <w:rFonts w:ascii="Times New Roman;sans-serif" w:hAnsi="Times New Roman;sans-serif"/>
          <w:b w:val="false"/>
          <w:color w:val="000000"/>
          <w:sz w:val="24"/>
        </w:rPr>
        <w:t>means a Tier 1 Executive, a Tier 2 Executive and a Tier 3 Executive, provided that such executive is not a party to an individual agreement with the Employer that provides for greater severance payments and benefits, in the aggregate.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(m)</w:t>
      </w:r>
      <w:r>
        <w:rPr>
          <w:color w:val="000000"/>
        </w:rPr>
        <w:t>“</w:t>
      </w:r>
      <w:r>
        <w:rPr>
          <w:rFonts w:ascii="Times New Roman;sans-serif" w:hAnsi="Times New Roman;sans-serif"/>
          <w:b w:val="false"/>
          <w:color w:val="000000"/>
          <w:sz w:val="24"/>
          <w:u w:val="single"/>
        </w:rPr>
        <w:t>Employer</w:t>
      </w:r>
      <w:r>
        <w:rPr>
          <w:color w:val="000000"/>
        </w:rPr>
        <w:t xml:space="preserve">” </w:t>
      </w:r>
      <w:r>
        <w:rPr>
          <w:rFonts w:ascii="Times New Roman;sans-serif" w:hAnsi="Times New Roman;sans-serif"/>
          <w:b w:val="false"/>
          <w:color w:val="000000"/>
          <w:sz w:val="24"/>
        </w:rPr>
        <w:t>means Macerich Management Company or other Subsidiary that employs one or more Eligible Employees, or, from and after the Change in Control, any other subsidiaries of the successor to the Company that employ the Eligible Employees.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(n)</w:t>
      </w: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amended.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(o)</w:t>
      </w:r>
      <w:r>
        <w:rPr>
          <w:color w:val="000000"/>
        </w:rPr>
        <w:t>“</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means an action taken by the Employer, without the Eligible Employee’s written consent thereto, resulting in a material negative change in the employment relationship. For these purposes, a “material negative change in the employment relationship” shall include, without limitation, any one or more of the following reasons, to the extent not remedied by the Employer within 30 days after receipt by the Employer of written notice from the Eligible Employee provided to the Company within 90 days (the “</w:t>
      </w:r>
      <w:r>
        <w:rPr>
          <w:rFonts w:ascii="Times New Roman;sans-serif" w:hAnsi="Times New Roman;sans-serif"/>
          <w:b w:val="false"/>
          <w:color w:val="000000"/>
          <w:sz w:val="24"/>
          <w:u w:val="single"/>
        </w:rPr>
        <w:t>Cure Period</w:t>
      </w:r>
      <w:r>
        <w:rPr>
          <w:color w:val="000000"/>
        </w:rPr>
        <w:t>”</w:t>
      </w:r>
      <w:r>
        <w:rPr>
          <w:rFonts w:ascii="Times New Roman;sans-serif" w:hAnsi="Times New Roman;sans-serif"/>
          <w:b w:val="false"/>
          <w:color w:val="000000"/>
          <w:sz w:val="24"/>
        </w:rPr>
        <w:t>) of the Eligible Employee’s knowledge of the occurrence of an event or circumstance set forth in clauses (i) through (vi) below specifying in reasonable detail such occurrence:</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the assignment to the Eligible Employee of any duties materially inconsistent in any respect with the Eligible Employee’s position (including status, offices, titles and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70890"/>
                <wp:effectExtent l="0" t="0" r="0" b="0"/>
                <wp:wrapNone/>
                <wp:docPr id="58" name="Frame58"/>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reporting requirements), authority, duties or responsibilities, or any other material diminution in such position, authority, duties or responsibilities (whether or not occurring solely as a result of the Company’s ceasing to be a publicly traded entity);</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a change in the Eligible Employee’s principal office location to a location further away from the Eligible Employee’s home which is more than 30 miles from the Eligible Employee’s current principal office;</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any one or more material reductions (individually or in the aggregate) in the Eligible Employee’s Base Salary, Target Bonus and/or the formula for determining the amount of cash severance for which the Eligible Employee is eligible under this Plan;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 xml:space="preserve">any material breach by the Employer of the Eligible Employee’s service agreement (if one exists); or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 xml:space="preserve">solely in the event of a Change in Control, the taking of any action following the Change in Control by the Employer to eliminate long-term incentive compensation or benefit plans in which the Eligible Employee participated in or was eligible to participate in immediately prior to such Change in Control without providing substitutes therefor, to materially reduce benefits thereunder or to substantially diminish other fringe benefits; </w:t>
      </w:r>
      <w:r>
        <w:rPr>
          <w:rFonts w:ascii="Times New Roman;sans-serif" w:hAnsi="Times New Roman;sans-serif"/>
          <w:b w:val="false"/>
          <w:color w:val="000000"/>
          <w:sz w:val="24"/>
          <w:u w:val="single"/>
        </w:rPr>
        <w:t xml:space="preserve">provided </w:t>
      </w:r>
      <w:r>
        <w:rPr>
          <w:rFonts w:ascii="Times New Roman;sans-serif" w:hAnsi="Times New Roman;sans-serif"/>
          <w:b w:val="false"/>
          <w:color w:val="000000"/>
          <w:sz w:val="24"/>
        </w:rPr>
        <w:t xml:space="preserve">that if neither a surviving entity nor its parent following a Change in Control is a publicly-held company, the failure to provide stock-based incentive compensation or benefits shall not be deemed Good Reason if compensation or benefits of comparable value, using a recognized valuation methodology, are substituted therefor; and provided further that a reduction or elimination in the aggregate of not more than 10% in aggregate employee benefits in connection with across the board reductions or modifications affecting similarly situated persons of comparable rank in the Employer or a combined organization shall not constitute Good Reason.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Employer fails to remedy the condition constituting Good Reason during the applicable Cure Period, the Eligible Employee’s “termination of employment” must occur, if at all, within 120 days of the end of the Cure Period; provided, however, if an event giving rise to a claim of Good Reason in connection with a Change in Control first occurs within 120 days prior to the last day of the Change in Control Period, the Eligible Employee’s termination of employment must occur not later than the last day of the Change in Control Period. Accordingly, notwithstanding anything to the contrary herein, the Eligible Employee may resign for Good Reason prior to the expiration of the 30-day notice and/or applicable Cure Period if an event giving rise to a claim of Good Reason in connection with a Change in Control first occurs within 120 days prior to the last day of the Change in Control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(p)</w:t>
      </w:r>
      <w:r>
        <w:rPr>
          <w:color w:val="000000"/>
        </w:rPr>
        <w:t>“</w:t>
      </w:r>
      <w:r>
        <w:rPr>
          <w:rFonts w:ascii="Times New Roman;sans-serif" w:hAnsi="Times New Roman;sans-serif"/>
          <w:b w:val="false"/>
          <w:color w:val="000000"/>
          <w:sz w:val="24"/>
          <w:u w:val="single"/>
        </w:rPr>
        <w:t>Plan Administrator</w:t>
      </w:r>
      <w:r>
        <w:rPr>
          <w:color w:val="000000"/>
        </w:rPr>
        <w:t xml:space="preserve">” </w:t>
      </w:r>
      <w:r>
        <w:rPr>
          <w:rFonts w:ascii="Times New Roman;sans-serif" w:hAnsi="Times New Roman;sans-serif"/>
          <w:b w:val="false"/>
          <w:color w:val="000000"/>
          <w:sz w:val="24"/>
        </w:rPr>
        <w:t>means the Board, or such committee of the Board as appointed by the Board. As of the Effective Date, the Plan Administrator is the Compensation Committee of the Board.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(q)</w:t>
      </w:r>
      <w:r>
        <w:rPr>
          <w:color w:val="000000"/>
        </w:rPr>
        <w:t>“</w:t>
      </w:r>
      <w:r>
        <w:rPr>
          <w:rFonts w:ascii="Times New Roman;sans-serif" w:hAnsi="Times New Roman;sans-serif"/>
          <w:b w:val="false"/>
          <w:color w:val="000000"/>
          <w:sz w:val="24"/>
          <w:u w:val="single"/>
        </w:rPr>
        <w:t>Pro-Rata Bonus</w:t>
      </w:r>
      <w:r>
        <w:rPr>
          <w:color w:val="000000"/>
        </w:rPr>
        <w:t xml:space="preserve">” </w:t>
      </w:r>
      <w:r>
        <w:rPr>
          <w:rFonts w:ascii="Times New Roman;sans-serif" w:hAnsi="Times New Roman;sans-serif"/>
          <w:b w:val="false"/>
          <w:color w:val="000000"/>
          <w:sz w:val="24"/>
        </w:rPr>
        <w:t xml:space="preserve">means a pro-rated annual incentive bonus otherwise payable under the Company’s applicable annual incentive bonus plan pursuant to which the Eligible Employee was eligible to earn a bonus for the year of termination, determined by multiplying the Eligible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70890"/>
                <wp:effectExtent l="0" t="0" r="0" b="0"/>
                <wp:wrapNone/>
                <wp:docPr id="59" name="Frame59"/>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Employee’s Target Bonus by a fraction, the numerator of which is the number of days the Eligible Employee is employed in the year of termination and the denominator of which is 365.</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(r)</w:t>
      </w:r>
      <w:r>
        <w:rPr>
          <w:color w:val="000000"/>
        </w:rPr>
        <w:t>“</w:t>
      </w:r>
      <w:r>
        <w:rPr>
          <w:rFonts w:ascii="Times New Roman;sans-serif" w:hAnsi="Times New Roman;sans-serif"/>
          <w:b w:val="false"/>
          <w:color w:val="000000"/>
          <w:sz w:val="24"/>
          <w:u w:val="single"/>
        </w:rPr>
        <w:t>Qualified Termination</w:t>
      </w:r>
      <w:r>
        <w:rPr>
          <w:color w:val="000000"/>
        </w:rPr>
        <w:t xml:space="preserve">” </w:t>
      </w:r>
      <w:r>
        <w:rPr>
          <w:rFonts w:ascii="Times New Roman;sans-serif" w:hAnsi="Times New Roman;sans-serif"/>
          <w:b w:val="false"/>
          <w:color w:val="000000"/>
          <w:sz w:val="24"/>
        </w:rPr>
        <w:t>means, on or after the Effective Date, (i) any termination of employment of an Eligible Employee by the Employer (other than for Cause or because of the Eligible Employee’s death or Disability), and (ii) any termination of employment by an Eligible Employee for Good Reason.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w:t>
      </w:r>
      <w:r>
        <w:rPr>
          <w:color w:val="000000"/>
        </w:rPr>
        <w:t>“</w:t>
      </w:r>
      <w:r>
        <w:rPr>
          <w:rFonts w:ascii="Times New Roman;sans-serif" w:hAnsi="Times New Roman;sans-serif"/>
          <w:b w:val="false"/>
          <w:color w:val="000000"/>
          <w:sz w:val="24"/>
          <w:u w:val="single"/>
        </w:rPr>
        <w:t>Sponsoring Employer</w:t>
      </w:r>
      <w:r>
        <w:rPr>
          <w:color w:val="000000"/>
        </w:rPr>
        <w:t xml:space="preserve">” </w:t>
      </w:r>
      <w:r>
        <w:rPr>
          <w:rFonts w:ascii="Times New Roman;sans-serif" w:hAnsi="Times New Roman;sans-serif"/>
          <w:b w:val="false"/>
          <w:color w:val="000000"/>
          <w:sz w:val="24"/>
        </w:rPr>
        <w:t>means the Company.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(t)</w:t>
      </w: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any direct or indirect subsidiary of the Company or The Macerich Partnership, L.P., or, from and after the Change in Control, any other subsidiaries of the successor to the Company or The Macerich Partnership, L.P.</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(u)</w:t>
      </w:r>
      <w:r>
        <w:rPr>
          <w:color w:val="000000"/>
        </w:rPr>
        <w:t>“</w:t>
      </w:r>
      <w:r>
        <w:rPr>
          <w:rFonts w:ascii="Times New Roman;sans-serif" w:hAnsi="Times New Roman;sans-serif"/>
          <w:b w:val="false"/>
          <w:color w:val="000000"/>
          <w:sz w:val="24"/>
          <w:u w:val="single"/>
        </w:rPr>
        <w:t>Target Bonus</w:t>
      </w:r>
      <w:r>
        <w:rPr>
          <w:color w:val="000000"/>
        </w:rPr>
        <w:t xml:space="preserve">” </w:t>
      </w:r>
      <w:r>
        <w:rPr>
          <w:rFonts w:ascii="Times New Roman;sans-serif" w:hAnsi="Times New Roman;sans-serif"/>
          <w:b w:val="false"/>
          <w:color w:val="000000"/>
          <w:sz w:val="24"/>
        </w:rPr>
        <w:t>means an Eligible Employee’s target annual incentive bonus that the Eligible Employee was eligible to earn under the Company’s applicable annual incentive bonus plan for the year of termination (or the immediately prior year, if such a target annual incentive bonus has not been determined for the year of termination).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w:t>
      </w:r>
      <w:r>
        <w:rPr>
          <w:color w:val="000000"/>
        </w:rPr>
        <w:t>“</w:t>
      </w:r>
      <w:r>
        <w:rPr>
          <w:rFonts w:ascii="Times New Roman;sans-serif" w:hAnsi="Times New Roman;sans-serif"/>
          <w:b w:val="false"/>
          <w:color w:val="000000"/>
          <w:sz w:val="24"/>
          <w:u w:val="single"/>
        </w:rPr>
        <w:t>Tier 1 Executive</w:t>
      </w:r>
      <w:r>
        <w:rPr>
          <w:color w:val="000000"/>
        </w:rPr>
        <w:t xml:space="preserve">” </w:t>
      </w:r>
      <w:r>
        <w:rPr>
          <w:rFonts w:ascii="Times New Roman;sans-serif" w:hAnsi="Times New Roman;sans-serif"/>
          <w:b w:val="false"/>
          <w:color w:val="000000"/>
          <w:sz w:val="24"/>
        </w:rPr>
        <w:t>means an employee of the Employer with the title of Chief Executive Officer.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(w)</w:t>
      </w:r>
      <w:r>
        <w:rPr>
          <w:color w:val="000000"/>
        </w:rPr>
        <w:t>“</w:t>
      </w:r>
      <w:r>
        <w:rPr>
          <w:rFonts w:ascii="Times New Roman;sans-serif" w:hAnsi="Times New Roman;sans-serif"/>
          <w:b w:val="false"/>
          <w:color w:val="000000"/>
          <w:sz w:val="24"/>
          <w:u w:val="single"/>
        </w:rPr>
        <w:t>Tier 2 Executive</w:t>
      </w:r>
      <w:r>
        <w:rPr>
          <w:color w:val="000000"/>
        </w:rPr>
        <w:t xml:space="preserve">” </w:t>
      </w:r>
      <w:r>
        <w:rPr>
          <w:rFonts w:ascii="Times New Roman;sans-serif" w:hAnsi="Times New Roman;sans-serif"/>
          <w:b w:val="false"/>
          <w:color w:val="000000"/>
          <w:sz w:val="24"/>
        </w:rPr>
        <w:t>means an employee of the Employer with the title of President, or Senior Executive Vice President.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(x)</w:t>
      </w:r>
      <w:r>
        <w:rPr>
          <w:color w:val="000000"/>
        </w:rPr>
        <w:t>“</w:t>
      </w:r>
      <w:r>
        <w:rPr>
          <w:rFonts w:ascii="Times New Roman;sans-serif" w:hAnsi="Times New Roman;sans-serif"/>
          <w:b w:val="false"/>
          <w:color w:val="000000"/>
          <w:sz w:val="24"/>
          <w:u w:val="single"/>
        </w:rPr>
        <w:t>Tier 3 Executive</w:t>
      </w:r>
      <w:r>
        <w:rPr>
          <w:color w:val="000000"/>
        </w:rPr>
        <w:t xml:space="preserve">” </w:t>
      </w:r>
      <w:r>
        <w:rPr>
          <w:rFonts w:ascii="Times New Roman;sans-serif" w:hAnsi="Times New Roman;sans-serif"/>
          <w:b w:val="false"/>
          <w:color w:val="000000"/>
          <w:sz w:val="24"/>
        </w:rPr>
        <w:t>means an employee of the Employer with the title of Executive Vice President.</w:t>
      </w:r>
    </w:p>
    <w:p>
      <w:pPr>
        <w:pStyle w:val="TextBody"/>
        <w:bidi w:val="0"/>
        <w:spacing w:lineRule="auto" w:line="288" w:before="0" w:after="240"/>
        <w:jc w:val="both"/>
        <w:rPr/>
      </w:pPr>
      <w:r>
        <w:rPr>
          <w:rFonts w:ascii="Times New Roman;sans-serif" w:hAnsi="Times New Roman;sans-serif"/>
          <w:b w:val="false"/>
          <w:color w:val="000000"/>
          <w:sz w:val="24"/>
        </w:rPr>
        <w:t>SECTION 3.</w:t>
      </w:r>
      <w:r>
        <w:rPr>
          <w:rFonts w:ascii="Times New Roman;sans-serif" w:hAnsi="Times New Roman;sans-serif"/>
          <w:b w:val="false"/>
          <w:color w:val="000000"/>
          <w:sz w:val="24"/>
          <w:u w:val="single"/>
        </w:rPr>
        <w:t>ELIGIBILITY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Plan Administrator shall determine the eligibility of each Eligible Employee for participation in this Plan based upon any information to which it has access and such other information furnished by the Eligible Employee. The determination shall be conclusive and binding upon all persons. In determining eligibility for participation, the Plan Administrator shall make such determination in accordance with ERISA and this Plan, including Section 11(c) hereof. For the avoidance of doubt, an Eligible Employee holding more than one title shall be eligible for benefits at the highest tier of benefits, but shall not be eligible for benefits at more than one tier. </w:t>
      </w:r>
    </w:p>
    <w:p>
      <w:pPr>
        <w:pStyle w:val="TextBody"/>
        <w:bidi w:val="0"/>
        <w:spacing w:lineRule="auto" w:line="288" w:before="0" w:after="240"/>
        <w:jc w:val="both"/>
        <w:rPr/>
      </w:pPr>
      <w:r>
        <w:rPr>
          <w:rFonts w:ascii="Times New Roman;sans-serif" w:hAnsi="Times New Roman;sans-serif"/>
          <w:b w:val="false"/>
          <w:color w:val="000000"/>
          <w:sz w:val="24"/>
        </w:rPr>
        <w:t>SECTION 4.</w:t>
      </w:r>
      <w:r>
        <w:rPr>
          <w:rFonts w:ascii="Times New Roman;sans-serif" w:hAnsi="Times New Roman;sans-serif"/>
          <w:b w:val="false"/>
          <w:color w:val="000000"/>
          <w:sz w:val="24"/>
          <w:u w:val="single"/>
        </w:rPr>
        <w:t>TERMINATION BENEFITS GENERALLY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an Eligible Employee’s employment with the Company is terminated for any reason, the Company shall pay or provide to the Eligible Employee the Accrued Obligations, within the time required by law but in no event more than sixty (60) days after the Date of Termination.</w:t>
      </w:r>
    </w:p>
    <w:p>
      <w:pPr>
        <w:pStyle w:val="TextBody"/>
        <w:bidi w:val="0"/>
        <w:spacing w:lineRule="auto" w:line="288" w:before="0" w:after="240"/>
        <w:jc w:val="both"/>
        <w:rPr/>
      </w:pPr>
      <w:r>
        <w:rPr>
          <w:rFonts w:ascii="Times New Roman;sans-serif" w:hAnsi="Times New Roman;sans-serif"/>
          <w:b w:val="false"/>
          <w:color w:val="000000"/>
          <w:sz w:val="24"/>
        </w:rPr>
        <w:t>SECTION 5.</w:t>
      </w:r>
      <w:r>
        <w:rPr>
          <w:rFonts w:ascii="Times New Roman;sans-serif" w:hAnsi="Times New Roman;sans-serif"/>
          <w:b w:val="false"/>
          <w:color w:val="000000"/>
          <w:sz w:val="24"/>
          <w:u w:val="single"/>
        </w:rPr>
        <w:t>TERMINATION NOT IN CONNECTION WITH A CHANGE IN CONTROL</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70890"/>
                <wp:effectExtent l="0" t="0" r="0" b="0"/>
                <wp:wrapNone/>
                <wp:docPr id="60" name="Frame60"/>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In the event a Qualified Termination occurs at any time other than during the Change in Control Period, with respect to such Eligible Employee, in addition to the Accrued Obligations, subject to the Eligible Employee’s execution and non-revocation of a Release Agreement, substantially in the form set forth in </w:t>
      </w:r>
      <w:r>
        <w:rPr>
          <w:rFonts w:ascii="Times New Roman;sans-serif" w:hAnsi="Times New Roman;sans-serif"/>
          <w:b w:val="false"/>
          <w:color w:val="000000"/>
          <w:sz w:val="24"/>
          <w:u w:val="single"/>
        </w:rPr>
        <w:t>Schedule A</w:t>
      </w:r>
      <w:r>
        <w:rPr>
          <w:rFonts w:ascii="Times New Roman;sans-serif" w:hAnsi="Times New Roman;sans-serif"/>
          <w:b w:val="false"/>
          <w:color w:val="000000"/>
          <w:sz w:val="24"/>
        </w:rPr>
        <w:t>, within the time period set forth in the Release Agreement but in no event more than sixty (60) days after the Date of Termination, and subject to the Eligible Employee complying with the Release Agreement, the Company shall: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pay the Eligible Employee an amount equal to the sum of (i) the Eligible Employee’s Base Salary and (ii) Eligible Employee’s Bonus, times a multiple equal to 2 for a Tier 1 Executive, 1.5 for a Tier 2 Executive, and 1 for a Tier 3 Executive,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pay the Eligible Employee an amount equal to the Pro-Rata Bonus;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if the Eligible Employee was participating in the Company’s group health plan immediately prior to the Date of Termination and timely elects COBRA health continuation, then the Company shall pay to the Eligible Employee (i) the total amount of the COBRA continuation (medical, vision and dental) monthly premium rate that would otherwise be payable by the Eligible Employee for such COBRA continuation for the Eligible Employee and any eligible dependents, as applicable, based on the premium rate as of the Date of Termination, multiplied by (ii) twenty-four (24) for the Tier 1 Executive, eighteen (18) for the Tier 2 Executive, and twelve (12) for a Tier 3 Executive ;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pay, on behalf of the Eligible Employee, for the highest level of outplacement benefits pursuant to the Company’s outplacement services plan for senior executives in effect immediately prior to the Date of Termination, for a period of 12 months following the Date of Termination.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amounts payable under Sections 5(a), (b) and (c) shall be paid out in a lump sum within sixty (60) days after the Date of Termination; provided, however, that if the 60-day period begins in one calendar year and ends in a second calendar year, such payments, to the extent they qualify as “non-qualified deferred compensation” within the meaning of Section 409A of the Code, shall, begin to be paid in the second calendar year no later than the last day of such 60-day period (except as otherwise required to be further delayed pursuant to Section 19(a)); provided further, that the initial payment shall include a catch-up payment to cover amounts retroactive to the day immediately following the Date of Termination. Notwithstanding anything to the contrary in the foregoing, the Eligible Employee’s entitlement to the benefits under Section 5(d) shall commence immediately following the Date of Termination; provided, however, that such entitlement shall immediately cease if the Release Agreement does not become fully effective within the time period set forth in the Release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The treatment of any outstanding and unvested equity awards (the “</w:t>
      </w:r>
      <w:r>
        <w:rPr>
          <w:rFonts w:ascii="Times New Roman;sans-serif" w:hAnsi="Times New Roman;sans-serif"/>
          <w:b w:val="false"/>
          <w:color w:val="000000"/>
          <w:sz w:val="24"/>
          <w:u w:val="single"/>
        </w:rPr>
        <w:t>Unvested Equity Awards</w:t>
      </w:r>
      <w:r>
        <w:rPr>
          <w:color w:val="000000"/>
        </w:rPr>
        <w:t>”</w:t>
      </w:r>
      <w:r>
        <w:rPr>
          <w:rFonts w:ascii="Times New Roman;sans-serif" w:hAnsi="Times New Roman;sans-serif"/>
          <w:b w:val="false"/>
          <w:color w:val="000000"/>
          <w:sz w:val="24"/>
        </w:rPr>
        <w:t xml:space="preserve">) held by the Eligible Employee on the Date of Termination under this Section 5 shall be governed by the terms of the applicable Long-Term Incentive Plan award agreement between the Company and the Eligible Employee; provided, however, that if the Date of Termination occurs for any reason other than for Cause, death or Disability for any Tier 1, Tier 2 or Tier 3 Executive, then, subject to the Eligible Employee’s execution and non-revocation of the Release Agreement within the time period set forth in the Release Agreement, but in no event more than sixty (60) days after the Date of Termination, and subject to the Eligible Employee complying with the Release Agreement, and notwithstanding anything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70890"/>
                <wp:effectExtent l="0" t="0" r="0" b="0"/>
                <wp:wrapNone/>
                <wp:docPr id="61" name="Frame61"/>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to the contrary in the appliable Long-Term Incentive Plan award agreement or any other applicable option or other stock-based award agreement, the Company shall cause 100% of the Unvested Equity Awards subject to time-based vesting conditions to immediately become fully vested, exercisable and/or nonforfeitable as of the later of (i) the Date of Termination or (ii) the effective date of the Release Agreement (the “</w:t>
      </w:r>
      <w:r>
        <w:rPr>
          <w:rFonts w:ascii="Times New Roman;sans-serif" w:hAnsi="Times New Roman;sans-serif"/>
          <w:b w:val="false"/>
          <w:color w:val="000000"/>
          <w:sz w:val="24"/>
          <w:u w:val="single"/>
        </w:rPr>
        <w:t>Accelerated Vesting Date</w:t>
      </w:r>
      <w:r>
        <w:rPr>
          <w:color w:val="000000"/>
        </w:rPr>
        <w:t>”</w:t>
      </w:r>
      <w:r>
        <w:rPr>
          <w:rFonts w:ascii="Times New Roman;sans-serif" w:hAnsi="Times New Roman;sans-serif"/>
          <w:b w:val="false"/>
          <w:color w:val="000000"/>
          <w:sz w:val="24"/>
        </w:rPr>
        <w:t xml:space="preserve">). In order to effectuate the accelerated vesting contemplated by this Section, the termination or forfeiture of the unvested portion of the Eligible Employee’s Unvested Equity Awards that would otherwise terminate or be forfeited on the Date of Termination will be delayed until the earlier of (A) the effective date of the Release Agreement (at which time acceleration will occur), or (B) the date that the Release Agreement can no longer become fully effective (at which time the Eligible Employee’s Unvested Equity Awards will terminate or be forfeited). For purposes of clarity, no additional vesting of the Unvested Equity Awards shall occur during the period between the Date of Termination and the Accelerated Vesting Date. </w:t>
      </w:r>
    </w:p>
    <w:p>
      <w:pPr>
        <w:pStyle w:val="TextBody"/>
        <w:bidi w:val="0"/>
        <w:spacing w:lineRule="auto" w:line="288" w:before="0" w:after="240"/>
        <w:jc w:val="both"/>
        <w:rPr/>
      </w:pPr>
      <w:r>
        <w:rPr>
          <w:rFonts w:ascii="Times New Roman;sans-serif" w:hAnsi="Times New Roman;sans-serif"/>
          <w:b w:val="false"/>
          <w:color w:val="000000"/>
          <w:sz w:val="24"/>
        </w:rPr>
        <w:t>SECTION 6.</w:t>
      </w:r>
      <w:r>
        <w:rPr>
          <w:rFonts w:ascii="Times New Roman;sans-serif" w:hAnsi="Times New Roman;sans-serif"/>
          <w:b w:val="false"/>
          <w:color w:val="000000"/>
          <w:sz w:val="24"/>
          <w:u w:val="single"/>
        </w:rPr>
        <w:t>TERMINATION IN CONNECTION WITH A CHANGE IN CONTROL</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a Qualified Termination occurs within the Change in Control Period, then with respect to such Eligible Employee, in addition to the Accrued Obligations, subject to the Eligible Employee’s execution and non-revocation of the Release Agreement within the time period set forth in the Release Agreement, but in no event more than sixty (60) days after the Date of Termination, the Company shall: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pay the Eligible Employee an amount equal to three (3) multiplied by the sum of (i) the Eligible Employee’s Base Salary, and (ii) the Eligible Employee’s Bonus;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pay the Eligible Employee an amount equal to the Pro-Rata Bonus;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pay the Eligible Employee an amount equal to the product of (x) the total amount of the COBRA continuation (medical, vision and dental) monthly premium rate that would otherwise be payable by the Eligible Employee for such COBRA continuation for the Eligible Employee and any eligible dependents, as applicable, based on the premium rate as of the Date of Termination and (y) 36;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pay, on behalf of the Eligible Employee, for the highest level of outplacement benefits pursuant to the Company’s outplacement services plan for senior executives in effect immediately prior to the Date of Termination, for a period of 12 months following the Date of Termination.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amounts payable under Sections 6(a), (b) and (c) shall be paid in a lump sum within sixty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or begin to be paid, as applicable, in the second calendar year no later than the last day of the 60-day period (except as otherwise required to be further delayed pursuant to Section 19(a)); provided further, that if applicable, the initial payment shall include a catch-up payment to cover amounts retroactive to the day immediately following the Date of Termination. For the avoidance of doubt, the severance pay and benefits provided in this Section 6 shall apply in lieu of, and expressly supersede, the provisions of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70890"/>
                <wp:effectExtent l="0" t="0" r="0" b="0"/>
                <wp:wrapNone/>
                <wp:docPr id="62" name="Frame62"/>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Section 5 and no Eligible Employee shall be entitled to the severance pay and benefits under both Section 5 and 6 hereof. Notwithstanding anything to the contrary in the foregoing, the Eligible Employee’s entitlement to the benefits under Section 6(d) shall commence immediately following the Date of Termination; provided, however, that such entitlement shall immediately cease if the Release Agreement does not become fully effective within the time period set forth in the Release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herein to the contrary, the treatment of any Unvested Equity Awards held by the Eligible Employee on the Date of Termination under this Section 6 shall be governed by the terms of the applicable Long-Term Incentive Plan award agreement between the Company and the Eligible Employee.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the mere occurrence of a Change in Control shall not be treated as a termination of an Eligible Employee’s employment under this Plan, nor shall the mere transfer of an Eligible Employee’s employment to and between the Employer and/or any Subsidiary be treated as a termination under this Plan.</w:t>
      </w:r>
    </w:p>
    <w:p>
      <w:pPr>
        <w:pStyle w:val="TextBody"/>
        <w:bidi w:val="0"/>
        <w:spacing w:lineRule="auto" w:line="288" w:before="0" w:after="240"/>
        <w:jc w:val="both"/>
        <w:rPr/>
      </w:pPr>
      <w:r>
        <w:rPr>
          <w:rFonts w:ascii="Times New Roman;sans-serif" w:hAnsi="Times New Roman;sans-serif"/>
          <w:b w:val="false"/>
          <w:color w:val="000000"/>
          <w:sz w:val="24"/>
        </w:rPr>
        <w:t>SECTION 7.</w:t>
      </w:r>
      <w:r>
        <w:rPr>
          <w:rFonts w:ascii="Times New Roman;sans-serif" w:hAnsi="Times New Roman;sans-serif"/>
          <w:b w:val="false"/>
          <w:color w:val="000000"/>
          <w:sz w:val="24"/>
          <w:u w:val="single"/>
        </w:rPr>
        <w:t>REDUCTION OF CERTAIN BENEFITS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Reduction in Benefits</w:t>
      </w:r>
      <w:r>
        <w:rPr>
          <w:rFonts w:ascii="Times New Roman;sans-serif" w:hAnsi="Times New Roman;sans-serif"/>
          <w:b w:val="false"/>
          <w:color w:val="000000"/>
          <w:sz w:val="24"/>
        </w:rPr>
        <w:t>. Anything in this Plan to the contrary notwithstanding, in the event that the receipt of all payments or distributions by the Company or the Employer in the nature of compensation to or for the Eligible Employee’s benefit, whether paid or payable pursuant to this Plan or otherwise (a “</w:t>
      </w:r>
      <w:r>
        <w:rPr>
          <w:rFonts w:ascii="Times New Roman;sans-serif" w:hAnsi="Times New Roman;sans-serif"/>
          <w:b w:val="false"/>
          <w:color w:val="000000"/>
          <w:sz w:val="24"/>
          <w:u w:val="single"/>
        </w:rPr>
        <w:t>Payment</w:t>
      </w:r>
      <w:r>
        <w:rPr>
          <w:color w:val="000000"/>
        </w:rPr>
        <w:t>”</w:t>
      </w:r>
      <w:r>
        <w:rPr>
          <w:rFonts w:ascii="Times New Roman;sans-serif" w:hAnsi="Times New Roman;sans-serif"/>
          <w:b w:val="false"/>
          <w:color w:val="000000"/>
          <w:sz w:val="24"/>
        </w:rPr>
        <w:t>), would subject the Eligible Employee to the excise tax under Section 4999 of the Code, the accounting firm which audited the Company prior to the corporate transaction which results in the application of such excise tax, or another nationally known accounting or employee benefits consulting firm selected by the Company prior to such corporate transaction, in consultation with the Tier 1 Executive (the “</w:t>
      </w:r>
      <w:r>
        <w:rPr>
          <w:rFonts w:ascii="Times New Roman;sans-serif" w:hAnsi="Times New Roman;sans-serif"/>
          <w:b w:val="false"/>
          <w:color w:val="000000"/>
          <w:sz w:val="24"/>
          <w:u w:val="single"/>
        </w:rPr>
        <w:t>Accounting Firm</w:t>
      </w:r>
      <w:r>
        <w:rPr>
          <w:color w:val="000000"/>
        </w:rPr>
        <w:t>”</w:t>
      </w:r>
      <w:r>
        <w:rPr>
          <w:rFonts w:ascii="Times New Roman;sans-serif" w:hAnsi="Times New Roman;sans-serif"/>
          <w:b w:val="false"/>
          <w:color w:val="000000"/>
          <w:sz w:val="24"/>
        </w:rPr>
        <w:t xml:space="preserve">), shall determine whether to reduce any of the Payments to the Reduced Amount (as defined below). The Payments shall be reduced to the Reduced Amount </w:t>
      </w:r>
      <w:r>
        <w:rPr>
          <w:rFonts w:ascii="Times New Roman;sans-serif" w:hAnsi="Times New Roman;sans-serif"/>
          <w:b w:val="false"/>
          <w:i/>
          <w:color w:val="000000"/>
          <w:sz w:val="24"/>
        </w:rPr>
        <w:t>only if</w:t>
      </w:r>
      <w:r>
        <w:rPr>
          <w:color w:val="000000"/>
        </w:rPr>
        <w:t xml:space="preserve"> </w:t>
      </w:r>
      <w:r>
        <w:rPr>
          <w:rFonts w:ascii="Times New Roman;sans-serif" w:hAnsi="Times New Roman;sans-serif"/>
          <w:b w:val="false"/>
          <w:color w:val="000000"/>
          <w:sz w:val="24"/>
        </w:rPr>
        <w:t>the Accounting Firm determines that the Eligible Employee would have a greater Net After-Tax Receipt (as defined below) of aggregate Payments if the Eligible Employee’s Payments were reduced to the Reduced Amount. If such a determination is not made by the Accounting Firm, the Eligible Employee shall receive all Payments to which Eligible Employee is entitled to receive.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Order of Reduction</w:t>
      </w:r>
      <w:r>
        <w:rPr>
          <w:rFonts w:ascii="Times New Roman;sans-serif" w:hAnsi="Times New Roman;sans-serif"/>
          <w:b w:val="false"/>
          <w:color w:val="000000"/>
          <w:sz w:val="24"/>
        </w:rPr>
        <w:t xml:space="preserve">. If the Accounting Firm determines that aggregate Payments should be reduced to the Reduced Amount, the Company shall promptly give the Eligible Employee notice to that effect and a copy of the detailed calculation thereof. All determinations made by the Accounting Firm under this Section 7 shall be made as soon as reasonably practicable and in no event later than 60 days following the date of termination of employment or such earlier date as requested by the Company and the Eligible Employee. All fees and expenses of the Accounting Firm shall be borne solely by the Company. Any determination by the Accounting Firm shall be binding on the Company, its Subsidiaries and the Eligible Employee. For purposes of reducing the Payments to the Reduced Amount, the Payments shall be reduced in the following order, in each case, in reverse chronological order beginning with the Payments that are to be paid or become vested the furthest in time from consummation of the Change in Control: (1) cash payments not subject to Section 409A of the Code; (2) cash payments subject to Section 409A of the Code; (3) equity-based payments and acceleration; and (4) non-cash forms of benefits;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all amounts or payments that are not subject to calculation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70890"/>
                <wp:effectExtent l="0" t="0" r="0" b="0"/>
                <wp:wrapNone/>
                <wp:docPr id="63" name="Frame63"/>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 Treas. Reg. § 1.280G-1, Q&amp;A-24(b) or (c) shall be reduced before any amounts that are subject to calculation under Treas. Reg. § 1.280G-1, Q&amp;A-24(b) or (c).</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Underpayment or Overpayment</w:t>
      </w:r>
      <w:r>
        <w:rPr>
          <w:rFonts w:ascii="Times New Roman;sans-serif" w:hAnsi="Times New Roman;sans-serif"/>
          <w:b w:val="false"/>
          <w:color w:val="000000"/>
          <w:sz w:val="24"/>
        </w:rPr>
        <w:t>. As a result of the uncertainty in the application of Section 4999 of the Code at the time of the initial determination by the Accounting Firm hereunder, it is possible that amounts will have been paid or distributed by the Company to or for the benefit of the Eligible Employee pursuant to this Plan which should not have been so paid or distributed (the “</w:t>
      </w:r>
      <w:r>
        <w:rPr>
          <w:rFonts w:ascii="Times New Roman;sans-serif" w:hAnsi="Times New Roman;sans-serif"/>
          <w:b w:val="false"/>
          <w:color w:val="000000"/>
          <w:sz w:val="24"/>
          <w:u w:val="single"/>
        </w:rPr>
        <w:t>Overpayment</w:t>
      </w:r>
      <w:r>
        <w:rPr>
          <w:color w:val="000000"/>
        </w:rPr>
        <w:t>”</w:t>
      </w:r>
      <w:r>
        <w:rPr>
          <w:rFonts w:ascii="Times New Roman;sans-serif" w:hAnsi="Times New Roman;sans-serif"/>
          <w:b w:val="false"/>
          <w:color w:val="000000"/>
          <w:sz w:val="24"/>
        </w:rPr>
        <w:t>) or that additional amounts which will have not been paid or distributed by the Company to or for the benefit of the Eligible Employee pursuant to this Plan could have been so paid or distributed (the “</w:t>
      </w:r>
      <w:r>
        <w:rPr>
          <w:rFonts w:ascii="Times New Roman;sans-serif" w:hAnsi="Times New Roman;sans-serif"/>
          <w:b w:val="false"/>
          <w:color w:val="000000"/>
          <w:sz w:val="24"/>
          <w:u w:val="single"/>
        </w:rPr>
        <w:t>Underpayment</w:t>
      </w:r>
      <w:r>
        <w:rPr>
          <w:color w:val="000000"/>
        </w:rPr>
        <w:t>”</w:t>
      </w:r>
      <w:r>
        <w:rPr>
          <w:rFonts w:ascii="Times New Roman;sans-serif" w:hAnsi="Times New Roman;sans-serif"/>
          <w:b w:val="false"/>
          <w:color w:val="000000"/>
          <w:sz w:val="24"/>
        </w:rPr>
        <w:t xml:space="preserve">), in each case, consistent with the calculation of the Reduced Amount hereunder. In the event that the Accounting Firm, based upon the assertion of a deficiency by the Internal Revenue Service against either the Company or a Subsidiary or the Eligible Employee which the Accounting Firm believes has a high probability of success, determines that an Overpayment has been made, the Eligible Employee shall pay any such Overpayment to the Company together with interest at the applicable federal rate provided for in Section 7872(f)(2) of the Code;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amount shall be payable by the Eligible Employee to the Company if and to the extent such payment would not either reduce the amount on which the Eligible Employee is subject to tax under Section 1 and Section 4999 of the Code or generate a refund of such taxes. In the event that the Accounting Firm, based upon controlling precedent or substantial authority, determines that an Underpayment has occurred, any such Underpayment shall be paid promptly (and in no event later than 60 days following the date on which the Underpayment is determined) by the Company to or for the benefit of the Eligible Employee together with interest at the applicable federal rate provided for in Section 7872(f)(2) of the Code.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Reduced Amount and After-Tax Receipt</w:t>
      </w:r>
      <w:r>
        <w:rPr>
          <w:rFonts w:ascii="Times New Roman;sans-serif" w:hAnsi="Times New Roman;sans-serif"/>
          <w:b w:val="false"/>
          <w:color w:val="000000"/>
          <w:sz w:val="24"/>
        </w:rPr>
        <w:t>. For purposes hereof, the following terms have the meanings set forth below: (i) “</w:t>
      </w:r>
      <w:r>
        <w:rPr>
          <w:rFonts w:ascii="Times New Roman;sans-serif" w:hAnsi="Times New Roman;sans-serif"/>
          <w:b w:val="false"/>
          <w:color w:val="000000"/>
          <w:sz w:val="24"/>
          <w:u w:val="single"/>
        </w:rPr>
        <w:t>Reduced Amount</w:t>
      </w:r>
      <w:r>
        <w:rPr>
          <w:color w:val="000000"/>
        </w:rPr>
        <w:t xml:space="preserve">” </w:t>
      </w:r>
      <w:r>
        <w:rPr>
          <w:rFonts w:ascii="Times New Roman;sans-serif" w:hAnsi="Times New Roman;sans-serif"/>
          <w:b w:val="false"/>
          <w:color w:val="000000"/>
          <w:sz w:val="24"/>
        </w:rPr>
        <w:t>shall mean the greatest amount of Payments that can be paid that would not result in the imposition of the excise tax under Section 4999 of the Code if the Accounting Firm determines to reduce Payments pursuant to this Section 12 and (ii) “</w:t>
      </w:r>
      <w:r>
        <w:rPr>
          <w:rFonts w:ascii="Times New Roman;sans-serif" w:hAnsi="Times New Roman;sans-serif"/>
          <w:b w:val="false"/>
          <w:color w:val="000000"/>
          <w:sz w:val="24"/>
          <w:u w:val="single"/>
        </w:rPr>
        <w:t>Net After-Tax Receipt</w:t>
      </w:r>
      <w:r>
        <w:rPr>
          <w:color w:val="000000"/>
        </w:rPr>
        <w:t xml:space="preserve">” </w:t>
      </w:r>
      <w:r>
        <w:rPr>
          <w:rFonts w:ascii="Times New Roman;sans-serif" w:hAnsi="Times New Roman;sans-serif"/>
          <w:b w:val="false"/>
          <w:color w:val="000000"/>
          <w:sz w:val="24"/>
        </w:rPr>
        <w:t>shall mean the present value (as determined in accordance with Sections 280G(b)(2)(A)(ii) and 280G(d)(4) of the Code) of a Payment net of all taxes imposed on the Eligible Employee with respect thereto under Sections 1 and 4999 of the Code and under applicable state and local laws, determined by applying the highest marginal rate under Section 1 of the Code and under state and local laws which applied to the Eligible Employee’s taxable income for the immediately preceding taxable year, or such other rate(s) as the Eligible Employee certifies, in the Eligible Employee’s sole discretion, as likely to apply to her/him in the relevant tax year(s).</w:t>
      </w:r>
    </w:p>
    <w:p>
      <w:pPr>
        <w:pStyle w:val="TextBody"/>
        <w:bidi w:val="0"/>
        <w:spacing w:lineRule="auto" w:line="288" w:before="0" w:after="240"/>
        <w:jc w:val="both"/>
        <w:rPr/>
      </w:pPr>
      <w:r>
        <w:rPr>
          <w:rFonts w:ascii="Times New Roman;sans-serif" w:hAnsi="Times New Roman;sans-serif"/>
          <w:b w:val="false"/>
          <w:color w:val="000000"/>
          <w:sz w:val="24"/>
        </w:rPr>
        <w:t>SECTION 8.</w:t>
      </w:r>
      <w:r>
        <w:rPr>
          <w:rFonts w:ascii="Times New Roman;sans-serif" w:hAnsi="Times New Roman;sans-serif"/>
          <w:b w:val="false"/>
          <w:color w:val="000000"/>
          <w:sz w:val="24"/>
          <w:u w:val="single"/>
        </w:rPr>
        <w:t>WITHHOLDING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Notwithstanding anything in this Plan to the contrary, all payments required to be made by the Employer hereunder to an Eligible Employee or her/his estate or beneficiaries shall be subject to the withholding of such amounts relating to taxes as the Employer reasonably may determine it should withhold pursuant to any applicable law or regulation. In lieu of withholding such amounts, in whole or in part, the Employer may, in its sole discretion, accept other provisions for the payment of taxes and any withholdings as required by law,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Employer is satisfied that all requirements of law affecting its responsibilities to withhold compensation have been satisfied.</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70890"/>
                <wp:effectExtent l="0" t="0" r="0" b="0"/>
                <wp:wrapNone/>
                <wp:docPr id="64" name="Frame64"/>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SECTION 9.</w:t>
      </w:r>
      <w:r>
        <w:rPr>
          <w:rFonts w:ascii="Times New Roman;sans-serif" w:hAnsi="Times New Roman;sans-serif"/>
          <w:b w:val="false"/>
          <w:color w:val="000000"/>
          <w:sz w:val="24"/>
          <w:u w:val="single"/>
        </w:rPr>
        <w:t>NO DUTY TO MITIGATE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 Eligible Employee’s payments received hereunder shall be considered severance pay in consideration of past service, and entitlement thereto shall not be governed by any duty to mitigate damages by seeking further employment. In addition, no payments received hereunder shall be offset by any payments or benefits an Eligible Employee may receive from any future employer.</w:t>
      </w:r>
    </w:p>
    <w:p>
      <w:pPr>
        <w:pStyle w:val="TextBody"/>
        <w:bidi w:val="0"/>
        <w:spacing w:lineRule="auto" w:line="288" w:before="0" w:after="240"/>
        <w:jc w:val="both"/>
        <w:rPr/>
      </w:pPr>
      <w:r>
        <w:rPr>
          <w:rFonts w:ascii="Times New Roman;sans-serif" w:hAnsi="Times New Roman;sans-serif"/>
          <w:b w:val="false"/>
          <w:color w:val="000000"/>
          <w:sz w:val="24"/>
        </w:rPr>
        <w:t>SECTION 10.</w:t>
      </w:r>
      <w:r>
        <w:rPr>
          <w:rFonts w:ascii="Times New Roman;sans-serif" w:hAnsi="Times New Roman;sans-serif"/>
          <w:b w:val="false"/>
          <w:color w:val="000000"/>
          <w:sz w:val="24"/>
          <w:u w:val="single"/>
        </w:rPr>
        <w:t>AMENDMENT, SUSPENSION OR TERMINATION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Prior to a Change in Control, this Plan may be amended, suspended or terminated at any time by the Plan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amendment, suspension or termination that reduces benefits, changes the definition of Eligible Employees or otherwise adversely impairs an Eligible Employee’s ability to receive any of the severance payments or benefits that could be provided under this Plan will not be effective until 12 months after notice of any such change is provided to the Eligible Employees. No such amendment, suspension or termination will be effective if a Change in Control occurs during the 12-month notice period and no such amendment, suspension or termination may occur after a Change in Control. This Plan may otherwise be amended, suspended or terminated by the Plan Administrator following the expiration of the Change in Control Period and the satisfaction of all obligations the Company may have to any Eligible Employee under the Plan.</w:t>
      </w:r>
    </w:p>
    <w:p>
      <w:pPr>
        <w:pStyle w:val="TextBody"/>
        <w:bidi w:val="0"/>
        <w:spacing w:lineRule="auto" w:line="288" w:before="0" w:after="24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ADMINISTRATION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Plan Administrator and any representative whom it chooses to assist it to carry out its responsibilities under the Plan shall have the maximum discretionary authority permitted by law to interpret, construe, and administer the Plan, to make determinations regarding Plan participation, enrollment and eligibility for benefits, to evaluate and determine the validity of benefit claims, and to resolve any and all claims and disputes regarding the rights and entitlements of individuals to participate in the Plan and to receive benefits and payments pursuant to the Plan. The decisions of the Plan Administrator and its representatives shall be given the maximum deference permitted by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Plan Administrator shall have such powers as are necessary for the proper handling of claims for benefits under the Plan, including, but not limited to, the following:</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To prescribe procedures to be followed by Eligible Employees in filing applications for benefits and for furnishing evidence necessary to establish their rights to benefits under the Plan;</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To find facts as to the rights of any Eligible Employee applying for or receiving benefits under the Plan and to notify any such Employee dissatisfied with any such finding of his right to appeal as set forth in Section 12(b). Final determination of benefits covered under this Plan shall be made by the Plan Administrator;</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To make benefit payments directly to Eligible Employees entitled to benefits under the Plan or to their authorized assignees;</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70890"/>
                <wp:effectExtent l="0" t="0" r="0" b="0"/>
                <wp:wrapNone/>
                <wp:docPr id="65" name="Frame65"/>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To obtain from the Eligible Employee such information as shall be necessary for the proper administration of claims under the Plan;</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To keep records regarding the administration of claims under the Plan; and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To collect, evaluate, analyze and prepare statistical and other data with respect to the administration of the Plan.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Sponsoring Employer shall have the sole and absolute discretion to determine the termination dates for all Eligible Employees, and to determine whether an Eligible Employee suffered a Qualifying Termination. The Sponsoring Employer’s exercise of its discretion pursuant to this Section 11(c) shall be a matter of business judgment and not the subject of fiduciary responsibility.</w:t>
      </w:r>
    </w:p>
    <w:p>
      <w:pPr>
        <w:pStyle w:val="TextBody"/>
        <w:bidi w:val="0"/>
        <w:spacing w:lineRule="auto" w:line="288" w:before="0" w:after="24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CLAIMS PROCEDURE AND PAYMENT OF BENEFITS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Application for Benefits</w:t>
      </w:r>
      <w:r>
        <w:rPr>
          <w:rFonts w:ascii="Times New Roman;sans-serif" w:hAnsi="Times New Roman;sans-serif"/>
          <w:b w:val="false"/>
          <w:color w:val="000000"/>
          <w:sz w:val="24"/>
        </w:rPr>
        <w: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The following terms shall have the meaning described below for purposes of Sections 12(a) through 12(d):</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(A)The term “Adverse Benefit Determination” means any of the following: a denial, reduction, or termination of, or a failure to provide or make payment (in whole or in part) for, a benefit, including any such denial, reduction, termination, or failure to provide or make payment that is based on a determination of an Eligible Employee’s or beneficiary’s eligibility to participate in a Plan.</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(B)The term “Notice” or “Notification” means the delivery or furnishing of information to an individual in a manner that is reasonably calculated to ensure actual receipt by the individual.</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All applications for benefits under the Plan shall be submitted to the Plan Administrator at such location as shall be designated by the Plan Administrator from time to time. Applications for benefits must be in writing on forms acceptable to the Plan Administrator and must be signed by the Eligible Employee. The Plan Administrator reserves the right to require the Eligible Employee to furnish such other information and documents as the Plan Administrator determines are necessary or appropriate. Each application shall be acted upon and approved or disapproved by the Plan Administrator within ninety (90) days following its receipt by the Plan Administrator.</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The Plan Administrator shall provide a claimant with written or electronic Notification of any Adverse Benefit Determination. Any electronic Notification shall comply with the standards imposed by 29 CFR 2520.104b-l(c)(l)(i), (iii), and (iv). The Notification shall set forth, in a manner calculated to be understood by the claimant:</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(A)The specific reason or reasons for the adverse determination;</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(B)Reference to the specific Plan provisions on which the determination is based.</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70890"/>
                <wp:effectExtent l="0" t="0" r="0" b="0"/>
                <wp:wrapNone/>
                <wp:docPr id="66" name="Frame66"/>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(C)A description of any additional material or information necessary for the claimant to perfect the claim and an explanation of why such material or information is necessary; and</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(D)A description of the Plan’s review procedures and the time limits applicable to such procedures, including a statement of the claimant’s right to bring a civil action under Section 502(a) of ERISA following an Adverse Benefit Determination on review.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Review of Benefit Denials</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Appeal</w:t>
      </w:r>
      <w:r>
        <w:rPr>
          <w:rFonts w:ascii="Times New Roman;sans-serif" w:hAnsi="Times New Roman;sans-serif"/>
          <w:b w:val="false"/>
          <w:color w:val="000000"/>
          <w:sz w:val="24"/>
        </w:rPr>
        <w:t>. A claimant shall have a reasonable opportunity to appeal an Adverse Benefit Determination to the Board and under which there will be a full and fair review of the claim and the Adverse Benefit Determination. The Board shall be identified in the Notification described in Section 12(a)(ii) and may be the Plan Administrator. Such full and fair review shall:</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(A)Provide claimants at least ninety (90) days following receipt of a Notification of an Adverse Benefit Determination within which to appeal the determination;</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(B)Provide claimants the opportunity to submit written comments, documents, records, and other information relating to the claim for benefits;</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(C)Provide that a claimant shall be provided, upon request and free of charge, reasonable access to, and copies of, all documents, records, and other information relevant to the claimant’s claim for benefits;</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(D)Provide for a review that takes into account all comments, documents, records, and other information submitted by the claimant relating to the claim, without regard to whether such information was submitted or considered in the initial benefit determination; and</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(E)Provide for a review that does not afford deference to the initial Adverse Benefit Determination and that is conducted by an appropriate person who is neither the individual who made the Adverse Benefit Determination that is the subject of the appeal, nor the subordinate of such individual.</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Timing of Benefit Determination on Review</w:t>
      </w:r>
      <w:r>
        <w:rPr>
          <w:rFonts w:ascii="Times New Roman;sans-serif" w:hAnsi="Times New Roman;sans-serif"/>
          <w:b w:val="false"/>
          <w:color w:val="000000"/>
          <w:sz w:val="24"/>
        </w:rPr>
        <w:t>. The [Board] shall notify the Eligible Employee, in accordance with Section 12(b)(iv), of the Plan’s benefit determination on review within a reasonable period of time. Such Notification shall be provided not later than sixty (60) days after receipt by the Plan of the Eligible Employee’s request for review of the adverse determination.</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Furnishing Documents</w:t>
      </w:r>
      <w:r>
        <w:rPr>
          <w:rFonts w:ascii="Times New Roman;sans-serif" w:hAnsi="Times New Roman;sans-serif"/>
          <w:b w:val="false"/>
          <w:color w:val="000000"/>
          <w:sz w:val="24"/>
        </w:rPr>
        <w:t>. In the case of an Adverse Benefit Determination on review, the [Board] shall provide such access to, and copies of, documents, records, and other information described in Section 12(b)(iv) as is appropriate.</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Content of Notification on Review</w:t>
      </w:r>
      <w:r>
        <w:rPr>
          <w:rFonts w:ascii="Times New Roman;sans-serif" w:hAnsi="Times New Roman;sans-serif"/>
          <w:b w:val="false"/>
          <w:color w:val="000000"/>
          <w:sz w:val="24"/>
        </w:rPr>
        <w:t xml:space="preserve">. The [Board] shall provide a claimant with written or electronic Notification of a Plan's benefit determination following an appeal described in Section 12(b)(i). Any electronic Notification shall comply with the standards imposed by 29 CFR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70890"/>
                <wp:effectExtent l="0" t="0" r="0" b="0"/>
                <wp:wrapNone/>
                <wp:docPr id="67" name="Frame67"/>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2520.104b-l(c)(l)(i), (iii), and (iv). In the case of an Adverse Benefit Determination on review, the Notification shall set forth, in a manner calculated to be understood by the claimant:</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323232"/>
          <w:sz w:val="24"/>
        </w:rPr>
        <w:t>The specific reason or reasons for the adverse determination;</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(B)Reference to the specific Plan provisions on which the benefit determination is based;</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(C)A statement that the claimant is entitled to receive, upon request and free of charge, reasonable access to, and copies of, all documents, records, and other information relevant to the claimant's claim for benefits; and</w:t>
      </w:r>
    </w:p>
    <w:p>
      <w:pPr>
        <w:pStyle w:val="TextBody"/>
        <w:bidi w:val="0"/>
        <w:spacing w:lineRule="auto" w:line="288"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(D)A statement of the claimant’s right to bring an action under Section 502(a) of ERISA.</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Calculating Time Periods</w:t>
      </w:r>
      <w:r>
        <w:rPr>
          <w:rFonts w:ascii="Times New Roman;sans-serif" w:hAnsi="Times New Roman;sans-serif"/>
          <w:b w:val="false"/>
          <w:color w:val="000000"/>
          <w:sz w:val="24"/>
        </w:rPr>
        <w:t>. The period of time within which a benefit determination (including a benefit determination on review) is required to be made shall begin at the time a claim (or appeal) is filed in accordance with the reasonable procedures of the Plan, without regard to whether all the information necessary to make a benefit determination accompanies the filing. In the event that a period of time is extended due to a claimant's failure to submit information necessary to decide a claim, the period for making the benefit determination shall be tolled from the date on which the Notification of the extension is sent to the claimant until the date on which the claimant responds to the request for additional information.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Extension of Notice Period</w:t>
      </w:r>
      <w:r>
        <w:rPr>
          <w:rFonts w:ascii="Times New Roman;sans-serif" w:hAnsi="Times New Roman;sans-serif"/>
          <w:b w:val="false"/>
          <w:color w:val="000000"/>
          <w:sz w:val="24"/>
        </w:rPr>
        <w:t>. The ninety (90) day and sixty (60) day periods applicable to notice furnished by the Plan Administrator in Sections 12(a) and 12(b) above may be extended at the discretion of the Plan Administrator for a second ninety (90) or sixty (60) day period, as the case may be, provided that written notice of the extension is furnished to the claimant prior to the termination of the initial period, indicating the special circumstances requiring such extension of time and the date by which a final decision is expected.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xml:space="preserve">. Plan benefits shall be reduced to the extent an Eligible Employee owes money to the Company with the exception of any Company provided housing assistance loan to an Eligible Employee which loan will be payable in accordance with the terms of the loan. Except as set forth in the preceding sentence, no benefit payable under the Plan shall be subject in any way to alienation, sale, transfer, assignment, pledge, attachment, garnishment, execution, or encumbrance of any kind, and any attempt to accomplish the same shall be void. No Eligible Employee entitled to benefits under the Plan shall have power to transfer, assign, mortgage or otherwise encumber any interest he may have herein, or to anticipate in any manner by assignment, agreement (including, but not limited to, any agreement to pay alimony, separate maintenance or child support, whether or not said agreement is pursuant to, or embodied in, a court order), or otherwise, the payment of any benefit or any other sum to be provided for the Eligible Employee hereunder; nor shall the interest of any Eligible Employee under this Plan or in any benefit provided hereunder be subject to attachment, garnishment, seizure or sequestration for the payment of any debts, judgments, decrees or obligations of any kind owed by such person (including, but not limited to, any obligation to pay alimony, separate maintenance or child support for which said person shall be obligated by virtue of a court order or decree of any court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70890"/>
                <wp:effectExtent l="0" t="0" r="0" b="0"/>
                <wp:wrapNone/>
                <wp:docPr id="68" name="Frame68"/>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any jurisdiction or by virtue of any agreement whether or not embodied in such a court order or decree), or be transferable by operation of law in event of bankruptcy, insolvency or otherwise.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Facility of Payment</w:t>
      </w:r>
      <w:r>
        <w:rPr>
          <w:rFonts w:ascii="Times New Roman;sans-serif" w:hAnsi="Times New Roman;sans-serif"/>
          <w:b w:val="false"/>
          <w:color w:val="000000"/>
          <w:sz w:val="24"/>
        </w:rPr>
        <w:t>. Whenever and as often as any person entitled to payments hereunder shall be determined to be a minor or under other legal disability or otherwise incapacitated in any way so as to be unable to manage the person’s financial affairs, the Sponsoring Employer, in its discretion, may direct that all or any portion of the benefit payments be made: (a) to such person; (b) to such person’s legal guardian or conservator; or (c) to such person’s spouse or to any other person. The decision of the Sponsoring Employer shall, in each case, be final and binding upon all persons. Any payment made pursuant to the authority herein conferred shall operate as a complete discharge of the obligations of the Sponsoring Employer under the Plan in respect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Responsibility for Payment</w:t>
      </w:r>
      <w:r>
        <w:rPr>
          <w:rFonts w:ascii="Times New Roman;sans-serif" w:hAnsi="Times New Roman;sans-serif"/>
          <w:b w:val="false"/>
          <w:color w:val="000000"/>
          <w:sz w:val="24"/>
        </w:rPr>
        <w:t>. The Sponsoring Employer shall be liable for the payment of benefits in accordance with the terms of the Plan. The benefits under the Plan shall be payable solely by the Sponsoring Employer and each Eligible Employee who shall claim the right to any payment under the Plan shall be entitled to look only to the Sponsoring Employer for such payment.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Limitation on Benefits</w:t>
      </w:r>
      <w:r>
        <w:rPr>
          <w:rFonts w:ascii="Times New Roman;sans-serif" w:hAnsi="Times New Roman;sans-serif"/>
          <w:b w:val="false"/>
          <w:color w:val="000000"/>
          <w:sz w:val="24"/>
        </w:rPr>
        <w:t>. The Sponsoring Employer shall have no obligation to set aside, earmark, or entrust any fund, policy, or money with which to pay its obligations under this Plan. The Eligible Employee, or any successor in interest, shall be and remain simply a general, unsecured creditor of the Sponsoring Employer with respect to the benefits under this Plan in the same manner as any other creditor who has a general claim for an unpaid liability.</w:t>
      </w:r>
    </w:p>
    <w:p>
      <w:pPr>
        <w:pStyle w:val="TextBody"/>
        <w:bidi w:val="0"/>
        <w:spacing w:lineRule="auto" w:line="288" w:before="0" w:after="240"/>
        <w:jc w:val="both"/>
        <w:rPr/>
      </w:pPr>
      <w:r>
        <w:rPr>
          <w:rFonts w:ascii="Times New Roman;sans-serif" w:hAnsi="Times New Roman;sans-serif"/>
          <w:b w:val="false"/>
          <w:color w:val="000000"/>
          <w:sz w:val="24"/>
        </w:rPr>
        <w:t>SECTION 13.</w:t>
      </w:r>
      <w:r>
        <w:rPr>
          <w:rFonts w:ascii="Times New Roman;sans-serif" w:hAnsi="Times New Roman;sans-serif"/>
          <w:b w:val="false"/>
          <w:color w:val="000000"/>
          <w:sz w:val="24"/>
          <w:u w:val="single"/>
        </w:rPr>
        <w:t>GOVERNING LAW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validity of this Plan or of any of its provisions shall be determined under, and it shall be construed and administered according to, the laws of the State of California (without regard to its choice of law principles), except to the extent preempted by ERISA, or any other applicable laws of the United States of America; provided that if any provision is susceptible to more than one interpretation, such interpretation shall be given thereto as is consistent with the Plan being an unfunded top hat employee welfare benefit plan maintained by an employer within the meaning of ERISA. </w:t>
      </w:r>
    </w:p>
    <w:p>
      <w:pPr>
        <w:pStyle w:val="TextBody"/>
        <w:bidi w:val="0"/>
        <w:spacing w:lineRule="auto" w:line="288" w:before="0" w:after="240"/>
        <w:jc w:val="both"/>
        <w:rPr/>
      </w:pPr>
      <w:r>
        <w:rPr>
          <w:rFonts w:ascii="Times New Roman;sans-serif" w:hAnsi="Times New Roman;sans-serif"/>
          <w:b w:val="false"/>
          <w:color w:val="000000"/>
          <w:sz w:val="24"/>
        </w:rPr>
        <w:t>SECTION 14.</w:t>
      </w:r>
      <w:r>
        <w:rPr>
          <w:rFonts w:ascii="Times New Roman;sans-serif" w:hAnsi="Times New Roman;sans-serif"/>
          <w:b w:val="false"/>
          <w:color w:val="000000"/>
          <w:sz w:val="24"/>
          <w:u w:val="single"/>
        </w:rPr>
        <w:t>SEVERABILITY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part of any provision of this Plan shall be invalid or unenforceable under applicable law, such part shall be ineffective to the extent of such invalidity or unenforceability only, without in any way affecting the remaining parts of such provision or the remaining provisions of this Plan.</w:t>
      </w:r>
    </w:p>
    <w:p>
      <w:pPr>
        <w:pStyle w:val="TextBody"/>
        <w:bidi w:val="0"/>
        <w:spacing w:lineRule="auto" w:line="288" w:before="0" w:after="240"/>
        <w:jc w:val="both"/>
        <w:rPr/>
      </w:pPr>
      <w:r>
        <w:rPr>
          <w:rFonts w:ascii="Times New Roman;sans-serif" w:hAnsi="Times New Roman;sans-serif"/>
          <w:b w:val="false"/>
          <w:color w:val="000000"/>
          <w:sz w:val="24"/>
        </w:rPr>
        <w:t>SECTION 15.</w:t>
      </w:r>
      <w:r>
        <w:rPr>
          <w:rFonts w:ascii="Times New Roman;sans-serif" w:hAnsi="Times New Roman;sans-serif"/>
          <w:b w:val="false"/>
          <w:color w:val="000000"/>
          <w:sz w:val="24"/>
          <w:u w:val="single"/>
        </w:rPr>
        <w:t>DISCLAIMER OF RIGHTS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 provision in this Plan shall be construed to confer upon any individual the right to remain in the employ or service of the Employer, or to interfere in any way with any contractual or other right or authority of the Employer either to increase or decrease the compensation or other payments to any individual at any time, to terminate any employment or other relationship between any individual and the Employer or to require the Employer to pay severance for any termination of employment prior to a Change in Control. The obligation of the Employer to pay any benefits pursuant to this Plan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70890"/>
                <wp:effectExtent l="0" t="0" r="0" b="0"/>
                <wp:wrapNone/>
                <wp:docPr id="69" name="Frame69"/>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interpreted as a contractual obligation to pay only those amounts described herein, in the manner and under the conditions prescribed herein. The Plan shall in no way be interpreted to require the Employer to transfer any amounts to a third party trustee or otherwise hold any amounts in trust or escrow for payment to any participant or beneficiary under the terms of the Plan.</w:t>
      </w:r>
    </w:p>
    <w:p>
      <w:pPr>
        <w:pStyle w:val="TextBody"/>
        <w:bidi w:val="0"/>
        <w:spacing w:lineRule="auto" w:line="288" w:before="0" w:after="240"/>
        <w:jc w:val="both"/>
        <w:rPr/>
      </w:pPr>
      <w:r>
        <w:rPr>
          <w:rFonts w:ascii="Times New Roman;sans-serif" w:hAnsi="Times New Roman;sans-serif"/>
          <w:b w:val="false"/>
          <w:color w:val="000000"/>
          <w:sz w:val="24"/>
        </w:rPr>
        <w:t>SECTION 16.</w:t>
      </w:r>
      <w:r>
        <w:rPr>
          <w:rFonts w:ascii="Times New Roman;sans-serif" w:hAnsi="Times New Roman;sans-serif"/>
          <w:b w:val="false"/>
          <w:color w:val="000000"/>
          <w:sz w:val="24"/>
          <w:u w:val="single"/>
        </w:rPr>
        <w:t>CAPTIONS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use of captions in this Plan is for the convenience of reference only and shall not affect the meaning of any provision of this Plan.</w:t>
      </w:r>
    </w:p>
    <w:p>
      <w:pPr>
        <w:pStyle w:val="TextBody"/>
        <w:bidi w:val="0"/>
        <w:spacing w:lineRule="auto" w:line="288" w:before="0" w:after="240"/>
        <w:jc w:val="both"/>
        <w:rPr/>
      </w:pPr>
      <w:r>
        <w:rPr>
          <w:rFonts w:ascii="Times New Roman;sans-serif" w:hAnsi="Times New Roman;sans-serif"/>
          <w:b w:val="false"/>
          <w:color w:val="000000"/>
          <w:sz w:val="24"/>
        </w:rPr>
        <w:t>SECTION 17.</w:t>
      </w:r>
      <w:r>
        <w:rPr>
          <w:rFonts w:ascii="Times New Roman;sans-serif" w:hAnsi="Times New Roman;sans-serif"/>
          <w:b w:val="false"/>
          <w:color w:val="000000"/>
          <w:sz w:val="24"/>
          <w:u w:val="single"/>
        </w:rPr>
        <w:t>NUMBER AND GENDER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words used in this Plan, the singular form shall include the plural form, the masculine gender shall include the feminine gender, etc., as the context requires.</w:t>
      </w:r>
    </w:p>
    <w:p>
      <w:pPr>
        <w:pStyle w:val="TextBody"/>
        <w:bidi w:val="0"/>
        <w:spacing w:lineRule="auto" w:line="288" w:before="0" w:after="240"/>
        <w:jc w:val="both"/>
        <w:rPr/>
      </w:pPr>
      <w:r>
        <w:rPr>
          <w:rFonts w:ascii="Times New Roman;sans-serif" w:hAnsi="Times New Roman;sans-serif"/>
          <w:b w:val="false"/>
          <w:color w:val="000000"/>
          <w:sz w:val="24"/>
        </w:rPr>
        <w:t>SECTION 18.</w:t>
      </w:r>
      <w:r>
        <w:rPr>
          <w:rFonts w:ascii="Times New Roman;sans-serif" w:hAnsi="Times New Roman;sans-serif"/>
          <w:b w:val="false"/>
          <w:color w:val="000000"/>
          <w:sz w:val="24"/>
          <w:u w:val="single"/>
        </w:rPr>
        <w:t>INDEMNIFICATION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permitted by law, the Sponsoring Employer shall indemnify and hold harmless the Plan Administrator (if not the Sponsoring Employer) and the Board from and against any and all liabilities, costs and expenses incurred by any such person as a result of any act, or omission to act, in connection with the performance of such person’s duties, responsibilities and obligations under the Plan and under ERISA, other than such liabilities, costs and expenses as may result from the gross negligence or willful misconduct of any such person. The foregoing right of indemnification shall be in addition to any other right to which any such person may be entitled as a matter of law or otherwise. The Sponsoring Employer may obtain, pay for and keep current a policy or policies of insurance, insuring the Plan Administrator and the Board from and against any and all liabilities, costs and expenses incurred by any such person as a result of any act, or omission to act, in connection with the performance of his duties, responsibilities and obligations under the Plan.</w:t>
      </w:r>
    </w:p>
    <w:p>
      <w:pPr>
        <w:pStyle w:val="TextBody"/>
        <w:bidi w:val="0"/>
        <w:spacing w:lineRule="auto" w:line="288" w:before="0" w:after="240"/>
        <w:jc w:val="both"/>
        <w:rPr/>
      </w:pPr>
      <w:r>
        <w:rPr>
          <w:rFonts w:ascii="Times New Roman;sans-serif" w:hAnsi="Times New Roman;sans-serif"/>
          <w:b w:val="false"/>
          <w:color w:val="000000"/>
          <w:sz w:val="24"/>
        </w:rPr>
        <w:t>SECTION 19.</w:t>
      </w:r>
      <w:r>
        <w:rPr>
          <w:rFonts w:ascii="Times New Roman;sans-serif" w:hAnsi="Times New Roman;sans-serif"/>
          <w:b w:val="false"/>
          <w:color w:val="000000"/>
          <w:sz w:val="24"/>
          <w:u w:val="single"/>
        </w:rPr>
        <w:t>SECTION 409A</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Anything in this Plan to the contrary notwithstanding, if at the time of the Eligible Employee’s “separation from service” within the meaning of Section 409A of the Code, the Company determines that the Eligible Employee is a “specified employee” within the meaning of Section 409A(a)(2)(B)(i) of the Code, then to the extent any payment or benefit that the Eligible Employee becomes entitled to under this Plan on account of the Eligible Employee’s separation from service would be considered “nonqualified deferred compensation” subject to Section 409A(a) of the Code, such payment shall not be payable and such benefit shall not be provided until the date that is the earlier of (A) six months and one day after the Eligible Employee’s separation from service, or (B) the Eligible Employee’s death. Each payment under this Plan constitutes a separate payment for purposes of Section 409A of the Code.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The parties intend that this Plan will be administered in accordance with Section 409A of the Code. To the extent that any provision of this Plan is ambiguous as to its compliance with Section 409A of the Code, the provision shall be read in such a manner so that all payments hereunder comply with Section 409A of the Code. The parties agree that this Plan may be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70890"/>
                <wp:effectExtent l="0" t="0" r="0" b="0"/>
                <wp:wrapNone/>
                <wp:docPr id="70" name="Frame70"/>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All in-kind benefits provided and expenses eligible for reimbursement under this Plan shall be provided by the Employer or incurred by the Eligible Employee during the time periods set forth in this Plan.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To the extent that any payment or benefit described in this Plan constitutes “non-qualified deferred compensation” under Section 409A of the Code, and to the extent that such payment or benefit is payable upon the Eligible Employee’s termination of employment, then such payments or benefits shall be payable only upon the Eligible Employee’s “separation from service.” All references to an Eligible Employee’s termination of employment under this Plan shall only occur if the same also constitutes a “separation from service” as defined under Section 409A of the Code. The determination of whether and when a separation from service has occurred shall be made in accordance with the presumptions set forth in Treasury Regulation Section 1.409A-1(h).</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Company makes no representation or warranty and shall have no liability to the Eligible Employee or any other person if any provisions of this Plan are determined to constitute deferred compensation subject to Section 409A of the Code but do not satisfy an exemption from, or the conditions of, such Section.</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70890"/>
                <wp:effectExtent l="0" t="0" r="0" b="0"/>
                <wp:wrapNone/>
                <wp:docPr id="71" name="Frame71"/>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Schedule A</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Release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RELEASE AGREEMENT is entered into by ____________ (the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 as a condition of and as consideration for the promise to provide the severance payments and other consideration (collectively, the “</w:t>
      </w:r>
      <w:r>
        <w:rPr>
          <w:rFonts w:ascii="Times New Roman;sans-serif" w:hAnsi="Times New Roman;sans-serif"/>
          <w:b w:val="false"/>
          <w:color w:val="000000"/>
          <w:sz w:val="24"/>
          <w:u w:val="single"/>
        </w:rPr>
        <w:t>Severance Benefits</w:t>
      </w:r>
      <w:r>
        <w:rPr>
          <w:color w:val="000000"/>
        </w:rPr>
        <w:t>”</w:t>
      </w:r>
      <w:r>
        <w:rPr>
          <w:rFonts w:ascii="Times New Roman;sans-serif" w:hAnsi="Times New Roman;sans-serif"/>
          <w:b w:val="false"/>
          <w:color w:val="000000"/>
          <w:sz w:val="24"/>
        </w:rPr>
        <w:t>) to the Employee by The Macerich Company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pursuant to The Macerich Company Amended and Restated Severance Pay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All capitalized terms used in this Release Agreement and not otherwise defined shall be as defined in the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Waiver and Release</w:t>
      </w:r>
      <w:r>
        <w:rPr>
          <w:rFonts w:ascii="Times New Roman;sans-serif" w:hAnsi="Times New Roman;sans-serif"/>
          <w:b w:val="false"/>
          <w:color w:val="000000"/>
          <w:sz w:val="24"/>
        </w:rPr>
        <w:t>. The Employee, on her/his own behalf and on behalf of her/his heirs, executors, administrators, attorneys and assigns, hereby unconditionally and irrevocably releases, waives and forever discharges Company and each of its affiliates, parents, successors, predecessors, and the subsidiaries, directors, owners, members, shareholders, officers, agents, and employees of the Company, and its affiliates, parents, successors, predecessors, and subsidiaries (collectively, all of the foregoing are referred to as the “</w:t>
      </w:r>
      <w:r>
        <w:rPr>
          <w:rFonts w:ascii="Times New Roman;sans-serif" w:hAnsi="Times New Roman;sans-serif"/>
          <w:b w:val="false"/>
          <w:color w:val="000000"/>
          <w:sz w:val="24"/>
          <w:u w:val="single"/>
        </w:rPr>
        <w:t>Employer</w:t>
      </w:r>
      <w:r>
        <w:rPr>
          <w:color w:val="000000"/>
        </w:rPr>
        <w:t>”</w:t>
      </w:r>
      <w:r>
        <w:rPr>
          <w:rFonts w:ascii="Times New Roman;sans-serif" w:hAnsi="Times New Roman;sans-serif"/>
          <w:b w:val="false"/>
          <w:color w:val="000000"/>
          <w:sz w:val="24"/>
        </w:rPr>
        <w:t>), from any and all causes of action, claims and damages, including attorneys’ fees, whether known or unknown, foreseen or unforeseen, presently asserted or otherwise arising through the date of her/his signing of this Release Agreement, concerning her/his employment or separation from employment. This release includes, but is not limited to, any claim or entitlement to salary, bonuses, any other payments, benefits or damages arising under any federal law (including, but not limited to, Title VII of the Civil Rights Act of 1964, the Age Discrimination in Employment Act, the Employee Retirement Income Security Act of 1974, as amended (“ERISA”), the Americans with Disabilities Act, Executive Order 11246, the Family and Medical Leave Act, and the Worker Adjustment and Retraining Notification Act, each as amended) and any other federal, state, local or foreign law relating to notice of employment termination or to severance pay; any claim arising under any state or local laws, ordinances or regulations (including, but not limited to, any state or local laws, ordinances or regulations requiring that advance notice be given of certain workforce reductions); and any claim arising under any common law principle or public policy, including, but not limited to, all suits in tort or contract, such as wrongful termination, defamation, emotional distress, invasion of privacy or loss of consortium. Notwithstanding the foregoing, the release of directors, owners, members, shareholders, officers, agents, and employees of the Company shall not apply to causes of action, claims and damages that arise from facts and circumstances that are wholly unrelated to facts and circumstances relating to such persons’ relationship with the Company or any affiliate, parent, successor, predecessor or subsidiary of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The Employee understands that this Release Agreement, does not limit or interfere with the Employee’s rights, without notice to or authorization of the Employer, (i) to file a charge or complaint with the Equal Employment Opportunity Commission, the National Labor Relations Board, the Occupational Safety and Health Administration, the U.S. Securities and Exchange Commission (the “</w:t>
      </w:r>
      <w:r>
        <w:rPr>
          <w:rFonts w:ascii="Times New Roman;sans-serif" w:hAnsi="Times New Roman;sans-serif"/>
          <w:b w:val="false"/>
          <w:color w:val="000000"/>
          <w:sz w:val="24"/>
          <w:u w:val="single"/>
        </w:rPr>
        <w:t>SEC</w:t>
      </w:r>
      <w:r>
        <w:rPr>
          <w:color w:val="000000"/>
        </w:rPr>
        <w:t>”</w:t>
      </w:r>
      <w:r>
        <w:rPr>
          <w:rFonts w:ascii="Times New Roman;sans-serif" w:hAnsi="Times New Roman;sans-serif"/>
          <w:b w:val="false"/>
          <w:color w:val="000000"/>
          <w:sz w:val="24"/>
        </w:rPr>
        <w:t>), the Financial Industry Regulatory Authority, or any other self-regulatory organization or any other federal, state or local governmental agency or commission (each a “</w:t>
      </w:r>
      <w:r>
        <w:rPr>
          <w:rFonts w:ascii="Times New Roman;sans-serif" w:hAnsi="Times New Roman;sans-serif"/>
          <w:b w:val="false"/>
          <w:color w:val="000000"/>
          <w:sz w:val="24"/>
          <w:u w:val="single"/>
        </w:rPr>
        <w:t>Governmental Agency</w:t>
      </w:r>
      <w:r>
        <w:rPr>
          <w:color w:val="000000"/>
        </w:rPr>
        <w:t>”</w:t>
      </w:r>
      <w:r>
        <w:rPr>
          <w:rFonts w:ascii="Times New Roman;sans-serif" w:hAnsi="Times New Roman;sans-serif"/>
          <w:b w:val="false"/>
          <w:color w:val="000000"/>
          <w:sz w:val="24"/>
        </w:rPr>
        <w:t xml:space="preserve">), (ii) to testify, assist or participate in any investigation, hearing or proceeding conducted by a Governmental Agency, whether or not initiated by the Employee, any other person or the Government Agency, or (iii) otherwise communicate with any Governmental Agency and provide documents or other information to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70890"/>
                <wp:effectExtent l="0" t="0" r="0" b="0"/>
                <wp:wrapNone/>
                <wp:docPr id="72" name="Frame72"/>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Governmental Agency without notice to the Company; provided that any communications or provision of documents shall not include the disclosure of information that was obtained through a communication that was subject to the attorney-client privilege (unless disclosure of that information would otherwise be permitted consistent with such privilege or applicable law). In the event the Employee files a charge or complaint with a Governmental Agency, or a Governmental Agency asserts a claim on the Employee’s behalf, the Employee agrees that the Employee’s release of claims in this Release Agreement shall nevertheless bar the Employee’s right (if any) to any monetary or other recovery (including reinstatement) with respect to released claims, except that the Employee does not waive: (i) the Employee’s right to receive an award from the SEC pursuant to Section 21-F of the Securities Exchange Act of 1934 or under any other whistleblower provisions of any applicable law or regulation for providing information to any other Governmental Agency, and (ii) the right to recover any other award which cannot be waived by law.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 this Release Agreement to the contrary, the Employee is not waiving (i) any right to the Accrued Obligations or the Severance Benefits; (ii) any rights or claims that may arise after the date that the Employee signs and returns this Release Agreement; (iii) any claim for workers’ compensation benefits (but it does apply to, waive and affect claims of discrimination and/or retaliation on the basis of having made a workers’ compensation claim); (iv) claims for unemployment benefits or any other claims or rights that by law cannot be waived in a private agreement between an employer and employee; (v) the Employee’s rights to any vested benefits to which the Employee is entitled under the terms of the applicable employee benefit plan (as defined in Section 3(3) of ERISA, 29 U.S.C. § 1002(3)); (vi) any claim relating to directors’ and officers’ liability insurance coverage or any right of indemnification under the Company’s, or any of its affiliate’s, organizational documents or any other individual agreement between the Employee and the Company; or (vii) any of the Employee’s rights as an equity holder of the Company or any of its affiliates.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Employee expressly waives the benefits of Section 1542 of the California Civil Code which provides that:</w:t>
      </w:r>
    </w:p>
    <w:p>
      <w:pPr>
        <w:pStyle w:val="TextBody"/>
        <w:bidi w:val="0"/>
        <w:spacing w:lineRule="auto" w:line="288" w:before="0" w:after="240"/>
        <w:jc w:val="both"/>
        <w:rPr>
          <w:color w:val="000000"/>
        </w:rPr>
      </w:pPr>
      <w:r>
        <w:rPr>
          <w:color w:val="000000"/>
        </w:rPr>
        <w:t>“</w:t>
      </w:r>
      <w:r>
        <w:rPr>
          <w:rFonts w:ascii="Times New Roman;sans-serif" w:hAnsi="Times New Roman;sans-serif"/>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Employee, being aware of said code section, understands and acknowledges the significance and consequences of such specific waiver of Section 1542 and expressly waives any rights the Employee may have thereunder, as well as under any other statute or common law principles of similar effect. The Employee hereby assumes full responsibility for any injuries, damages or losses that the Employee may incur as a result of such waiver.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Acknowledgments</w:t>
      </w:r>
      <w:r>
        <w:rPr>
          <w:rFonts w:ascii="Times New Roman;sans-serif" w:hAnsi="Times New Roman;sans-serif"/>
          <w:b w:val="false"/>
          <w:color w:val="000000"/>
          <w:sz w:val="24"/>
        </w:rPr>
        <w:t>. The Employee is signing this Release Agreement knowingly and voluntarily. She/he acknowledges that: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He or she is hereby advised by the Company to discuss all aspects of this Release Agreement with an attorney before signing this Release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70890"/>
                <wp:effectExtent l="0" t="0" r="0" b="0"/>
                <wp:wrapNone/>
                <wp:docPr id="73" name="Frame73"/>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He or she has relied solely on her/his own judgment and/or that of her/his attorney regarding the consideration for and the terms of this Release Agreement and is signing this Release Agreement knowingly and voluntarily of her/his own free will;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He or she is not entitled to the Severance Benefits unless she/he agrees to and fully complies with the terms of this Release Agreement;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He or she has been given at least [twenty-one (21)] [forty-five (45)] calendar days to consider this Release Agreement (the “</w:t>
      </w:r>
      <w:r>
        <w:rPr>
          <w:rFonts w:ascii="Times New Roman;sans-serif" w:hAnsi="Times New Roman;sans-serif"/>
          <w:b w:val="false"/>
          <w:color w:val="000000"/>
          <w:sz w:val="24"/>
          <w:u w:val="single"/>
        </w:rPr>
        <w:t>Consideration Period</w:t>
      </w:r>
      <w:r>
        <w:rPr>
          <w:color w:val="000000"/>
        </w:rPr>
        <w:t>”</w:t>
      </w:r>
      <w:r>
        <w:rPr>
          <w:rFonts w:ascii="Times New Roman;sans-serif" w:hAnsi="Times New Roman;sans-serif"/>
          <w:b w:val="false"/>
          <w:color w:val="000000"/>
          <w:sz w:val="24"/>
        </w:rPr>
        <w:t>). If she/he signs this Release Agreement before the end of the Consideration Period, she/he acknowledges by signing this Release Agreement that such decision was entirely voluntary and that she/he had the opportunity to consider this Release Agreement for the entire Consideration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He or she may revoke this Release Agreement within seven (7) calendar days after signing it by submitting a written notice of revocation to the Company. She/he further understands that this Release Agreement is not fully effective until the next business day after the seven (7) day period of revocation has expired without revocation, and that if she/he revokes this Release Agreement within the seven (7) day revocation period, she/he will not receive the Severance Benefits;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He or she has read and understands this Release Agreement and further understands that it includes a general release of any and all known and unknown, foreseen or unforeseen claims presently asserted or otherwise arising through the date of her/his signing of this Release Agreement that she/he may have against the Employer;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No statements made or conduct by the Employer has in any way coerced or unduly influenced her/him to execute this Release Agreement;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Except for the Severance Benefits, she/he has been paid all wages, bonuses, compensation, benefits and other amounts that the Employer ever owed to him or her. Further she/he acknowledges and agrees that she/he is not entitled to any other severance pay or benefits including without limitation, pursuant to any other severance plan, or program or arrangement.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No Admission of Liability</w:t>
      </w:r>
      <w:r>
        <w:rPr>
          <w:rFonts w:ascii="Times New Roman;sans-serif" w:hAnsi="Times New Roman;sans-serif"/>
          <w:b w:val="false"/>
          <w:color w:val="000000"/>
          <w:sz w:val="24"/>
        </w:rPr>
        <w:t>. This Release Agreement does not constitute an admission of liability or wrongdoing on the part of the Employer, the Employer does not admit there has been any wrongdoing whatsoever against the Employee, and the Employer expressly denies that any wrongdoing has occurred.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There are no other agreements of any nature between the Employer and the Employee with respect to the matters discussed in this Release Agreement, except as expressly stated herein, and in signing this Release Agreement, the Employee is not relying on any agreements or representations, except those expressly contained in this Release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Execution</w:t>
      </w:r>
      <w:r>
        <w:rPr>
          <w:rFonts w:ascii="Times New Roman;sans-serif" w:hAnsi="Times New Roman;sans-serif"/>
          <w:b w:val="false"/>
          <w:color w:val="000000"/>
          <w:sz w:val="24"/>
        </w:rPr>
        <w:t>. It is not necessary that the Employer sign this Release Agreement following the Employee’s full and complete execution of it for it to become fully effective and enforceable.</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70890"/>
                <wp:effectExtent l="0" t="0" r="0" b="0"/>
                <wp:wrapNone/>
                <wp:docPr id="74" name="Frame74"/>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Release Agreement is found, held or deemed by a court of competent jurisdiction to be void, unlawful or unenforceable under any applicable statute or controlling law, the remainder of this Release Agreement shall continue in full force and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Release Agreement shall be governed by the laws of the State of [_________], excluding the choice of law rules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Section and subsection headings contained in this Release Agreement are inserted for the convenience of reference only. Section and subsection headings shall not be deemed to be a part of this Release Agreement for any purpose, and they shall not in any way define or affect the meaning, construction or scope of any of the provisions hereof.</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blank.]</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70890"/>
                <wp:effectExtent l="0" t="0" r="0" b="0"/>
                <wp:wrapNone/>
                <wp:docPr id="75" name="Frame75"/>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duly executed this Release Agreement on the date set forth below.</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EMPLOYEE: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         ________________________________</w:t>
      </w:r>
    </w:p>
    <w:p>
      <w:pPr>
        <w:pStyle w:val="TextBody"/>
        <w:bidi w:val="0"/>
        <w:spacing w:lineRule="auto" w:line="288" w:before="0" w:after="0"/>
        <w:jc w:val="left"/>
        <w:rPr/>
      </w:pPr>
      <w:r>
        <w:rPr>
          <w:rFonts w:ascii="Times New Roman;sans-serif" w:hAnsi="Times New Roman;sans-serif"/>
          <w:b w:val="false"/>
          <w:color w:val="000000"/>
          <w:sz w:val="24"/>
        </w:rPr>
        <w:t>[Name]                </w:t>
      </w:r>
      <w:r>
        <w:rPr>
          <w:color w:val="000000"/>
        </w:rPr>
        <w:t>        </w:t>
      </w:r>
      <w:r>
        <w:rPr>
          <w:rFonts w:ascii="Times New Roman;sans-serif" w:hAnsi="Times New Roman;sans-serif"/>
          <w:b w:val="false"/>
          <w:color w:val="000000"/>
          <w:sz w:val="24"/>
        </w:rPr>
        <w:t>Date</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70890"/>
                <wp:effectExtent l="0" t="0" r="0" b="0"/>
                <wp:wrapNone/>
                <wp:docPr id="76" name="Frame76"/>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SECTION 302 CERTIFICATION </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Jackson Hsieh, certify that: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report on Form 10-Q for the quarter ended September 30, 2024 of The Macerich Company;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454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599"/>
        <w:gridCol w:w="599"/>
        <w:gridCol w:w="85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JACKSON HSIEH</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ind w:left="0" w:right="0" w:hanging="3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SECTION 302 CERTIFICATION </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Scott W. Kingsmore, certify that: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report on Form 10-Q for the quarter ended September 30, 2024 of The Macerich Company;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6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7571"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489"/>
        <w:gridCol w:w="1489"/>
        <w:gridCol w:w="21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W. KINGSMORE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Executive Vice President and Chief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THE MACERICH COMPANY</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WRITTEN STATEMENT</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Jackson Hsieh and Scott W. Kingsmore, the Chief Executive Officer and Chief Financial Officer, respectively, of The Macerich Company (the "Company"), pursuant to 18 U.S.C. §1350, each hereby certifies that, to the best of his knowledge: </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(i)the Quarterly Report on Form 10-Q for the quarter ended September 30, 2024 of the Company (the "Report") fully complies with the requirements of Section 13(a) and 15(d) of the Securities Exchange Act of 1934, as amended; and </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(ii)the information contained in the Report fairly presents, in all material respects, the financial condition and results of operations of the Company.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bl>
      <w:tblPr>
        <w:tblW w:w="57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82"/>
        <w:gridCol w:w="1482"/>
        <w:gridCol w:w="21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JACKSON HSIEH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W. KINGSMORE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Executive Vice President and Chief Financial Officer</w:t>
            </w:r>
          </w:p>
        </w:tc>
      </w:tr>
    </w:tbl>
    <w:p>
      <w:pPr>
        <w:pStyle w:val="TextBody"/>
        <w:bidi w:val="0"/>
        <w:spacing w:before="100" w:after="10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12242/000110465914081468/a14-24669_1ex2d1.htm" TargetMode="External"/><Relationship Id="rId3" Type="http://schemas.openxmlformats.org/officeDocument/2006/relationships/hyperlink" Target="http://www.sec.gov/Archives/edgar/data/912242/000110465914081468/a14-24669_1ex2d1.htm" TargetMode="External"/><Relationship Id="rId4" Type="http://schemas.openxmlformats.org/officeDocument/2006/relationships/hyperlink" Target="http://www.sec.gov/Archives/edgar/data/912242/0001047469-99-012492.txt" TargetMode="External"/><Relationship Id="rId5" Type="http://schemas.openxmlformats.org/officeDocument/2006/relationships/hyperlink" Target="http://www.sec.gov/Archives/edgar/data/912242/0001047469-99-012492.txt" TargetMode="External"/><Relationship Id="rId6" Type="http://schemas.openxmlformats.org/officeDocument/2006/relationships/hyperlink" Target="http://www.sec.gov/Archives/edgar/data/912242/000091205702030706/a2086079zex-3_1.htm" TargetMode="External"/><Relationship Id="rId7" Type="http://schemas.openxmlformats.org/officeDocument/2006/relationships/hyperlink" Target="http://www.sec.gov/Archives/edgar/data/912242/000091205702030706/a2086079zex-3_1.htm" TargetMode="External"/><Relationship Id="rId8" Type="http://schemas.openxmlformats.org/officeDocument/2006/relationships/hyperlink" Target="http://www.sec.gov/Archives/edgar/data/912242/000091205702021417/a2080342zex-4_6.htm" TargetMode="External"/><Relationship Id="rId9" Type="http://schemas.openxmlformats.org/officeDocument/2006/relationships/hyperlink" Target="http://www.sec.gov/Archives/edgar/data/912242/000091205702021417/a2080342zex-4_6.htm" TargetMode="External"/><Relationship Id="rId10" Type="http://schemas.openxmlformats.org/officeDocument/2006/relationships/hyperlink" Target="http://www.sec.gov/Archives/edgar/data/912242/000104746909001981/a2189901zex-3_15.htm" TargetMode="External"/><Relationship Id="rId11" Type="http://schemas.openxmlformats.org/officeDocument/2006/relationships/hyperlink" Target="http://www.sec.gov/Archives/edgar/data/912242/000104746909001981/a2189901zex-3_15.htm" TargetMode="External"/><Relationship Id="rId12" Type="http://schemas.openxmlformats.org/officeDocument/2006/relationships/hyperlink" Target="http://www.sec.gov/Archives/edgar/data/912242/000110465909008348/a09-5253_1ex3d1.htm" TargetMode="External"/><Relationship Id="rId13" Type="http://schemas.openxmlformats.org/officeDocument/2006/relationships/hyperlink" Target="http://www.sec.gov/Archives/edgar/data/912242/000110465909008348/a09-5253_1ex3d1.htm" TargetMode="External"/><Relationship Id="rId14" Type="http://schemas.openxmlformats.org/officeDocument/2006/relationships/hyperlink" Target="http://www.sec.gov/Archives/edgar/data/912242/000104746909007391/a2193924zex-3_17.htm" TargetMode="External"/><Relationship Id="rId15" Type="http://schemas.openxmlformats.org/officeDocument/2006/relationships/hyperlink" Target="http://www.sec.gov/Archives/edgar/data/912242/000104746909007391/a2193924zex-3_17.htm" TargetMode="External"/><Relationship Id="rId16" Type="http://schemas.openxmlformats.org/officeDocument/2006/relationships/hyperlink" Target="http://www.sec.gov/Archives/edgar/data/912242/000110465914043330/a14-14485_1ex3d1.htm" TargetMode="External"/><Relationship Id="rId17" Type="http://schemas.openxmlformats.org/officeDocument/2006/relationships/hyperlink" Target="http://www.sec.gov/Archives/edgar/data/912242/000110465914043330/a14-14485_1ex3d1.htm" TargetMode="External"/><Relationship Id="rId18" Type="http://schemas.openxmlformats.org/officeDocument/2006/relationships/hyperlink" Target="http://www.sec.gov/Archives/edgar/data/912242/000110465915020412/a15-6870_1ex3d1.htm" TargetMode="External"/><Relationship Id="rId19" Type="http://schemas.openxmlformats.org/officeDocument/2006/relationships/hyperlink" Target="http://www.sec.gov/Archives/edgar/data/912242/000110465915020412/a15-6870_1ex3d1.htm" TargetMode="External"/><Relationship Id="rId20" Type="http://schemas.openxmlformats.org/officeDocument/2006/relationships/hyperlink" Target="http://www.sec.gov/Archives/edgar/data/912242/000110465915020810/a15-6873_1ex3d1.htm" TargetMode="External"/><Relationship Id="rId21" Type="http://schemas.openxmlformats.org/officeDocument/2006/relationships/hyperlink" Target="http://www.sec.gov/Archives/edgar/data/912242/000110465915020810/a15-6873_1ex3d1.htm" TargetMode="External"/><Relationship Id="rId22" Type="http://schemas.openxmlformats.org/officeDocument/2006/relationships/hyperlink" Target="http://www.sec.gov/Archives/edgar/data/912242/000110465915037228/a15-11185_1ex3d1.htm" TargetMode="External"/><Relationship Id="rId23" Type="http://schemas.openxmlformats.org/officeDocument/2006/relationships/hyperlink" Target="http://www.sec.gov/Archives/edgar/data/912242/000110465915037228/a15-11185_1ex3d1.htm" TargetMode="External"/><Relationship Id="rId24" Type="http://schemas.openxmlformats.org/officeDocument/2006/relationships/hyperlink" Target="http://www.sec.gov/Archives/edgar/data/912242/000110465915042631/a15-13305_1ex3d1.htm" TargetMode="External"/><Relationship Id="rId25" Type="http://schemas.openxmlformats.org/officeDocument/2006/relationships/hyperlink" Target="http://www.sec.gov/Archives/edgar/data/912242/000110465915042631/a15-13305_1ex3d1.htm" TargetMode="External"/><Relationship Id="rId26" Type="http://schemas.openxmlformats.org/officeDocument/2006/relationships/hyperlink" Target="http://www.sec.gov/Archives/edgar/data/912242/000119312519129272/d731295dex31.htm" TargetMode="External"/><Relationship Id="rId27" Type="http://schemas.openxmlformats.org/officeDocument/2006/relationships/hyperlink" Target="http://www.sec.gov/Archives/edgar/data/912242/000119312519129272/d731295dex31.htm" TargetMode="External"/><Relationship Id="rId28" Type="http://schemas.openxmlformats.org/officeDocument/2006/relationships/hyperlink" Target="https://www.sec.gov/Archives/edgar/data/912242/000119312521182973/d417870dex31.htm" TargetMode="External"/><Relationship Id="rId29" Type="http://schemas.openxmlformats.org/officeDocument/2006/relationships/hyperlink" Target="https://www.sec.gov/Archives/edgar/data/912242/000119312521182973/d417870dex31.htm" TargetMode="External"/><Relationship Id="rId30" Type="http://schemas.openxmlformats.org/officeDocument/2006/relationships/hyperlink" Target="http://www.sec.gov/Archives/edgar/data/912242/000119312519129272/d731295dex32.htm" TargetMode="External"/><Relationship Id="rId31" Type="http://schemas.openxmlformats.org/officeDocument/2006/relationships/hyperlink" Target="http://www.sec.gov/Archives/edgar/data/912242/000119312519129272/d731295dex32.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39903</Words>
  <Characters>218182</Characters>
  <CharactersWithSpaces>256309</CharactersWithSpaces>
  <Paragraphs>3829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