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MACERICH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1-12504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95-4448705</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401 Wilshire Boulevard, Suite 700, Santa Monica, California 90401</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(310) 394-6000</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of The Macerich Company,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MAC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On June 15, 2026, The Macerich Company (the “Company”) entered into an underwriting agreement (the “Underwriting Agreement”) with Goldman Sachs &amp; Co. LLC, Deutsche Bank Securities Inc., J. P. Morgan Securities LLC, Morgan Stanley &amp; Co. LLC, BMO Capital Markets Corp., TD Securities (USA) LLC, and Scotia Capital (USA) Inc., in their capacities as underwriters (together, in such capacities, the “Underwriters”), Goldman Sachs &amp; Co. LLC, Deutsche Bank Securities Inc., J.P. Morgan Securities LLC, and Morgan Stanley &amp; Co. LLC, in their capacities as forward sellers (together, in such capacities, the “Forward Sellers”), and Goldman Sachs &amp; Co. LLC, Deutsche Bank AG, London Branch, JPMorgan Chase Bank, National Association and Morgan Stanley &amp; Co. LLC, in their capacities as forward purchasers (together, in such capacities, the “Forward Purchasers”), relating to the offer and sale of an aggregate of 14,000,000 shares (the “Shares”) of the Company’s common stock, par value $0.01 per share (the “Common Stock”), by the Forward Sellers in connection with the forward sale agreements described below. The Company granted the Underwriters a</w:t>
      </w:r>
    </w:p>
    <w:p>
      <w:pPr>
        <w:spacing w:after="0" w:line="253" w:lineRule="auto"/>
        <w:rPr>
          <w:sz w:val="20"/>
          <w:szCs w:val="20"/>
          <w:color w:val="auto"/>
        </w:rPr>
      </w:pPr>
      <w:r>
        <w:rPr>
          <w:rFonts w:ascii="Times New Roman" w:cs="Times New Roman" w:eastAsia="Times New Roman" w:hAnsi="Times New Roman"/>
          <w:sz w:val="18"/>
          <w:szCs w:val="18"/>
          <w:color w:val="auto"/>
        </w:rPr>
        <w:t>30-day option to purchase up to an additional 2,100,000 shares of Common Stock. Upon any exercise of such option, the Company expects to enter into additional forward sale agreements (“Additional Forward Sale Agreements”) with the Forward Purchasers in respect of the number of Shares sold by the Forward Purchasers (or their respective affiliates) in connection with the exercise of such option. The Company will not initially receive any proceeds from the sale of shares of Common Stock by the Forward Sellers.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15, 2026, in connection with the initial offering of 14,000,000 shares, the Company and the Forward Purchasers entered into separate letter agreements (the “Forward Sale Agreements”). At the Company’s request, the Forward Sellers borrowed from third parties and sold to the Underwriters an aggregate of 14,000,000 shares of Common Stock in connection with the execution of the Forward Sale Agreements. The Company expects to physically settle the Forward Sale Agreements and receive proceeds, subject to certain adjustments, from the sale of those shares of Common Stock upon one or more such physical settlements no later than June 16, 2027. Although the Company expects to settle the Forward Sale Agreements entirely by the physical delivery of shares of Common Stock for cash proceeds, the Company may also elect to cash settle or net share settle all or a portion of its obligations under the Forward Sale Agreements, in which case, the Company may not receive any proceeds, and the Company may owe cash or shares of Common Stock to the Forward Purchasers.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 Sale Agreements provide for an initial forward price of $23.12325 per share, subject to certain adjustments pursuant to the terms of each of the Forward Sale Agreements. The Forward Sale Agreements are subject to early termination or settlement under certain circumstances.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will contribute the net proceeds it receives upon the settlement of the Forward Sale Agreements (and any Additional Forward Sale Agreements) to The Macerich Partnership, L.P. (the “Operating Partnership”) to the Operating Partnership in exchange for securities of the Operating Partnership that have economic interests substantially similar to those of the Common Stock. The Operating Partnership intends to use the net proceeds to fund future acquisition opportunities and for general corporate purposes. Pending such use, the Operating Partnership may invest the net proceeds in short-term, interest-bearing deposit accounts.</w:t>
      </w:r>
    </w:p>
    <w:p>
      <w:pPr>
        <w:spacing w:after="0" w:line="183"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Shares were offered and sold pursuant to the Company’s effective shelf registration statement on Form S-3 (Registration No. 333-273707), which became effective upon filing with the Securities and Exchange Commission on August 4, 2023, and a prospectus supplement dated June 15, 2026.</w:t>
      </w:r>
    </w:p>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17, 2026, the Company closed the offering. The foregoing description of the Underwriting Agreement and the Forward Sale Agreements does not purport to be complete and is qualified in its entirety by reference to the exhibits filed with this Current Report on Form 8-K.</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copy of the legal opinion of the Company’s counsel, Venable LLP, relating to the legality of the Shares is attached hereto as Exhibit 5.1 and is incorporated herein by reference and into the Registration Statement.</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360" w:type="dxa"/>
            <w:vAlign w:val="bottom"/>
            <w:gridSpan w:val="8"/>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3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2"/>
                <w:szCs w:val="22"/>
                <w:color w:val="auto"/>
              </w:rPr>
            </w:pPr>
          </w:p>
        </w:tc>
        <w:tc>
          <w:tcPr>
            <w:tcW w:w="998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0000EE"/>
              </w:rPr>
              <w:t>Underwriting Agreement, dated as of June 15, 2026, by and among The Macerich Company and Goldman Sachs &amp; Co. LLC, Deutsche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Bank Securities Inc., J. P. Morgan Securities LLC, Morgan Stanley &amp; Co. LLC, BMO Capital Markets Corp., TD Securities (USA) LLC,</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and Scotia Capital (USA) Inc., in their capacities as underwriters, Goldman Sachs &amp; Co. LLC, Deutsche Bank Securities Inc., J.P. Morgan</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Securities LLC, and Morgan Stanley &amp; Co. LLC, in their capacities as forward sellers, and Goldman Sachs &amp; Co. LLC, Deutsche Bank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AG, London Branch, JPMorgan Chase Bank, National Association and Morgan Stanley &amp; Co. LLC, in their capacities as forward</w:t>
            </w: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purchasers.</w:t>
            </w:r>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Pr>
          <w:p>
            <w:pPr>
              <w:spacing w:after="0"/>
              <w:rPr>
                <w:sz w:val="24"/>
                <w:szCs w:val="24"/>
                <w:color w:val="auto"/>
              </w:rPr>
            </w:pPr>
          </w:p>
        </w:tc>
        <w:tc>
          <w:tcPr>
            <w:tcW w:w="48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Master Forward Confirmation Letter, dated June 15, 2026.</w:t>
            </w:r>
          </w:p>
        </w:tc>
        <w:tc>
          <w:tcPr>
            <w:tcW w:w="5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4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Venable LLP regarding the legality of the shares offered.</w:t>
            </w:r>
          </w:p>
        </w:tc>
        <w:tc>
          <w:tcPr>
            <w:tcW w:w="5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Venable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 w:right="4160" w:hanging="4"/>
        <w:spacing w:after="0" w:line="501" w:lineRule="auto"/>
        <w:tabs>
          <w:tab w:leader="none" w:pos="10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4"/>
          </w:cols>
          <w:pgMar w:left="436" w:top="293" w:right="4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Macerich Company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DANIEL E. SWANSTROM II</w:t>
      </w:r>
    </w:p>
    <w:p>
      <w:pPr>
        <w:spacing w:after="0" w:line="22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8"/>
          <w:szCs w:val="18"/>
          <w:color w:val="auto"/>
        </w:rPr>
        <w:t>/s/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Executive Vice President,</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0800"/>
          </w:cols>
          <w:pgMar w:left="440" w:top="293"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14,000,000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($0.01 Par Value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 set forth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Sellers set forth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Purchasers set forth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Macerich Company, a Maryland corporation (the “Company”), and each of Goldman Sachs &amp; Co. LLC, Deutsche Bank Securities Inc., J.P. Morgan Securities LLC and Morgan Stanley &amp; Co. LLC in their capacities as sellers of Borrowed Shares (as defined below) (the “Forward Sellers”), at the Company’s request in connection with the separate letter agreements, each dated the date hereof, between the Company (each such letter agreement, an “Initial Forward Sale Agreement” and, together, the “Initial Forward Sale Agreements”) and each of Goldman Sachs &amp; Co. LLC, Deutsche Bank AG, London Branch, JPMorgan Chase Bank, National Association and Morgan Stanley &amp; Co. LLC (in their capacities as counterparties under their respective Forward Sale Agreements, the “Forward Purchasers”), relating to the forward sale by the Company, subject to the Company’s right to elect Cash Settlement or Net Share Settlement (as such terms are defined in such Initial Forward Sale Agreements), of a number of shares of common stock, par value $0.01 per share, of the Company (“Common Stock”) equal to the number of Borrowed Shares sold by each of the Forward Sellers pursuant to this Agreement (as defined below), confirm their respective agreements with Goldman Sachs &amp; Co. LLC (the “Representative” and each of the several underwriters named in Schedule I attached hereto, together with the Representative, collectively, the “Underwriters”) with respect to (i) the sale by the Forward Sellers (with respect to an aggregate of 14,000,000 shares of Common Stock (the “Borrowed Firm Shares”)) and the Company (with respect to any Company Top-Up Firm Shares (as defined below)), severally and not jointly, to the Underwriters, and the purchase by the Underwriters, severally and not jointly, of such Borrowed Firm Shares and (ii) the grant by the Forward Sellers (with respect to an aggregate of up to 2,100,000 shares of Common Stock (the “Borrowed Option Shares”)) and the Company (with respect to any Company Top-Up Option Shares (as defined herein)), severally and not jointly, of an option to purchase by the Underwriters, severally and not jointly, such shares, if and to the extent that the Representative shall have determined to exercise such option on their behalf. This underwriting agreement is herein</w:t>
      </w:r>
    </w:p>
    <w:p>
      <w:pPr>
        <w:sectPr>
          <w:pgSz w:w="11900" w:h="16838" w:orient="portrait"/>
          <w:cols w:equalWidth="0" w:num="1">
            <w:col w:w="11020"/>
          </w:cols>
          <w:pgMar w:left="440" w:top="117" w:right="439" w:bottom="1440" w:gutter="0" w:footer="0" w:header="0"/>
        </w:sectPr>
      </w:pPr>
    </w:p>
    <w:bookmarkStart w:id="5" w:name="page6"/>
    <w:bookmarkEnd w:id="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referred to as the “Agreement.” The Borrowed Firm Shares and the Company Top-Up Firm Shares are herein referred to collectively as the “Firm Shares.” The Company Top-Up Firm Shares and the Company Top-Up Option Shares are herein referred to collectively as the “Top-Up Shares.” The Borrowed Option Shares and the Company Top-Up Option Shares are herein referred to collectively as the “Option Shares.” The Borrowed Firm Shares and the Borrowed Option Shares are herein referred to collectively as the “Borrowed Shares.” The Firm Shares and the Option Shares (to the extent the aforementioned option is exercised) are herein collectively called the “Shares.”</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mutual agreements contained herein and of the interests of the parties in the transactions contemplated hereby, the parties hereto agree as follows:</w:t>
      </w:r>
    </w:p>
    <w:p>
      <w:pPr>
        <w:spacing w:after="0" w:line="310"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Forward Purchaser and Forward Seller as follows:</w:t>
      </w:r>
    </w:p>
    <w:p>
      <w:pPr>
        <w:spacing w:after="0" w:line="117" w:lineRule="exact"/>
        <w:rPr>
          <w:sz w:val="20"/>
          <w:szCs w:val="20"/>
          <w:color w:val="auto"/>
        </w:rPr>
      </w:pPr>
    </w:p>
    <w:p>
      <w:pPr>
        <w:ind w:firstLine="987"/>
        <w:spacing w:after="0" w:line="252"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shelf registration statement” as defined in Rule 405 under the Securities Act of 1933, as amended (the “Act”), on Form S-3 (File No. 333-273707) in respect of the Shares, including a form of prospectus (the “Base Prospectus”), has been prepared and filed by the Company not earlier than three years prior to the date hereof, in conformity with the requirements of the Act and the rules and regulations (the “Rules and Regulations”) of the Securities and Exchange Commission (the “Commission”) thereunder. The Company and the transactions contemplated by this Agreement meet the requirements and comply with the conditions for the use of Form S-3. Copies of such registration statement, including any amendments thereto, the Base Prospectus, as supplemented by any preliminary prospectus (including any preliminary prospectus supplement) relating to the Shares filed with the Commission pursuant to rule 424(b) under the Act, and including the documents incorporated in the Base Prospectus by reference (a “Preliminary Prospectus”), and the exhibits, financial statements and schedules to such registration statement, in each case as finally amended and revised, have heretofore been delivered by the Company to you. Such registration statement, together with any registration statement filed by the Company pursuant to Rules 413(b) and 462(f) under the Act, is herein referred to as the “Registration Statement,”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Agreement. “Prospectus” means the Base Prospectus and form of prospectus relating to the Shares first filed with the Commission pursuant to and within the time limits described in Rule 424(b) under the Act and in accordance with Section 5(a) hereof. Any reference herein to the Registration Statement, any Preliminary Prospectus or to the Prospectus or to any amendment or supplement to any of the foregoing documents shall be deemed to refer to and include any documents incorporated by reference therein, and, in the case of any reference herein to the Prospectus, also shall be deemed to include any documents incorporated by reference therein, and any supplements or amendments thereto, filed with the Commission after the date of filing of the Prospectus under Rule 424(b) under the Act, and prior to the termination of the offering of the Shares by the Underwriters.</w:t>
      </w:r>
    </w:p>
    <w:p>
      <w:pPr>
        <w:spacing w:after="0" w:line="191" w:lineRule="exact"/>
        <w:rPr>
          <w:rFonts w:ascii="Times New Roman" w:cs="Times New Roman" w:eastAsia="Times New Roman" w:hAnsi="Times New Roman"/>
          <w:sz w:val="18"/>
          <w:szCs w:val="18"/>
          <w:color w:val="auto"/>
        </w:rPr>
      </w:pPr>
    </w:p>
    <w:p>
      <w:pPr>
        <w:ind w:right="40" w:firstLine="987"/>
        <w:spacing w:after="0" w:line="271" w:lineRule="auto"/>
        <w:tabs>
          <w:tab w:leader="none" w:pos="124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Applicable Time (as defined below) and as of the Closing Date or the Option Closing Date (each as defined below), as the case may be, neither (i) the General Use Free Writing Prospectus(es) (as defined below) issued at or prior to the Applicable Time, the Statutory Prospectus (as defined below) and the information included on Schedule II hereto, all considered together (collectively, the “General Disclosure Package”),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makes no representations or warranties as to information contained in or omitted from any Issuer Free Writing Prospectus in reliance upon, and in conformity with, written information furnished to the Company by or on behalf of any Underwriter through the Representative specifically for use therein, it being understood and agreed that the only such information is that described in Section 14 herein. As used in this subsection and elsewhere in this Agreement:</w:t>
      </w:r>
    </w:p>
    <w:p>
      <w:pPr>
        <w:spacing w:after="0" w:line="17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“Applicable Time” means 7:30 p.m. (New York time) on the date of this Agreement or such other time as agreed to by the Company and the Representative.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“Statutory Prospectus” means the Base Prospectus, as amended and supplemented immediately prior to the Applicable Time, including any document incorporated by reference therein and any prospectus supplement deemed to be a part thereof.</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Use Free Writing Prospectus” means any Issuer Free Writing Prospectus that is identified on Schedule III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“Limited Use Free Writing Prospectus” means any Issuer Free Writing Prospectus that is not a General Use Free Writing Prospectus.</w:t>
      </w:r>
    </w:p>
    <w:p>
      <w:pPr>
        <w:spacing w:after="0" w:line="225" w:lineRule="exact"/>
        <w:rPr>
          <w:sz w:val="20"/>
          <w:szCs w:val="20"/>
          <w:color w:val="auto"/>
        </w:rPr>
      </w:pPr>
    </w:p>
    <w:p>
      <w:pPr>
        <w:ind w:right="60" w:firstLine="987"/>
        <w:spacing w:after="0" w:line="251"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organized and is validly existing as a corporation in good standing under the laws of the State of Maryland, with corporate power and authority to own, lease and operate its properties and conduct its business as described in the Registration Statement, the General Disclosure Package and the Prospectus. Each of the Company’s subsidiaries that would be required to be listed on Exhibit 21 to Item 601 of Regulation S-K in connection with the most recent Form 10-K filed by the Company under the Securities Exchange Act of 1934, as amended (the “Exchange Act”), and of which the Company or another subsidiary owns 50% or more of the capital stock or the other equity interests (collectively, the “Subsidiaries”), has been duly organized and is validly existing as a corporation, general partnership, limited partnership, trust or limited liability company, as the case may be, in good standing under the laws of the jurisdiction of its incorporation, organization or formation, with corporate, partnership, trust or limited liability company power and authority to own, lease and operate its properties and conduct its business as described in the Registration Statement, the General Disclosure Package and the Prospectus, except as would not, individually or in the aggregate, have a material adverse effect on the results of operations, business, properties, or condition (financial or otherwise) of the Company and of the Subsidiaries, taken as a whole. The Company and each of the Subsidiaries are duly registered and qualified to transact business in all jurisdictions in which the conduct of their business requires such registration or qualification, except where the failure so to register or qualify does not, individually or in the aggregate, have a material adverse effect on the results of operations, net worth, business, properties, or condition (financial or otherwise) of the Company and of the Subsidiaries, taken as a whole. The outstanding shares of capital stock of each of the Subsidiaries other than Subsidiaries organized as a limited liability company or a partnership that are owned by the Company or another Subsidiary have been duly authorized and validly issued, are fully paid and non-assessable and are free and clear of all liens, encumbrances, equities and claims, except as described in the Registration Statement, the General Disclosure Package and the Prospectus or as would not, individually or in the aggregate, have a material adverse effect on the results of operations, business, properties, or condition (financial or otherwise) of the Company and of the Subsidiaries, taken as a whole. The outstanding interests of each of the Subsidiaries that are organized as a limited liability company or a partnership and that are owned by the Company or another Subsidiary have been duly authorized and are free and clear of all liens, encumbrances, equities and claims, except as described in the Registration Statement, the General Disclosure Package and the Prospectus or as would not have, individually or in the aggregate, a material adverse effect on the results of operations, business, properties, or condition (financial or otherwise) of the Company and of the Subsidiaries, taken as a whole.</w:t>
      </w:r>
    </w:p>
    <w:p>
      <w:pPr>
        <w:spacing w:after="0" w:line="20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of the joint ventures in which the Company or any Subsidiary owns an interest of greater than five percent and that are currently conducting business (collectively, the “Joint Ventures”) possesses such certificates, authorizations or permits issued by the appropriate states, federal or foreign regulatory agencies or bodies necessary to conduct the business now being conducted by it, as described in the Registration Statement, the General Disclosure Package and the Prospectus, and to the knowledge of the Company, none of the Joint Ventures has received written notice of any proceedings relating to the revocation or modification of any such certificate, authority or permit which singly or in the aggregate, if the subject of an unfavorable ruling or decision, would have, individually or in the aggregate, a material adverse effect on the results of operations, net worth, business, properties, or condition (financial or otherwise) of the Company and of the Subsidiaries, taken as a whole.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ind w:left="4" w:right="160" w:firstLine="987"/>
        <w:spacing w:after="0" w:line="254"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outstanding shares of capital stock of the Company have been duly authorized and validly issued and are fully paid and non-assessable. The Shares to be issued and sold by the Company pursuant to this Agreement and the Forward Sale Agreements have been duly authorized by the Company and, when issued and delivered by the Company to the Forward Purchasers against payment of any consideration required to be paid by the Forward Purchasers pursuant to the terms of the Forward Sale Agreements, the Shares will be validly issued, fully paid and non-assessable; and no preemptive or similar rights of stockholders exist with respect to any of the Shares or the issue and sale thereof (i) currently or</w:t>
      </w:r>
    </w:p>
    <w:p>
      <w:pPr>
        <w:spacing w:after="0" w:line="3" w:lineRule="exact"/>
        <w:rPr>
          <w:rFonts w:ascii="Times New Roman" w:cs="Times New Roman" w:eastAsia="Times New Roman" w:hAnsi="Times New Roman"/>
          <w:sz w:val="18"/>
          <w:szCs w:val="18"/>
          <w:color w:val="auto"/>
        </w:rPr>
      </w:pPr>
    </w:p>
    <w:p>
      <w:pPr>
        <w:ind w:left="4" w:right="40" w:hanging="4"/>
        <w:spacing w:after="0" w:line="253"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Shares are issued and delivered by the Company to the Forward Purchasers. Neither the filing of the Registration Statement nor the offering or sale of the Shares as contemplated by this Agreement gives rise to any rights, other than those (i) which have been waived or satisfied, for or relating to the registration of any shares of Common Stock or (ii) which would not adversely affect the transactions contemplated by this Agreement or the market price of the Common Stock.</w:t>
      </w:r>
    </w:p>
    <w:p>
      <w:pPr>
        <w:spacing w:after="0" w:line="188" w:lineRule="exact"/>
        <w:rPr>
          <w:rFonts w:ascii="Times New Roman" w:cs="Times New Roman" w:eastAsia="Times New Roman" w:hAnsi="Times New Roman"/>
          <w:sz w:val="18"/>
          <w:szCs w:val="18"/>
          <w:color w:val="auto"/>
        </w:rPr>
      </w:pPr>
    </w:p>
    <w:p>
      <w:pPr>
        <w:ind w:left="4" w:firstLine="987"/>
        <w:spacing w:after="0" w:line="255" w:lineRule="auto"/>
        <w:tabs>
          <w:tab w:leader="none" w:pos="1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General Disclosure Package. All of the Shares conform to the description thereof contained in the Registration Statement, the General Disclosure Package and the Prospectus. Except, in each case, as described in the Registration Statement, the General Disclosure Package and the Prospectus, there are no outstanding securities of the Company convertible into, exchangeable for or evidencing the right to purchase or subscribe for any shares of capital stock of the Company and there are no outstanding or authorized options, warrants or rights of any character obligating the Company to issue any shares of its capital stock or any securities convertible or exchangeable into or evidencing the right to purchase or subscribe for any shares of such stock. The form of certificates for the Shares conforms to the corporate law of the jurisdiction of the Company’s incorporation.</w:t>
      </w:r>
    </w:p>
    <w:p>
      <w:pPr>
        <w:spacing w:after="0" w:line="188"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documents incorporated, or to be incorporated, by reference in the Prospectus, at the time filed with the Commission conformed, or will conform, in all material respects to the requirements of the Exchange Act or the Act, as applicable, and the rules and regulations of the Commission thereunder. The Registration Statement and any amendment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information contained in or omitted from the Registration Statement or the Prospectus, or any such amendment or supplement thereto, in reliance upon, and in conformity with, written information furnished to the Company by or on behalf of any Underwriter through the Representative, specifically for use therein, it being understood and agreed that the only such information is that described in Section 14 herein.</w:t>
      </w:r>
    </w:p>
    <w:p>
      <w:pPr>
        <w:spacing w:after="0" w:line="197" w:lineRule="exact"/>
        <w:rPr>
          <w:rFonts w:ascii="Times New Roman" w:cs="Times New Roman" w:eastAsia="Times New Roman" w:hAnsi="Times New Roman"/>
          <w:sz w:val="18"/>
          <w:szCs w:val="18"/>
          <w:color w:val="auto"/>
        </w:rPr>
      </w:pPr>
    </w:p>
    <w:p>
      <w:pPr>
        <w:jc w:val="both"/>
        <w:ind w:left="4" w:right="40" w:firstLine="987"/>
        <w:spacing w:after="0" w:line="281" w:lineRule="auto"/>
        <w:tabs>
          <w:tab w:leader="none" w:pos="125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Issuer Free Writing Prospectus, as of its issue date and at all subsequent times through the completion of the public offer and sale of the Shares or until any earlier date that the Company notified or notifies the Representative to the contrary, did not, does not and will not include any information that conflicted, conflicts or will conflict with the information contained in the Registration Statement or the Prospectus, including any document incorporated by reference and any prospectus supplement deemed to be a part thereof that has not been superseded or modified.</w:t>
      </w:r>
    </w:p>
    <w:p>
      <w:pPr>
        <w:spacing w:after="0" w:line="164" w:lineRule="exact"/>
        <w:rPr>
          <w:rFonts w:ascii="Times New Roman" w:cs="Times New Roman" w:eastAsia="Times New Roman" w:hAnsi="Times New Roman"/>
          <w:sz w:val="17"/>
          <w:szCs w:val="17"/>
          <w:color w:val="auto"/>
        </w:rPr>
      </w:pPr>
    </w:p>
    <w:p>
      <w:pPr>
        <w:ind w:left="4" w:right="20" w:firstLine="987"/>
        <w:spacing w:after="0" w:line="261" w:lineRule="auto"/>
        <w:tabs>
          <w:tab w:leader="none" w:pos="12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5(b) below. The Company will file with the Commission all Issuer Free Writing Prospectuses in the time and manner required under Rules 163(b)(2) and 433(d) under the Act.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8" w:name="page9"/>
    <w:bookmarkEnd w:id="8"/>
    <w:p>
      <w:pPr>
        <w:ind w:left="4" w:right="60" w:firstLine="987"/>
        <w:spacing w:after="0" w:line="256" w:lineRule="auto"/>
        <w:tabs>
          <w:tab w:leader="none" w:pos="12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at the date hereof, the Company is a “well known seasoned issuer” as defined in Rule 405 under the Act. The Company has not received from the Commission any notice pursuant to Rule 401(g)(2) under the Act objecting to the use of the automatic shelf registration form.</w:t>
      </w:r>
    </w:p>
    <w:p>
      <w:pPr>
        <w:spacing w:after="0" w:line="187"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earliest time after the time of filing the Registration Statement that the Company or another offering participant made a bona fide offer (within the meaning of Rule 164(h)(2) under the Act) of the Shares and (ii) as of the date hereof,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83" w:lineRule="exact"/>
        <w:rPr>
          <w:rFonts w:ascii="Times New Roman" w:cs="Times New Roman" w:eastAsia="Times New Roman" w:hAnsi="Times New Roman"/>
          <w:sz w:val="18"/>
          <w:szCs w:val="18"/>
          <w:color w:val="auto"/>
        </w:rPr>
      </w:pPr>
    </w:p>
    <w:p>
      <w:pPr>
        <w:ind w:left="4" w:firstLine="987"/>
        <w:spacing w:after="0" w:line="255" w:lineRule="auto"/>
        <w:tabs>
          <w:tab w:leader="none" w:pos="12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the Subsidiaries together with related notes and schedules as set forth or incorporated by reference in the Registration Statement, the General Disclosure Package and the Prospectus, present fairly the financial position and the results of operations and cash flows of the Company and the Subsidiaries, at the indicated dates and for the indicated periods. Such financial statements and related schedules have been prepared in accordance with generally accepted accounting principles, consistently applied throughout the periods involved, except as disclosed therein. The summary financial and statistical data included or incorporated by reference in the Registration Statement, the General Disclosure Package and the Prospectus presents fairly the information shown therein and such data has been compiled on a basis consistent with the financial statements presented therein and the books and records of the Company and the Subsidiaries.</w:t>
      </w:r>
    </w:p>
    <w:p>
      <w:pPr>
        <w:spacing w:after="0" w:line="188"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 has audited the financial statements incorporated by reference in the Registration Statement, the General Disclosure Package and the Prospectus, is an independent public accountant as required by the Act and the Rules and Regulations.</w:t>
      </w:r>
    </w:p>
    <w:p>
      <w:pPr>
        <w:spacing w:after="0" w:line="161"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claim or proceeding pending or, to the knowledge of the Company, threatened against the Company or any of the Subsidiaries before any court or administrative agency or otherwise that is required to be described in the Registration Statement, the General Disclosure Package or the Prospectus, which have not been so described as required.</w:t>
      </w:r>
    </w:p>
    <w:p>
      <w:pPr>
        <w:spacing w:after="0" w:line="175"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the Subsidiaries or the Joint Ventures, as applicable, have good and marketable title to all of the real property described in the Registration Statement, the General Disclosure Package and the Prospectus as owned by them (collectively, the “Properties”) and assets reflected in the financial statements (or as described in the Registration Statement, the General Disclosure Package and the Prospectus) hereinabove described, subject to no lien, mortgage, pledge, charge or encumbrance of any kind except those reflected in such financial statements (or as described in the Registration Statement, the General Disclosure Package and the Prospectus) or which are not material in amount; (ii) the Company occupies its leased properties under valid and binding leases conforming in all material respects, to the extent such leases are described therein, to the description thereof set forth in the Registration Statement, the General Disclosure Package and the Prospectus; (iii) except as described in the Registration Statement, the General Disclosure Package and the Prospectus, no person has an option to purchase all or part of any Property or any interest therein other than (A) rights with respect to certain Properties owned by the Joint Ventures in favor of the partners to such Joint Ventures pursuant to the agreements governing the Joint Ventures, or (B) options which, if exercised, would not have, individually or in the aggregate, a material adverse effect on the results of operations, net worth, business, properties, or condition (financial or otherwise) of the Company and the Subsidiaries, taken as a whole;</w:t>
      </w:r>
    </w:p>
    <w:p>
      <w:pPr>
        <w:spacing w:after="0" w:line="3" w:lineRule="exact"/>
        <w:rPr>
          <w:rFonts w:ascii="Times New Roman" w:cs="Times New Roman" w:eastAsia="Times New Roman" w:hAnsi="Times New Roman"/>
          <w:sz w:val="18"/>
          <w:szCs w:val="18"/>
          <w:color w:val="auto"/>
        </w:rPr>
      </w:pPr>
    </w:p>
    <w:p>
      <w:pPr>
        <w:ind w:left="4" w:right="20" w:hanging="4"/>
        <w:spacing w:after="0" w:line="253" w:lineRule="auto"/>
        <w:tabs>
          <w:tab w:leader="none" w:pos="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Properties complies with all applicable codes, laws and regulations (including, without limitation, building and zoning codes, laws and regulations and laws relating to access to the properties) and with all agreements between the Company and third parties relating to the ownership or use of any Property by the Company, except if and to the extent disclosed in the Registration Statement, the General Disclosure Package and the Prospectus and except for such failures to comply that would not have, individually or in the aggregate, a material adverse effect on the results of operations, net worth, business, properties, or condition (financial or otherwise) of the Company and of the Subsidiaries, taken as a whole; (v) there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in effect for the assets of the Company and the Properties insurance coverage that is commercially reasonable and that is consistent with the types and amounts of insurance typically maintained by prudent owners of similar assets; and (vi) the Company does not have any knowledge of any pending or threatened condemnation proceedings, zoning change, or other similar proceeding or action that will, individually or in the aggregate, in any material respect affect the size of, use of, improvements on, construction on or access to the Properties, except for such proceedings or actions that would not have, individually or in the aggregate, a material adverse effect on the results of operations, net worth, business, properties, or condition (financial or otherwise) of the Company and the Subsidiaries, taken as a whole.</w:t>
      </w:r>
    </w:p>
    <w:p>
      <w:pPr>
        <w:spacing w:after="0" w:line="187" w:lineRule="exact"/>
        <w:rPr>
          <w:sz w:val="20"/>
          <w:szCs w:val="20"/>
          <w:color w:val="auto"/>
        </w:rPr>
      </w:pPr>
    </w:p>
    <w:p>
      <w:pPr>
        <w:jc w:val="both"/>
        <w:ind w:right="2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Subsidiaries or the Joint Ventures have current title insurance policies in reasonable amounts in effect on each of the Properties, except where the failure to have such title insurance would not have, individually or in the aggregate, a material adverse effect on the results of operations, net worth, business, properties, or condition (financial or otherwise) of the Company and of the Subsidiaries, taken as a whole.</w:t>
      </w:r>
    </w:p>
    <w:p>
      <w:pPr>
        <w:spacing w:after="0" w:line="175" w:lineRule="exact"/>
        <w:rPr>
          <w:rFonts w:ascii="Times New Roman" w:cs="Times New Roman" w:eastAsia="Times New Roman" w:hAnsi="Times New Roman"/>
          <w:sz w:val="18"/>
          <w:szCs w:val="18"/>
          <w:color w:val="auto"/>
        </w:rPr>
      </w:pPr>
    </w:p>
    <w:p>
      <w:pPr>
        <w:jc w:val="both"/>
        <w:ind w:right="120" w:firstLine="987"/>
        <w:spacing w:after="0" w:line="281" w:lineRule="auto"/>
        <w:tabs>
          <w:tab w:leader="none" w:pos="124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Subsidiaries have filed all Federal, state and foreign tax returns which have been required to be filed by them and neither the Company nor any Subsidiary is in default in the payment of any taxes which were payable pursuant to said returns or any assessments with respect thereto, except where the failure to file or default in payment would not have, individually or in the aggregate, a material adverse effect on the results of operations, net worth, business, properties, or condition (financial or otherwise), of the Company and the Subsidiaries, taken as a whole.</w:t>
      </w:r>
    </w:p>
    <w:p>
      <w:pPr>
        <w:spacing w:after="0" w:line="164" w:lineRule="exact"/>
        <w:rPr>
          <w:rFonts w:ascii="Times New Roman" w:cs="Times New Roman" w:eastAsia="Times New Roman" w:hAnsi="Times New Roman"/>
          <w:sz w:val="17"/>
          <w:szCs w:val="17"/>
          <w:color w:val="auto"/>
        </w:rPr>
      </w:pPr>
    </w:p>
    <w:p>
      <w:pPr>
        <w:ind w:right="20" w:firstLine="987"/>
        <w:spacing w:after="0" w:line="253" w:lineRule="auto"/>
        <w:tabs>
          <w:tab w:leader="none" w:pos="12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Registration Statement, the General Disclosure Package and the Prospectus (in each case, excluding any amendment or supplement thereto after the Applicable Time), there has not been any material adverse change or any development involving a prospective material adverse change in or affecting the results of operations, net worth, business, properties, or condition (financial or otherwise) of the Company, the Subsidiaries and the Joint Ventures, taken as a whole; there has not been any material change in the capital stock, or material increase in the short-term debt or long-term debt of the Company or any of the Subsidiaries or Joint Ventures, other than as a result of borrowings made by the Company under its credit facilities; and there has not been any material transaction entered into by the Company, the Subsidiaries or the Joint Ventures, other than transactions in the ordinary course of business and changes and transactions described in the Registration Statement, the General Disclosure Package and the Prospectus. The Company and the Subsidiaries have no material contingent obligations which are not disclosed in the Company’s financial statements which are included in the Registration Statement, the General Disclosure Package and the Prospectus.</w:t>
      </w:r>
    </w:p>
    <w:p>
      <w:pPr>
        <w:spacing w:after="0" w:line="194" w:lineRule="exact"/>
        <w:rPr>
          <w:rFonts w:ascii="Times New Roman" w:cs="Times New Roman" w:eastAsia="Times New Roman" w:hAnsi="Times New Roman"/>
          <w:sz w:val="18"/>
          <w:szCs w:val="18"/>
          <w:color w:val="auto"/>
        </w:rPr>
      </w:pPr>
    </w:p>
    <w:p>
      <w:pPr>
        <w:ind w:firstLine="987"/>
        <w:spacing w:after="0" w:line="252" w:lineRule="auto"/>
        <w:tabs>
          <w:tab w:leader="none" w:pos="12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is or with the giving of notice or lapse of time or both, will be, in violation of or in default under (i) its charter, certificate or articles of incorporation or bylaws, or other organizational documents, (ii) any agreement, lease, contract, indenture or other instrument or obligation to which it is a party or by which it, or any of its properties, is bound, or (iii) any law, ordinance, administrative or governmental rule or regulation applicable to the Company or any of the Subsidiaries or of any decree of any court or governmental agency or body having jurisdiction over the Company or any of the Subsidiaries, in the case of clauses (ii) and (iii), which violation or default would have, individually or in the aggregate, a material adverse effect on the results of operations, net worth, business, properties, or condition (financial or otherwise) of the Company and the Subsidiaries, taken as a whole. The execution and delivery of this Agreement and the Forward Sale Agreements, and the consummation of the transactions contemplated by this Agreement and the Forward Sale Agreements, including, without limitation, the issuance and sale of the Shares, and the fulfillment of the terms of this Agreement and the Forward Sale Agreements,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or of the charter, certificate or articles of incorporation or bylaws of the Company or any Subsidiary or any law, rule, regulation, judgment, order, writ or decree applicable to the Company or any Subsidiary of any court or of any government, regulatory body or administrative agency or other governmental body having jurisdiction.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4" w:right="20" w:firstLine="987"/>
        <w:spacing w:after="0" w:line="253" w:lineRule="auto"/>
        <w:tabs>
          <w:tab w:leader="none" w:pos="12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the corporate power and authority to enter into this Agreement and the Initial Forward Sale Agreements. This Agreement has been duly authorized, executed and delivered by the Company. Each of the Initial Forward Sale Agreements has been duly authorized, executed and delivered by the Company and, assuming due authorization, execution and delivery by the Forward Sellers, constitutes a valid and binding agreement of the Company, enforceable against the Company in accordance with the terms thereof, except to the extent that enforcement thereof may be limited by (i) applicable bankruptcy, insolvency, reorganization, moratorium and similar laws relating to or affecting creditors’ rights and remedies generally, (ii) general principles of equity (regardless of whether enforcement is sought in a proceeding in equity or law), (iii) the discretion of the court before which any proceeding therefor may be brought, (iv) requirements that a claim with respect to any Shares payable in a foreign or composite currency (or a foreign or composite currency judgment in respect of such claim) be converted into U.S. dollars at a rate of exchange prevailing on a date determined pursuant to applicable law and (v) governmental authority to limit, delay or prohibit the making of payments outside the United States (collectively, the “Enforceability Limitations”). Prior to any sale of Borrowed Option Shares, each Additional Forward Sale Agreement (as defined below) will be duly authorized, executed and delivered by the Company and, assuming due authorization, execution and delivery by the Forward Sellers, will constitute a valid and binding agreement of the Company, enforceable against the Company in accordance with the terms thereof, except to the extent that enforcement thereof may be limited by the Enforceability Limitations.</w:t>
      </w:r>
    </w:p>
    <w:p>
      <w:pPr>
        <w:spacing w:after="0" w:line="187" w:lineRule="exact"/>
        <w:rPr>
          <w:rFonts w:ascii="Times New Roman" w:cs="Times New Roman" w:eastAsia="Times New Roman" w:hAnsi="Times New Roman"/>
          <w:sz w:val="18"/>
          <w:szCs w:val="18"/>
          <w:color w:val="auto"/>
        </w:rPr>
      </w:pPr>
    </w:p>
    <w:p>
      <w:pPr>
        <w:ind w:left="4" w:right="100" w:firstLine="987"/>
        <w:spacing w:after="0" w:line="270" w:lineRule="auto"/>
        <w:tabs>
          <w:tab w:leader="none" w:pos="12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approval, consent, order, authorization, designation, declaration or filing by or with any regulatory, administrative or other governmental body necessary in connection with the execution and delivery by the Company of this Agreement and the Forward Sale Agreements and the consummation of the transactions contemplated by this Agreement and the Forward Sale Agreements has been obtained or made and is in full force and effect, except for (i) such additional steps as may be required by the Commission or the Financial Industry Regulatory Authority (“FINRA”)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actions as shall be necessary to qualify the Shares under state securities or Blue Sky laws.</w:t>
      </w:r>
    </w:p>
    <w:p>
      <w:pPr>
        <w:spacing w:after="0" w:line="206"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hold all material licenses, certificates and permits from governmental authorities which are necessary to the conduct of their businesses, as described in the Registration Statement, the General Disclosure Package and the Prospectus, except where the omission to hold such licenses, certificates and permits would not have, individually or in the aggregate, a material adverse effect on the results of operations, net worth, business, properties, or condition (financial or otherwise) of the Company and of the Subsidiaries, taken as a whole; the Company and the Subsidiaries each own or possess in the United States the right to use all patents, patent rights, trademarks, trade names, service marks, service names, copyrights, license rights, know-how (including trade secrets and other unpatented and unpatentable proprietary or confidential information, systems or procedures) and other intellectual property rights (“Intellectual Property”) necessary to carry on their business in all material respects; none of the Company or the Subsidiaries have received written notice of any claim of infringement upon, misappropriation of or conflict with any Intellectual Property of any other person or entity, except where such claim of infringement, misappropriation or conflict would not have, individually or in the aggregate, a material adverse effect on the results of operations, net worth, business, properties, or condition (financial or otherwise) of the Company and the Subsidiaries, taken as a whole.</w:t>
      </w:r>
    </w:p>
    <w:p>
      <w:pPr>
        <w:spacing w:after="0" w:line="191"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or, after giving effect to the offering and sale of the Shares contemplated hereunder and the application of the net proceeds from such sale as described in the Registration Statement, the General Disclosure Package and the Prospectus, will be an “investment company” within the meaning of such term under the Investment Company Act of 1940 (as amended, the “1940 Act”),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organized in conformity with the requirements for qualification as a real estate investment trust (“REIT”) under the Internal Revenue Code of 1986, as amended (the “Code”), and its method of operation enables it to meet the requirements for taxation as a REIT under the Code.</w:t>
      </w:r>
    </w:p>
    <w:p>
      <w:pPr>
        <w:spacing w:after="0" w:line="175"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maintains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and (ii) maintains a system of “disclosure controls and procedures”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such term is defined in Rule 13a-15(e) under the Exchange Act). Except as disclosed in the Registration Statement, the General Disclosure Package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Prospectus, the Company is not aware of any (i) failure on its part to maintain effective disclosure controls and procedures and internal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financial reporting, each as defined in Rule 13a-15 under the Exchange Act, (ii) material weakness in the Company’s internal control over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(whether or not remediated) or (iii) change in the Company’s internal control over financial reporting that has materially adversely affected,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reasonably likely to materially adversely affect, the Company’s internal control over financial reporting. The Company is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402 of the Sarbanes-Oxley Act of 2002 (the “SOX Act”), as it relates to loans, in all material respects and has made all certifications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 pursuant to Section 302 and Section 906 of the SOX Act.</w:t>
      </w:r>
    </w:p>
    <w:p>
      <w:pPr>
        <w:spacing w:after="0" w:line="207" w:lineRule="exact"/>
        <w:rPr>
          <w:sz w:val="20"/>
          <w:szCs w:val="20"/>
          <w:color w:val="auto"/>
        </w:rPr>
      </w:pPr>
    </w:p>
    <w:p>
      <w:pPr>
        <w:ind w:firstLine="987"/>
        <w:spacing w:after="0" w:line="251"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contained in the Registration Statement, the General Disclosure Package and the Prospectus, the Company has not authorized or conducted, and does not have knowledge of, the generation, transportation, storage, presence, use, treatment, disposal, release or other handling of any hazardous substance, hazardous waste, hazardous material, hazardous constituent, toxic substance, pollutant, contaminant, asbestos, radon, polychlorinated biphenyls, petroleum product or waste (including crude oil or any fraction thereof), natural gas, liquefied gas, synthetic gas or other material defined, regulated, controlled or potentially subject to any remediation requirement under any Environmental Law (as defined below), on, in, under or affecting any real property leased or owned or by any means controlled by the Company, including the Properties (the “Real Property”), or to the knowledge of the Company, any real property formerly leased or owned or by any means controlled by the Company, in violation of any Environmental Laws or which may require remedial or other response actions under Environmental Laws, except where such matters would not have, individually or in the aggregate, a material adverse effect on the results of operations, net worth, business, properties, or condition (financial or otherwise) of the Company and the Subsidiaries, taken as a whole; to the knowledge of the Company, the Real Property and the Company’s operations are in compliance with all federal, state and local laws, ordinances, rules, regulations and other governmental requirements relating to pollution, control of chemicals, management of waste, discharges of materials into the environment, health, safety, natural resources, and the environment (collectively, “Environmental Laws”), except where such non-compliance would not have, individually or in the aggregate, a material adverse effect on the results of operations, net worth, business, properties, or condition (financial or otherwise) of the Company and the Subsidiaries, taken as a whole, and the Company has, and is in compliance with, all licenses, permits, registrations and government authorizations necessary to operate under all applicable Environmental Laws, except where the failure to have or comply with such license, permit, registration or authorization would not have, individually or in the aggregate, a material adverse effect on the results of operations, net worth, business, properties, or condition (financial or otherwise) of the Company and the Subsidiaries, taken as a whole. Except as otherwise disclosed in the Registration Statement, the General Disclosure Package and the Prospectus, the Company has not received any written notice from any governmental entity or any third party and, to the knowledge of the Company, there is no pending or threatened claim, litigation or any administrative agency proceeding that: alleges a violation of any Environmental Laws by the Company; alleges that the Company is a liable party or a potentially responsible party under the Comprehensive Environmental Response, Compensation and Liability Act, 42 U.S.C. Section 9601 et seq., or any state superfund law; has resulted in or could result in the attachment of an environmental lien on any of the Real Property; or alleges that the Company is liable for any contamination of the environment, contamination of the Real Property, damage to natural resources, property damage, or personal injury based on their activities or the activities of their predecessors or third parties (whether at the Real Property or elsewhere) arising under the Environmental Laws or common law principles, except for such claims, litigation or proceedings as would not be expected to have, individually or in the aggregate, a material adverse effect on the results of operations, net worth, business, properties, or condition (financial or otherwise) of the Company and the Subsidiaries, taken as a whole.</w:t>
      </w:r>
    </w:p>
    <w:p>
      <w:pPr>
        <w:spacing w:after="0" w:line="203" w:lineRule="exact"/>
        <w:rPr>
          <w:sz w:val="20"/>
          <w:szCs w:val="20"/>
          <w:color w:val="auto"/>
        </w:rPr>
      </w:pPr>
    </w:p>
    <w:p>
      <w:pPr>
        <w:ind w:right="160" w:firstLine="987"/>
        <w:spacing w:after="0" w:line="282" w:lineRule="auto"/>
        <w:tabs>
          <w:tab w:leader="none" w:pos="13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instruments which are required to be described in the Registration Statement, the General Disclosure Package or the Prospectus which have not been so described as required.</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Registration Statement, the General Disclosure Package and the Prospectus under the caption</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United States Federal Income Tax Considerations</w:t>
      </w:r>
      <w:r>
        <w:rPr>
          <w:rFonts w:ascii="Times New Roman" w:cs="Times New Roman" w:eastAsia="Times New Roman" w:hAnsi="Times New Roman"/>
          <w:sz w:val="18"/>
          <w:szCs w:val="18"/>
          <w:color w:val="auto"/>
        </w:rPr>
        <w:t>,” insofar as they purport to describe the provisions of the laws and documents referred to therein and when considered as a whole, are accurate and complete in all material respects.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2" w:name="page13"/>
    <w:bookmarkEnd w:id="12"/>
    <w:p>
      <w:pPr>
        <w:ind w:right="20" w:firstLine="987"/>
        <w:spacing w:after="0" w:line="266" w:lineRule="auto"/>
        <w:tabs>
          <w:tab w:leader="none" w:pos="13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to the Company’s knowledge, any of its affiliates, has taken or may take, directly or indirectly, any action intended to cause or result in, or which has constituted or which might reasonably be expected to constitute, the stabilization or manipulation of the price of the Common Stock to facilitate the sale or resale of the Shares.</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3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to the knowledge of the Company, any director, officer, agent, employee or other person associated with or acting on behalf of the Company or any of the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183" w:lineRule="exact"/>
        <w:rPr>
          <w:rFonts w:ascii="Times New Roman" w:cs="Times New Roman" w:eastAsia="Times New Roman" w:hAnsi="Times New Roman"/>
          <w:sz w:val="18"/>
          <w:szCs w:val="18"/>
          <w:color w:val="auto"/>
        </w:rPr>
      </w:pPr>
    </w:p>
    <w:p>
      <w:pPr>
        <w:ind w:right="60" w:firstLine="987"/>
        <w:spacing w:after="0" w:line="274" w:lineRule="auto"/>
        <w:tabs>
          <w:tab w:leader="none" w:pos="13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the Company and the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the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the Subsidiaries with respect to the Anti-Money Laundering Laws is pending or, to the knowledge of the Company, threatened.</w:t>
      </w:r>
    </w:p>
    <w:p>
      <w:pPr>
        <w:spacing w:after="0" w:line="172" w:lineRule="exact"/>
        <w:rPr>
          <w:rFonts w:ascii="Times New Roman" w:cs="Times New Roman" w:eastAsia="Times New Roman" w:hAnsi="Times New Roman"/>
          <w:sz w:val="17"/>
          <w:szCs w:val="17"/>
          <w:color w:val="auto"/>
        </w:rPr>
      </w:pPr>
    </w:p>
    <w:p>
      <w:pPr>
        <w:ind w:firstLine="987"/>
        <w:spacing w:after="0" w:line="253" w:lineRule="auto"/>
        <w:tabs>
          <w:tab w:leader="none" w:pos="1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Subsidiaries nor, to the knowledge of the Company, any director, officer, agent, employee, affiliate or other person associated with or acting on behalf of the Company or any of the Subsidiaries is currently the subject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nor is the Company or any of the Subsidiaries located, organized or resident in a country or territory that is the subject of Sanctions (each, a “Sanctioned Country”) and the Company will not, directly or indirectly, use the proceeds of the offering of the Shares hereunder, or lend, contribute or otherwise make available such proceeds to any Subsidiary, Joint Venture or other person or entity (i) to fund or facilitate any activities of or business with any person that, at the time of such funding or facilitation, is the subject of Sanctions, (ii) to fund or facilitate any activities of or business in any Sanctioned Country or (iii) in any other manner that would result in a violation by any person (including any person participating in the transaction, whether as underwriter, initial purchaser, advisor, investor or otherwise) of Sanctions. Since April 24, 2019, the Company and its Subsidiaries have not knowingly engaged in, and are not now knowingly engaged in, any dealings or transactions with any person that, at the time of the dealing or transaction, is or was the subject of Sanctions or with any Sanctioned Country.</w:t>
      </w:r>
    </w:p>
    <w:p>
      <w:pPr>
        <w:spacing w:after="0" w:line="187" w:lineRule="exact"/>
        <w:rPr>
          <w:rFonts w:ascii="Times New Roman" w:cs="Times New Roman" w:eastAsia="Times New Roman" w:hAnsi="Times New Roman"/>
          <w:sz w:val="18"/>
          <w:szCs w:val="18"/>
          <w:color w:val="auto"/>
        </w:rPr>
      </w:pPr>
    </w:p>
    <w:p>
      <w:pPr>
        <w:ind w:right="80" w:firstLine="987"/>
        <w:spacing w:after="0" w:line="253" w:lineRule="auto"/>
        <w:tabs>
          <w:tab w:leader="none" w:pos="13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Prospectus and the General Disclosure Package, (i) there has been no material security breach or incident, unauthorized access or disclosure, or other compromise of the Company or its Subsidiaries’ information technology and computer systems, networks, hardware, software, data and databases (including the data and information of their respective tenants, employees, suppliers, vendors and any third-party data maintained, processed or stored by the Company and its Subsidiaries, including, but not limited to, personally identifiable information, and any such data processed or stored by third parties on behalf of the Company and its Subsidiaries), equipment or technology (collectively, “IT Systems and Data”), (ii) neither the Company nor its Subsidiaries has been notified of, and each of them have no knowledge of any event or condition unique to the Company that could result in, any security breach or incident, unauthorized access or disclosure or other compromise to their IT Systems and Data and (iii) the Company and its Subsidiaries have implemented commercially reasonable controls, policies, procedures, and technological safeguards designed to maintain and protect the integrity, continuous operation, redundancy and security of their IT Systems and Data reasonably consistent with industry standards and practices, and as required by applicable law and regulatory standards, except, in the case of either clause (i) or (ii), as would not, individually or in the aggregate, reasonably be expected to have a material adverse effect on the results of operations, business, properties, or condition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or otherwise) of the Company or, with respect to clause (iii), where the failure to do so would not, individually or in the aggregate, reasonably be expected to have a material adverse effect on the results of operations, business, properties, or condition (financial or otherwise) of the Company. The Company and its Subsidiaries are in material compliance with all applicable laws, statutes, regulations and orders from any governmental body or agency, and their respective contractual obligations and privacy policies, in each case relating to the privacy and security of IT Systems and Data except as would not, individually or in the aggregate, reasonably be expected to have a material adverse effect on the results of operations, business, properties, or condition (financial or otherwise) of the Company.</w:t>
      </w:r>
    </w:p>
    <w:p>
      <w:pPr>
        <w:spacing w:after="0" w:line="187" w:lineRule="exact"/>
        <w:rPr>
          <w:sz w:val="20"/>
          <w:szCs w:val="20"/>
          <w:color w:val="auto"/>
        </w:rPr>
      </w:pPr>
    </w:p>
    <w:p>
      <w:pPr>
        <w:ind w:firstLine="987"/>
        <w:spacing w:after="0" w:line="258" w:lineRule="auto"/>
        <w:tabs>
          <w:tab w:leader="none" w:pos="13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except as would not, individually or in the aggregate, have a material adverse effect on the results of operations, business, properties, or condition (financial or otherwise) of the Company and of the Subsidiaries, taken as a whole.</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the General Disclosure Package and the Prospectus in all material respects fairly presents the information called for and has been prepared in accordance with the Commission’s rules and guidelines applicable thereto.</w:t>
      </w:r>
    </w:p>
    <w:p>
      <w:pPr>
        <w:spacing w:after="0" w:line="324"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FORWARD SELLERS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Forward Sellers represents and warrants to each Underwriter and the Company as follows:</w:t>
      </w:r>
    </w:p>
    <w:p>
      <w:pPr>
        <w:spacing w:after="0" w:line="117" w:lineRule="exact"/>
        <w:rPr>
          <w:sz w:val="20"/>
          <w:szCs w:val="20"/>
          <w:color w:val="auto"/>
        </w:rPr>
      </w:pPr>
    </w:p>
    <w:p>
      <w:pPr>
        <w:ind w:right="20" w:firstLine="987"/>
        <w:spacing w:after="0" w:line="312" w:lineRule="auto"/>
        <w:tabs>
          <w:tab w:leader="none" w:pos="123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duly authorized, executed and delivered by such Forward Seller. At the Closing Date and any Option Closing Date, as the case may be, such Forward Seller will have full right, power and authority to sell, transfer and deliver the applicable Borrowed Shares.</w:t>
      </w:r>
    </w:p>
    <w:p>
      <w:pPr>
        <w:spacing w:after="0" w:line="139" w:lineRule="exact"/>
        <w:rPr>
          <w:rFonts w:ascii="Times New Roman" w:cs="Times New Roman" w:eastAsia="Times New Roman" w:hAnsi="Times New Roman"/>
          <w:sz w:val="17"/>
          <w:szCs w:val="17"/>
          <w:color w:val="auto"/>
        </w:rPr>
      </w:pPr>
    </w:p>
    <w:p>
      <w:pPr>
        <w:ind w:right="60" w:firstLine="987"/>
        <w:spacing w:after="0" w:line="266" w:lineRule="auto"/>
        <w:tabs>
          <w:tab w:leader="none" w:pos="12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Initial Forward Sale Agreement between the Company and the applicable Forward Purchaser has been duly authorized, executed and delivered by such Forward Purchaser and, assuming due authorization, execution and delivery by the Company, constitutes a legal, valid and binding obligation of the applicable Forward Purchaser, enforceable against such Forward Purchaser in accordance with its terms.</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sale of Borrowed Option Shares, the related Additional Forward Sale Agreement between the Company and the related Forward Purchaser will be duly authorized, executed and delivered by such Forward Purchaser and, assuming due authorization, execution and delivery by the Company, will constitute a legal, valid and binding obligation of such Forward Purchaser, enforceable against such Forward Purchaser in accordance with its terms.</w:t>
      </w:r>
    </w:p>
    <w:p>
      <w:pPr>
        <w:spacing w:after="0" w:line="179" w:lineRule="exact"/>
        <w:rPr>
          <w:rFonts w:ascii="Times New Roman" w:cs="Times New Roman" w:eastAsia="Times New Roman" w:hAnsi="Times New Roman"/>
          <w:sz w:val="18"/>
          <w:szCs w:val="18"/>
          <w:color w:val="auto"/>
        </w:rPr>
      </w:pPr>
    </w:p>
    <w:p>
      <w:pPr>
        <w:ind w:right="240" w:firstLine="987"/>
        <w:spacing w:after="0" w:line="256" w:lineRule="auto"/>
        <w:tabs>
          <w:tab w:leader="none" w:pos="12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Forward Seller shall, at the Closing Date or Option Closing Date, as the case may be, have the free and unqualified right to transfer any Borrowed Shares, to the extent that it is required to transfer such Borrowed Shares hereunder, free and clear of any security interest, mortgage, pledge, lien, charge, claim, equity or encumbrance of any kind; and upon delivery of such Borrowed Shares and payment of the purchase price therefor as herein contemplated, assuming each of the Underwriters has no notice of any adverse claim, each of the Underwriters shall have the free and unqualified right to transfer the Borrowed Shares purchased by it from such Forward Seller, free and clear of any security interest, mortgage, pledge, lien, charge, claim, equity or encumbrance of any kind.</w:t>
      </w:r>
    </w:p>
    <w:p>
      <w:pPr>
        <w:spacing w:after="0" w:line="33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SALE AND DELIVERY OF THE FIRM SHARES AND OPTION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covenants herein contained, and subject to the conditions herein set forth, each of the Forward Sellers (with respect to the Borrowed Firm Shares) and the Company (with respect to any Company Top-Up Firm Shares) agrees, severally and not jointly, to sell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Underwriter, severally and not jointly, and each Underwriter agrees, severally and not jointly, to purchase from the Forward Sellers (with respect to the Borrowed Firm Shares) and the Company (with respect to any Company Top-Up Firm Shares), at a price of $23.12325 per share (such price, the “Purchase Price”), the number of Firm Shares set forth opposite the name of such Underwriter in Schedule I hereto, subject to adjustments in accordance with Section 9 hereto. Each Forward Seller’s obligations pursuant to this Section 3(a) are several and not joint and extend solely to the respective number of Borrowed Firm Shares specified opposite its name in Schedule I.</w:t>
      </w:r>
    </w:p>
    <w:p>
      <w:pPr>
        <w:spacing w:after="0" w:line="183" w:lineRule="exact"/>
        <w:rPr>
          <w:sz w:val="20"/>
          <w:szCs w:val="20"/>
          <w:color w:val="auto"/>
        </w:rPr>
      </w:pPr>
    </w:p>
    <w:p>
      <w:pPr>
        <w:ind w:firstLine="987"/>
        <w:spacing w:after="0" w:line="253"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and payment for the Firm Shares to the Forward Sellers (with respect to the Borrowed Firm Shares) or to the Company (with respect to any Company Top-Up Firm Shares) are to be made through the facilities of The Depository Trust Company, New York, New York at 10:00 a.m., New York time, on the second business day after the date of this Agreement or at such other time and date not later than five business days thereafter as you and the Company shall agree upon, such time and date being herein referred to as the “Closing Date.” Delivery of the Borrowed Firm Shares to the Forward Sellers and of the Company Top-Up Firm Shares to the Underwriters shall be made against payment by the Underwriters of the purchase price thereof to or upon the order of the Company by wire transfer payable in same-day funds to an account specified by the Forward Sellers or the Company, as applicable. The parties acknowledge and agree that the Shares shall be delivered and maintained in book-entry only form. The Shares shall be registered in such names and in such denominations as you shall request in writing not less than one full business day prior to the Closing Date. (As used herein, “business day” means a day on which the New York Stock Exchange is open for trading and on which banks in New York are open for business and are not permitted by law or executive order to be closed.) The Company shall not be obligated to deliver any of the Firm Shares unless and until payment has been received in respect of all of the Firm Shares.</w:t>
      </w:r>
    </w:p>
    <w:p>
      <w:pPr>
        <w:spacing w:after="0" w:line="191"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on the basis of the representations and warranties herein contained and subject to the terms and conditions herein set forth, the Forward Sellers (with respect to any Borrowed Option Shares) and the Company (with respect to any Company Top-Up Option Shares), severally and not jointly, hereby grants an option to the Underwriters to purchase (i) up to the number of Borrowed Option Shares set forth in Schedule I (in the case of the Forward Sellers) and (ii) up to the total number of Company Top-Up Option Shares (in the case of the Company), in each case at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purchase price per Option Share shall be reduced by an amount per share equal to any dividends or distributions declared by the Company and paid or payable on the Firm Shares but not payable on the Option Shares. Each of the Forward Sellers’ obligations extend solely to the number of Borrowed Option Shares specified opposite its name on Schedule I (or such number increased as set forth in Section 10 hereof). The option granted hereby may be exercised in whole or in part, from time to time, by giving written notice (i) at any time before the Closing Date and (ii) only once thereafter within 30 days after the date of this Agreement, by the Representative to the Company setting forth the aggregate number of Option Shares as to which the Underwriters are exercising the option and the time and date at which such Option Shares are to be delivered. The time and date at which such Option Shares are to be delivered shall be determined by the Representative and may be the Closing Date, but shall not be later than five full business days after the exercise of such option, nor in any event prior to the Closing Date (such time and date being herein referred to as the “Option Closing Date”).</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business day after notice is given, the Company shall execute and deliver to each of the Forward Purchasers separate additional letter agreements between the Company and each such Forward Purchaser (each such letter agreement, an “Additional Forward Sale Agreement” and, together, the “Additional Forward Sale Agreements”) relating to the forward sale by the Company, subject to the Company’s right to elect Cash Settlement or Net Share Settlement (as such terms are defined in such Additional Forward Sale Agreements), of a number of shares equal to the aggregate number of Borrowed Option Shares being purchased by the Underwriters from the Forward Sellers pursuant to the exercise of such option, on terms substantially similar to the Initial Forward Sale Agreements as agreed to by the parties. Upon such execution by the Company and the Forward Purchasers, based upon the warranties and representations and subject to the terms and conditions herein contained, the Forward Sellers (or, in the case of any Company Top-Up Option Shares, the Company) hereby agree to sell to the several Underwriters such number of Borrowed Option Shares at the Purchase Price. The Initial Forward Sale Agreements and the Additional Forward Sale Agreements are herein referred to collectively as the “Forward Sale Agreements.”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firstLine="987"/>
        <w:spacing w:after="0" w:line="255" w:lineRule="auto"/>
        <w:tabs>
          <w:tab w:leader="none" w:pos="12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Option Shares to be purchased by each Underwriter shall be in the same proportion to the total number of Option Shares being purchased as the number of Firm Shares being purchased by such Underwriter bears to the total number of Firm Shares purchased from the Forward Sellers (or the Company), adjusted by you in such manner as to avoid fractional shares. The Underwriters may cancel such option at any time prior to its expiration by giving written notice of such cancellation to the Company. To the extent, if any, that the option is exercised, payment for the Option Shares shall be made on the Option Closing Date in Federal (same day) funds through the facilities of The Depository Trust Company, New York, New York, drawn to the order of the Company, the Forward Purchasers and the Forward Sellers setting forth the number of Option Shares as to which the Underwriters are then exercising the option and the time and date of payment and delivery for such Option Shares.</w:t>
      </w:r>
    </w:p>
    <w:p>
      <w:pPr>
        <w:spacing w:after="0" w:line="188" w:lineRule="exact"/>
        <w:rPr>
          <w:rFonts w:ascii="Times New Roman" w:cs="Times New Roman" w:eastAsia="Times New Roman" w:hAnsi="Times New Roman"/>
          <w:sz w:val="18"/>
          <w:szCs w:val="18"/>
          <w:color w:val="auto"/>
        </w:rPr>
      </w:pPr>
    </w:p>
    <w:p>
      <w:pPr>
        <w:ind w:right="20" w:firstLine="987"/>
        <w:spacing w:after="0" w:line="268" w:lineRule="auto"/>
        <w:tabs>
          <w:tab w:leader="none" w:pos="121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any of the representations and warranties of the Company contained in Section 1 or any certificate delivered by the Company pursuant hereto is not true and correct as of the date hereof and as of Closing Date or such Option Closing Date, as the case may be, as if made as of the Closing Date or such Option Closing Date, as the case may be, (ii) the Company has not performed all of the obligations required to be performed by it under this Agreement on or prior to the Closing Date or such Option Closing Date, as the case may be, (iii) any of the conditions set forth in Section 7 have not been satisfied on or prior to the Closing Date or such Option Closing Date, as the case may be, (iv) this Agreement shall have been terminated pursuant to Section 12 on or prior to the Closing Date or Option Closing Date, as the case may be, or the Closing Date or such Option Closing Date, as the case may be, shall not have occurred, (v) any of the conditions set forth in Section 3 of the Forward Sale Agreements shall not have been satisfied on or prior to the Closing Date or such Option Closing Date, as the case may be, or (vi) any of the representations and warranties of the Company contained in the Forward Sale Agreements are not true and correct as of the date hereof or as of the Closing Date or as if made as of the Closing Date or such Option Closing Date, as the case may be (clauses (i) through (vi), together, the “Conditions”), then the applicable Forward Seller, in its sole discretion, may elect not to borrow and deliver for sale to the Underwriters the Borrowed Shares otherwise deliverable on such date. In addition, in the event a Forward Seller determines that (A) it or its affiliate is unable through commercially reasonable efforts to borrow and deliver for sale a number of Borrowed Shares to be sold and delivered by it hereunder in connection with establishing a commercially reasonable hedge position or (B) in its commercially reasonable judgment either it is impracticable to do so or it or its affiliate would incur a stock loan cost of more than a rate equal to 200 basis points per annum with respect to all or any portion of such shares to do so, then, in each case, such Forward Seller shall only be required to deliver for sale to the Underwriters on the Closing Date or such Option Closing Date, as the case may be, the aggregate number of shares of Common Stock that such Forward Seller or its affiliate is able to so borrow in connection with establishing its commercially reasonable hedge position at or below such cost.</w:t>
      </w:r>
    </w:p>
    <w:p>
      <w:pPr>
        <w:spacing w:after="0" w:line="177" w:lineRule="exact"/>
        <w:rPr>
          <w:rFonts w:ascii="Times New Roman" w:cs="Times New Roman" w:eastAsia="Times New Roman" w:hAnsi="Times New Roman"/>
          <w:sz w:val="17"/>
          <w:szCs w:val="17"/>
          <w:color w:val="auto"/>
        </w:rPr>
      </w:pPr>
    </w:p>
    <w:p>
      <w:pPr>
        <w:ind w:right="40" w:firstLine="987"/>
        <w:spacing w:after="0" w:line="258" w:lineRule="auto"/>
        <w:tabs>
          <w:tab w:leader="none" w:pos="12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Forward Sellers elects, pursuant to Section 3(f), not to borrow and deliver for sale to the Underwriters on the Closing Date or such Option Closing Date, as the case may be, the total number of Borrowed Shares to be sold by it hereunder, such Forward Seller will use its commercially reasonable efforts to notify the Company no later than 8:30 a.m., New York City time, on the Closing Date or such Option Closing Date, as the case may be. Notwithstanding anything to the contrary herein, in no event will the Company be required to issue or deliver the applicable Top-Up Shares prior to the business day following notice to the Company of the relevant number of Shares so deliverable in accordance with this Section 3(g).</w:t>
      </w:r>
    </w:p>
    <w:p>
      <w:pPr>
        <w:spacing w:after="0" w:line="33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THE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It is understood that the Underwriters are to make a public offering of the Firm Shares as soon as the Representative deems it advisable to do so. The Firm Shares are to be initially offered to the public at the initial public offering price set forth in the Prospectus. The Underwriters may from time to time thereafter change the public offering price and other selling terms. To the extent, if at all, that any Option Shares are purchased pursuant to Section 3 hereof, the Underwriters will offer them on the foregoing terms.</w:t>
      </w:r>
    </w:p>
    <w:p>
      <w:pPr>
        <w:spacing w:after="0" w:line="328" w:lineRule="exact"/>
        <w:rPr>
          <w:sz w:val="20"/>
          <w:szCs w:val="20"/>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Underwriters, the Forward Purchasers and the Forward Sellers that:</w:t>
      </w:r>
    </w:p>
    <w:p>
      <w:pPr>
        <w:spacing w:after="0" w:line="117"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prepare under Rule 424(b) (without reliance on Rule 424(b)(8)) under the Act and timely file with the Commission prior to the earlier of (i) the Closing Date and (ii) the Commission’s close of business on the second business day following the execution and delivery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6" w:name="page17"/>
    <w:bookmarkEnd w:id="1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Prospectus in a form approved by the Underwriters containing information previously omitted at the time of effectiveness of the Registration Statement in reliance on Rules 430A, 430B or 430C under the Act, (B) not file any amendment to the Registration Statement or distribute an amendment or supplement to the General Disclosure Package or the Prospectus or document incorporated by reference therein of which the Underwriters shall not previously have been advised and furnished with a copy or to which the Underwriters shall have reasonably objected in writing or which is not in compliance with the Rules and Regulations and (C)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189" w:lineRule="exact"/>
        <w:rPr>
          <w:sz w:val="20"/>
          <w:szCs w:val="20"/>
          <w:color w:val="auto"/>
        </w:rPr>
      </w:pPr>
    </w:p>
    <w:p>
      <w:pPr>
        <w:ind w:left="4" w:right="80" w:firstLine="987"/>
        <w:spacing w:after="0" w:line="254" w:lineRule="auto"/>
        <w:tabs>
          <w:tab w:leader="none" w:pos="12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Underwriters approve its use in writing prior to first use (each, a “Permitted Free Writing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written consent of the Underwriters shall be deemed to have been given in respect of the Issuer Free Writing Prospectus(es) included in Schedule III hereto, (ii) treat each Permitted Free Writing Prospectus as an Issuer Free Writing Prospectus, (iii) comply with the requirements of Rules 163,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w:t>
      </w:r>
    </w:p>
    <w:p>
      <w:pPr>
        <w:spacing w:after="0" w:line="188"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advise the Representative promptly (A) when any post-effective amendment to the Registration Statement or any new registration statement relating to the Shares shall have become effective, or any supplement to the Prospectus shall have been filed, (B) of the receipt of any comments from the Commission,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188" w:lineRule="exact"/>
        <w:rPr>
          <w:rFonts w:ascii="Times New Roman" w:cs="Times New Roman" w:eastAsia="Times New Roman" w:hAnsi="Times New Roman"/>
          <w:sz w:val="18"/>
          <w:szCs w:val="18"/>
          <w:color w:val="auto"/>
        </w:rPr>
      </w:pPr>
    </w:p>
    <w:p>
      <w:pPr>
        <w:ind w:left="4" w:right="120" w:firstLine="987"/>
        <w:spacing w:after="0" w:line="254" w:lineRule="auto"/>
        <w:tabs>
          <w:tab w:leader="none" w:pos="12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Shares remain unsold by the Underwriters the Company receives from the Commission a notice pursuant to Rule 401(g)(2) under the Act or otherwise ceases to be eligible to use the automatic shelf registration statement form, the Company will (i) promptly notify the Representative, (ii) promptly file a new registration statement or post-effective amendment on the proper form relating to the Shares, in a form reasonably satisfactory to the Underwriters, (iii) use its best efforts to cause such registration statement or post-effective amendment to be declared effective as soon as practicable (if such filing is not otherwise effective immediately pursuant to Rule 462 under the Act), and (iv) promptly notify the Representative of such effectiveness. The Company will take all other action necessary or appropriate to permit the public offering and sale of the Shares to continue as contemplated in the Registration Statement that was the subject of the notice under Rule 401(g)(2) under the Act or for which the Company has otherwise become ineligible. References herein to the Registration Statement relating to the Shares shall include such new registration statement or post-effective amendment, as the case may be.</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required filing fees to the Commission relating to the Shares within the time required by Rule 456(b)</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without regard to the proviso therein and otherwise in accordance with Rules 456(b) and 457(r) under the Act.</w:t>
      </w:r>
    </w:p>
    <w:p>
      <w:pPr>
        <w:spacing w:after="0" w:line="206" w:lineRule="exact"/>
        <w:rPr>
          <w:rFonts w:ascii="Times New Roman" w:cs="Times New Roman" w:eastAsia="Times New Roman" w:hAnsi="Times New Roman"/>
          <w:sz w:val="18"/>
          <w:szCs w:val="18"/>
          <w:color w:val="auto"/>
        </w:rPr>
      </w:pPr>
    </w:p>
    <w:p>
      <w:pPr>
        <w:ind w:left="4" w:right="160" w:firstLine="987"/>
        <w:spacing w:after="0" w:line="256" w:lineRule="auto"/>
        <w:tabs>
          <w:tab w:leader="none" w:pos="1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qualify the Shares for offering and sale under the securities laws of such jurisdictions as the Underwriters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or take any other action that would subject it to service of process in suits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Underwriters may reasonably request for distribution of the Shares.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7" w:name="page18"/>
    <w:bookmarkEnd w:id="17"/>
    <w:p>
      <w:pPr>
        <w:ind w:left="-20" w:right="120" w:firstLine="987"/>
        <w:spacing w:after="0" w:line="255" w:lineRule="auto"/>
        <w:tabs>
          <w:tab w:leader="none" w:pos="12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deliver to the Underwriters, from time to time, as many copies of any Preliminary Prospectus or any Issuer Free Writing Prospectus as the Underwriters may reasonably request. The Company will deliver to the Underwriters during the period when delivery of a Prospectus (or, in lieu thereof, the notice referred to under Rule 173(a) under the Act) is required under the Act, as many copies of the Prospectus in final form, or as thereafter amended or supplemented, as the Underwriters may reasonably request. The Company will deliver to the Underwriters at or before the Closing Date, as many copies of the Registration Statement (including such number of copies of the exhibits filed therewith that may reasonably be requested), including documents incorporated by reference therein, and of all amendments thereto, as the Underwriters may reasonably request.</w:t>
      </w:r>
    </w:p>
    <w:p>
      <w:pPr>
        <w:spacing w:after="0" w:line="188"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the Act and the Rules and Regulations, and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dealer, any event shall occur as a result of which, in the judgment of the Company or in the reasonable opinion of the Representative, it becomes necessary to amend or supplement the Prospectus in order to make the statements therein, in the light of the circumstances existing at the time the Prospectus is delivered to a purchaser, not misleading, or, if it is necessary at any time to amend or supplement the Prospectus to comply with any law, the Company promptly will notify the Representative and either (i) prepare and file with the Commission an appropriate amendment to the Registration Statement or supplement to the Prospectus or (ii) prepare and file with the Commission an appropriate filing under the Exchange Act which shall be incorporated by reference in the Prospectus so that the Prospectus as so amended or supplemented will not, in the light of the circumstances when it is so delivered, be misleading, or so that the Prospectus will comply with the law.</w:t>
      </w:r>
    </w:p>
    <w:p>
      <w:pPr>
        <w:spacing w:after="0" w:line="194"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1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Representative,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notify the Representative and either (i) prepare, file with the Commission (if required) and furnish to the Underwriters and any dealers an appropriate amendment or supplement to the General Disclosure Package or (ii) prepare and file with the Commission an appropriate filing under the Exchange Act which shall be incorporated by reference in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194" w:lineRule="exact"/>
        <w:rPr>
          <w:rFonts w:ascii="Times New Roman" w:cs="Times New Roman" w:eastAsia="Times New Roman" w:hAnsi="Times New Roman"/>
          <w:sz w:val="18"/>
          <w:szCs w:val="18"/>
          <w:color w:val="auto"/>
        </w:rPr>
      </w:pPr>
    </w:p>
    <w:p>
      <w:pPr>
        <w:jc w:val="both"/>
        <w:ind w:left="-20" w:right="140" w:firstLine="987"/>
        <w:spacing w:after="0" w:line="266" w:lineRule="auto"/>
        <w:tabs>
          <w:tab w:leader="none" w:pos="11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generally available to its securityholders, as soon as reasonably practicable, but in any event no later than 15 months after the effective date of the Registration Statement (as such date is defined in Rule 158(c) under the Act), an earnings statement (which need not be audited) in reasonable detail, complying with the requirements of Section 11(a) of the Act and Rule 158 under the Act.</w:t>
      </w:r>
    </w:p>
    <w:p>
      <w:pPr>
        <w:spacing w:after="0" w:line="175"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will furnish to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75"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18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without the prior written consent of the Representative, for a period of 30 days after the date of this Agreement: (i) offer, pledge, sell, contract to sell, sell any option, or contract to purchase, purchase any option or contract to sell, grant any option, right, or warrant to purchase, lend, or otherwise transfer or dispose of, directly or indirectly, any Common Stock or any similar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18" w:name="page19"/>
    <w:bookmarkEnd w:id="18"/>
    <w:p>
      <w:pPr>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or any security convertible or exercisable or exchangeable for Common Stock (including, without limitations, any security that may be deemed to be beneficially owned by such persons or entities in accordance with the rules and regulations of the Commission and securities that may be issued upon exercise of a stock option or warrant); (ii) enter into any swap or other agreement that transfers, in whole or in part, any of the economic consequences of ownership of Common Stock or any similar securities or any security convertible or exercisable or exchangeable for Common Stock;</w:t>
      </w:r>
    </w:p>
    <w:p>
      <w:pPr>
        <w:spacing w:after="0" w:line="3" w:lineRule="exact"/>
        <w:rPr>
          <w:sz w:val="20"/>
          <w:szCs w:val="20"/>
          <w:color w:val="auto"/>
        </w:rPr>
      </w:pPr>
    </w:p>
    <w:p>
      <w:pPr>
        <w:ind w:left="4" w:hanging="4"/>
        <w:spacing w:after="0" w:line="253"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or confidentially submit a registration statement under the Act relating to any additional Common Stock or securities convertible into, or exchangeable for, any Common Stock; or (iv) publicly disclose the intention to effect any transaction described in any preceding clauses (i) through (iii); in the case of each of the preceding clauses (i) through (iv), whether any such transaction is to be settled by delivery of Common Stock or such other securities, cash, or otherwise.</w:t>
      </w:r>
    </w:p>
    <w:p>
      <w:pPr>
        <w:spacing w:after="0" w:line="189"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The immediately preceding paragraph does not apply to (i) the issuance and sale of the Shares in the offering, (ii) the issuance of shares of Common Stock upon the exchange, conversion or redemption of convertible debentures, preferred stock or rights of the Company outstanding on the date of this Agreement or upon the exercise of Common Stock purchase warrants outstanding on the date of this Agreement, (iii) the issuance of shares of Common Stock upon exchange, conversion or redemption of partnership interests of The Macerich Partnership, L.P. and MACWH, L.P. outstanding on the date of this Agreement, including any such partnership interests issued upon conversion of long-term incentive plan units, (iv) the grant by the Company of employee or director stock options to purchase Common Stock, or grants of restricted or performance awards, long-term incentive plan units, stock appreciation rights or stock units pursuant to any of the Company’s employee or director stock option or similar plans as in effect on the date of this Agreement, (v) the issuance of shares of Common Stock upon the exercise of stock options outstanding on the date of this Agreement or issued after the date of this Agreement pursuant to any of the Company’s employee or director stock option or similar plans as in effect on the date of this Agreement, (vi) the issuance of shares of Common Stock or other securities in connection with a merger, acquisition, joint venture or similar transaction involving the Company or the registration of such securities, (vii) the filing of any registration statement or prospectus supplement in respect of (A) any Common Stock issuable in connection with any prior or future distribution declared by The Macerich Partnership, L.P. on its outstanding common units of limited partnership interest and long-term incentive plan units of limited partnership in The Macerich Partnership, L.P. that, subject to conditions specified by the Company, may be payable partially in cash and partially in Common Stock at the election of the holders thereof, (B) any Common Stock issuable upon redemption of outstanding partnership interests of The Macerich Partnership, L.P. or MACWH, L.P., or (C) the resale of Common Stock issuable upon redemption of outstanding partnership interests of The Macerich Partnership, L.P. where the offer, sale or resale of such shares of Common Stock has not previously been registered by the Company under the Act, or (viii) the filing of any registration statement with respect to Common Stock or other securities pursuant to the Company’s employee or director stock option or similar plans as in effect on the date of this Agreement.</w:t>
      </w:r>
    </w:p>
    <w:p>
      <w:pPr>
        <w:spacing w:after="0" w:line="19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 The Company will use its best efforts to have the Shares authorized for listing, subject to notice of issuance, on the New York Stock</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Exchange.</w:t>
      </w:r>
    </w:p>
    <w:p>
      <w:pPr>
        <w:spacing w:after="0" w:line="207" w:lineRule="exact"/>
        <w:rPr>
          <w:sz w:val="20"/>
          <w:szCs w:val="20"/>
          <w:color w:val="auto"/>
        </w:rPr>
      </w:pPr>
    </w:p>
    <w:p>
      <w:pPr>
        <w:ind w:left="4" w:right="120" w:firstLine="987"/>
        <w:spacing w:after="0" w:line="261"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caused each individual listed on Exhibit A to furnish to you, effective as of or prior to the date of this Agreement, a letter or letters, substantially in the form set forth in Exhibit B hereto, with respect to such person’s agreement not to undertake certain actions with respect to the sale of Common Stock, subject to certain exceptions, except with the prior written consent of Goldman Sachs &amp; Co. LLC. (“Lock-Up Agreements”).</w:t>
      </w:r>
    </w:p>
    <w:p>
      <w:pPr>
        <w:spacing w:after="0" w:line="179" w:lineRule="exact"/>
        <w:rPr>
          <w:rFonts w:ascii="Times New Roman" w:cs="Times New Roman" w:eastAsia="Times New Roman" w:hAnsi="Times New Roman"/>
          <w:sz w:val="18"/>
          <w:szCs w:val="18"/>
          <w:color w:val="auto"/>
        </w:rPr>
      </w:pPr>
    </w:p>
    <w:p>
      <w:pPr>
        <w:ind w:left="4" w:right="520" w:firstLine="987"/>
        <w:spacing w:after="0" w:line="282"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apply the net proceeds of its sale of the Shares as set forth in the Registration Statement, General Disclosure Package and the Prospectus under the heading “Use of Proceeds.”</w:t>
      </w:r>
    </w:p>
    <w:p>
      <w:pPr>
        <w:spacing w:after="0" w:line="161" w:lineRule="exact"/>
        <w:rPr>
          <w:rFonts w:ascii="Times New Roman" w:cs="Times New Roman" w:eastAsia="Times New Roman" w:hAnsi="Times New Roman"/>
          <w:sz w:val="18"/>
          <w:szCs w:val="18"/>
          <w:color w:val="auto"/>
        </w:rPr>
      </w:pPr>
    </w:p>
    <w:p>
      <w:pPr>
        <w:ind w:left="4" w:right="440" w:firstLine="987"/>
        <w:spacing w:after="0" w:line="282"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invest, or otherwise use the proceeds received by the Company from its sale of the Shares, in a manner as would require the Company or any of the Subsidiaries to register as an investment company under the 1940 Act.</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best efforts to meet the requirements to continue to qualify as a REIT under the Code, unless the Company’s Board of Directors determines by resolution that it is in the best interests of the Company’s stockholders not to so qualify.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9" w:name="page20"/>
    <w:bookmarkEnd w:id="19"/>
    <w:p>
      <w:pPr>
        <w:ind w:right="160" w:firstLine="987"/>
        <w:spacing w:after="0" w:line="312" w:lineRule="auto"/>
        <w:tabs>
          <w:tab w:leader="none" w:pos="121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not take, directly or indirectly, any action intended to cause or result in, or that has constituted or might reasonably be expected to constitute, the stabilization or manipulation of the price of any securities of the Company to facilitate the sale or resale of the Shares.</w:t>
      </w:r>
    </w:p>
    <w:p>
      <w:pPr>
        <w:spacing w:after="0" w:line="139" w:lineRule="exact"/>
        <w:rPr>
          <w:rFonts w:ascii="Times New Roman" w:cs="Times New Roman" w:eastAsia="Times New Roman" w:hAnsi="Times New Roman"/>
          <w:sz w:val="17"/>
          <w:szCs w:val="17"/>
          <w:color w:val="auto"/>
        </w:rPr>
      </w:pPr>
    </w:p>
    <w:p>
      <w:pPr>
        <w:ind w:right="580" w:firstLine="987"/>
        <w:spacing w:after="0" w:line="261" w:lineRule="auto"/>
        <w:tabs>
          <w:tab w:leader="none" w:pos="12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not, and shall not permit any of the Subsidiaries to, amend, supplement, waive or otherwise modify the charter, certificate or articles of partnership or formation, partnership or limited liability company agreement or other organizational documents of, or any agreement or contract among the partners, members or shareholders of or other holders of an interest in, any Subsidiary that has elected to be taxed as a REIT.</w:t>
      </w:r>
    </w:p>
    <w:p>
      <w:pPr>
        <w:spacing w:after="0" w:line="32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costs, expenses and fees incident to the performance of the obligations of the Company under this Agreement,</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including, without limiting the generality of the foregoing, the following: (i) accounting fees of the Company; (ii) the fees and disbursements of counsel for the Company; (iii) the cost of printing and delivering to, or as requested by, the Underwriters copies of the Registration Statement, any Preliminary Prospectuses, any Issuer Free Writing Prospectuses, the Prospectus, this Agreement, the New York Stock Exchange supplemental listing application and any supplements or amendments to any of the foregoing; (iv) the filing fees of the Commission; (v) the filing fees and expenses (including legal fees and disbursements) incident to securing any required review by the FINRA of the terms of the sale of the Shares; (vi) any listing fee of the New York Stock Exchange; (vii) the costs and expenses (including, without limitation, any damages or other amounts payable in connection with legal or contractual liability) associated with the reforming of any contracts for sale of the Shares made by the Underwriters caused by a breach of the representation in Section 1(b); (viii) the cost of preparing (including printing), issuing and delivering to the Underwriters the Shares; (ix) the costs and expenses of the Company relating to investor presentations on any “road show” undertaken in connection with the marketing of the offering of the Shares; and (x) the expenses, including the fees and disbursements of counsel for the Underwriters, incurred in connection with the qualification of the Shares under state securities or Blue Sky laws and the cost of printing or producing any Blue Sky or legal investment memoranda in connection with the offer and sale of the Shares (in an amount not to exceed $5,000). The Company shall not, however, be required to pay for any of the Underwriters’, the Forward Purchasers’ and the Forward Sellers’ expenses (other than those related to qualification under FINRA regulation and state securities or Blue Sky laws) except that, if this Agreement shall not be consummated because the conditions in Section 7 hereof are not satisfied, or because this Agreement is terminated by the Underwriters, the Forward Purchasers and the Forward Sellers pursuant to Section 12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any Underwriter, the Company shall reimburse the Underwriters, the Forward Purchasers and the Forward Sellers for reasonable out-of-pocket expenses, including fees and disbursements of counsel, reasonably incurred in connection with investigating, marketing and proposing to market the Shares or in contemplation of performing their obligations hereunder; but the Company shall not in any event be liable to any of the Underwriters, the Forward Purchasers and the Forward Sellers for damages on account of loss of anticipated profits from the sale by them of the Shares.</w:t>
      </w:r>
    </w:p>
    <w:p>
      <w:pPr>
        <w:spacing w:after="0" w:line="354" w:lineRule="exact"/>
        <w:rPr>
          <w:sz w:val="20"/>
          <w:szCs w:val="20"/>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OBLIGATIONS OF THE UNDERWRITERS AND THE FORWARD SELLERS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contained herein, and to the performance by the Company of its covenants and obligations hereunder and to the following additional conditions:</w:t>
      </w:r>
    </w:p>
    <w:p>
      <w:pPr>
        <w:spacing w:after="0" w:line="72" w:lineRule="exact"/>
        <w:rPr>
          <w:sz w:val="20"/>
          <w:szCs w:val="20"/>
          <w:color w:val="auto"/>
        </w:rPr>
      </w:pPr>
    </w:p>
    <w:p>
      <w:pPr>
        <w:jc w:val="both"/>
        <w:ind w:right="100" w:firstLine="987"/>
        <w:spacing w:after="0" w:line="261"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all post-effective amendments thereto shall have become effective and the Prospectus and each Issuer Free Writing Prospectus required shall have been filed as required by Rules 424(b) (without reliance on Rule 424(b)(8)) in a timely manner pursuant to Section 5(a) herein, 430A, 430B, 430C or 433 under the Act, as applicable, within the time period prescribed by, and in compliance with, the Rules and Regulations, and any request of the Commission for additional information (to be included in the Registration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or otherwise) shall have been disclosed to the Underwriters and complied with to their reasonable satisfaction. No stop order suspending the effectiveness of the Registration Statement, as amended from time to time, shall have been issued and no proceedings for that purpose or pursuant to Section 8A of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83" w:lineRule="exact"/>
        <w:rPr>
          <w:sz w:val="20"/>
          <w:szCs w:val="20"/>
          <w:color w:val="auto"/>
        </w:rPr>
      </w:pPr>
    </w:p>
    <w:p>
      <w:pPr>
        <w:ind w:right="60" w:firstLine="987"/>
        <w:spacing w:after="0" w:line="273" w:lineRule="auto"/>
        <w:tabs>
          <w:tab w:leader="none" w:pos="124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 the Forward Purchasers and the Forward Sellers shall have received on the Closing Date or the Option Closing Date, as the case may be, (i) the opinions of Goodwin Procter LLP, counsel for the Company, dated the Closing Date or the Option Closing Date, as the case may be, addressed to the Representative, the Forward Purchasers and the Forward Sellers, in form and substance satisfactory to the Representative, the Forward Purchasers and the Forward Sellers and a negative assurance letter, dated the Closing Date or the Option Closing Date, as the case may be, in form and substance satisfactory to the Representative, the Forward Purchasers and the Forward Sellers, and (ii) the opinion of Ann C. Menard, Esq., Chief Legal Officer for the Company, dated the Closing Date or the Option Closing Date, as the case may be, addressed to the Representative, the Forward Purchasers and the Forward Sellers, in form and substance satisfactory to the Representative, the Forward Purchasers and the Forward Sellers.</w:t>
      </w:r>
    </w:p>
    <w:p>
      <w:pPr>
        <w:spacing w:after="0" w:line="171" w:lineRule="exact"/>
        <w:rPr>
          <w:rFonts w:ascii="Times New Roman" w:cs="Times New Roman" w:eastAsia="Times New Roman" w:hAnsi="Times New Roman"/>
          <w:sz w:val="17"/>
          <w:szCs w:val="17"/>
          <w:color w:val="auto"/>
        </w:rPr>
      </w:pPr>
    </w:p>
    <w:p>
      <w:pPr>
        <w:jc w:val="both"/>
        <w:ind w:right="140" w:firstLine="987"/>
        <w:spacing w:after="0" w:line="289" w:lineRule="auto"/>
        <w:tabs>
          <w:tab w:leader="none" w:pos="12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 the Forward Purchasers and the Forward Sellers shall have received from Venable LLP, Maryland counsel for the Company, an opinion dated the Closing Date or the Option Closing Date, as the case may be, addressed to the Representative, the Forward Purchasers and the Forward Sellers, as applicable, in form and substance satisfactory to the Representative, the Forward Purchasers and the Forward Sellers.</w:t>
      </w:r>
    </w:p>
    <w:p>
      <w:pPr>
        <w:spacing w:after="0" w:line="157" w:lineRule="exact"/>
        <w:rPr>
          <w:rFonts w:ascii="Times New Roman" w:cs="Times New Roman" w:eastAsia="Times New Roman" w:hAnsi="Times New Roman"/>
          <w:sz w:val="17"/>
          <w:szCs w:val="17"/>
          <w:color w:val="auto"/>
        </w:rPr>
      </w:pPr>
    </w:p>
    <w:p>
      <w:pPr>
        <w:ind w:firstLine="987"/>
        <w:spacing w:after="0" w:line="252"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the Forward Purchasers and the Forward Sellers shall have received from Skadden, Arps, Slate, Meagher &amp; Flom LLP, counsel for the Underwriters, the Forward Purchasers and the Forward Sellers, an opinion dated the Closing Date or the Option Closing Date, as the case may be, in form and substance reasonably satisfactory to the Representative, the Forward Purchasers and the Forward Sellers. In rendering such opinion Skadden, Arps, Slate, Meagher &amp; Flom LLP shall have received and may rely on such certificates and other documents and information as they may reasonably require to pass upon the matters set forth in such opinion. In addition, the Representative, the Forward Purchasers and the Forward Sellers shall have received from Skadden, Arps, Slate, Meagher &amp; Flom LLP, counsel for the Underwriters, the Forward Purchasers and the Forward Sellers, a negative assurance letter containing a statement to the effect that no facts have come to such counsel’s attention that have caused such counsel to believe that (i) the Registration Statement, at the time of effectiveness of the Registration Statement for purposes of Section 11 of the Act, as such section applies to the Underwriters, contained an untrue statement of a material fact or omitted to state a material fact required to be stated therein or necessary to make the statements therein not misleading, or the Prospectus, as of the date of the Prospectus Supplement and as of the Closing Date or the Option Closing Date, as the case may be, contained or contains an untrue statement of a material fact or omitted or omits to state a material fact necessary in order to make the statements therein, in the light of the circumstances under which they were made, not misleading (except that in each case such counsel need not express any view as to the financial statements, schedules and other financial information included or incorporated by reference therein or excluded therefrom, the report of management’s assessment of the effectiveness of internal controls over financial reporting or the auditors’ attestation report thereon, or the statements contained in the exhibits to the Registration Statement), or (ii) the General Disclosure Package, as of the Applicable Time, contained an untrue statement of a material fact or omitted to state a material fact necessary in order to make the statements therein, in the light of the circumstances under which they were made, not misleading (except that such counsel need not express any view as to the financial statements, schedules and other financial information included or incorporated by reference therein or excluded therefrom, the report of management’s assessment of the effectiveness of internal controls over financial reporting or the auditors’ attestation report thereon, or the statements contained in the exhibits to the Registration Statement).</w:t>
      </w:r>
    </w:p>
    <w:p>
      <w:pPr>
        <w:spacing w:after="0" w:line="189"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and the Forward Sellers shall have received, on each of the date hereof, the Closing Date and, if applicable, the Option Closing Date, a letter dated the date hereof, the Closing Date or the Option Closing Date, as the case may be, in form and substance satisfactory to the Representative and the Forward Sellers, from KPMG LLP, confirming that such firm is an independent public accountant within the meaning of the Act and the applicable published Rules and Regulations thereunder and containing such statements and information as are ordinarily included in accountants’ “comfort letters” to underwriters with respect to the financial statements and certain financial and statistical information contained in a registration statement filed under the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right="200" w:firstLine="987"/>
        <w:spacing w:after="0" w:line="266"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Representative, the Forward Purchasers and the Forward Sellers shall have received on the Closing Date and, if applicable, the Option Closing Date, as the case may be, a certificate or certificates of the Chief Executive Officer and the Chief Financial Officer of the Company to the effect that, as of the Closing Date or the Option Closing Date, as the case may be, each of them severally represents as follows:</w:t>
      </w:r>
    </w:p>
    <w:p>
      <w:pPr>
        <w:spacing w:after="0" w:line="67" w:lineRule="exact"/>
        <w:rPr>
          <w:rFonts w:ascii="Times New Roman" w:cs="Times New Roman" w:eastAsia="Times New Roman" w:hAnsi="Times New Roman"/>
          <w:sz w:val="18"/>
          <w:szCs w:val="18"/>
          <w:color w:val="auto"/>
        </w:rPr>
      </w:pPr>
    </w:p>
    <w:p>
      <w:pPr>
        <w:ind w:right="180" w:firstLine="1428"/>
        <w:spacing w:after="0" w:line="282" w:lineRule="auto"/>
        <w:tabs>
          <w:tab w:leader="none" w:pos="16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Section 1 hereof are true and correct as of the Closing Date or the Option Closing Date, as the case may be;</w:t>
      </w:r>
    </w:p>
    <w:p>
      <w:pPr>
        <w:spacing w:after="0" w:line="161" w:lineRule="exact"/>
        <w:rPr>
          <w:rFonts w:ascii="Times New Roman" w:cs="Times New Roman" w:eastAsia="Times New Roman" w:hAnsi="Times New Roman"/>
          <w:sz w:val="18"/>
          <w:szCs w:val="18"/>
          <w:color w:val="auto"/>
        </w:rPr>
      </w:pPr>
    </w:p>
    <w:p>
      <w:pPr>
        <w:ind w:right="100" w:firstLine="1428"/>
        <w:spacing w:after="0" w:line="282" w:lineRule="auto"/>
        <w:tabs>
          <w:tab w:leader="none" w:pos="16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hereunder at or prior to the Closing Date or the Option Closing Date, as the case may be;</w:t>
      </w:r>
    </w:p>
    <w:p>
      <w:pPr>
        <w:spacing w:after="0" w:line="161" w:lineRule="exact"/>
        <w:rPr>
          <w:rFonts w:ascii="Times New Roman" w:cs="Times New Roman" w:eastAsia="Times New Roman" w:hAnsi="Times New Roman"/>
          <w:sz w:val="18"/>
          <w:szCs w:val="18"/>
          <w:color w:val="auto"/>
        </w:rPr>
      </w:pPr>
    </w:p>
    <w:p>
      <w:pPr>
        <w:ind w:right="120" w:firstLine="1428"/>
        <w:spacing w:after="0" w:line="261" w:lineRule="auto"/>
        <w:tabs>
          <w:tab w:leader="none" w:pos="174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Registration Statement, the General Disclosure Package and the Prospectus (in each case, excluding any amendment or supplement thereto after the Applicable Time), there has not been any material adverse change or any development involving a prospective material adverse change in or affecting the results of operations, net worth, business, properties, or condition (financial or otherwise) of the Company and the Subsidiaries, taken as a whole, whether or not arising in the ordinary course of business;</w:t>
      </w:r>
    </w:p>
    <w:p>
      <w:pPr>
        <w:spacing w:after="0" w:line="179" w:lineRule="exact"/>
        <w:rPr>
          <w:rFonts w:ascii="Times New Roman" w:cs="Times New Roman" w:eastAsia="Times New Roman" w:hAnsi="Times New Roman"/>
          <w:sz w:val="18"/>
          <w:szCs w:val="18"/>
          <w:color w:val="auto"/>
        </w:rPr>
      </w:pPr>
    </w:p>
    <w:p>
      <w:pPr>
        <w:ind w:right="60" w:firstLine="1428"/>
        <w:spacing w:after="0" w:line="261" w:lineRule="auto"/>
        <w:tabs>
          <w:tab w:leader="none" w:pos="17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no order preventing or suspending the effectiveness of the Registration Statement or no order preventing or suspending the use of any Preliminary Prospectus, any Issuer Free Writing Prospectus or the Prospectus has been issued, and no proceedings for such purpose or pursuant to Section 8A of the Act have been taken or are, to each such officer’s knowledge, contemplated or threatened by the Commission; and</w:t>
      </w:r>
    </w:p>
    <w:p>
      <w:pPr>
        <w:spacing w:after="0" w:line="179" w:lineRule="exact"/>
        <w:rPr>
          <w:rFonts w:ascii="Times New Roman" w:cs="Times New Roman" w:eastAsia="Times New Roman" w:hAnsi="Times New Roman"/>
          <w:sz w:val="18"/>
          <w:szCs w:val="18"/>
          <w:color w:val="auto"/>
        </w:rPr>
      </w:pPr>
    </w:p>
    <w:p>
      <w:pPr>
        <w:ind w:right="380" w:firstLine="1428"/>
        <w:spacing w:after="0" w:line="282" w:lineRule="auto"/>
        <w:tabs>
          <w:tab w:leader="none" w:pos="16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required to have been made pursuant to Rules 424(b), 430A, 430B or 430C under the Act have been made as and when required by such rules.</w:t>
      </w:r>
    </w:p>
    <w:p>
      <w:pPr>
        <w:spacing w:after="0" w:line="161"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the Forward Purchasers and the Forward Sellers shall have received on the Closing Date and, if applicable, the Option Closing Date, as the case may be, a certificate of the Chief Financial Officer of the Company in form and substance satisfactory to the Representative.</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the Forward Purchasers and the Forward Sellers such further certificates and documents confirming the representations and warranties, covenants and conditions contained herein and related matters as the Representative, the Forward Purchasers or the Forward Sellers may reasonably have requested.</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 Shares and Option Shares, if any, have been duly listed, subject to notice of issuance, on the New York Stock Exchange.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described in Section 5(n) are in full force and effect.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opinions and certificates mentioned in this Agreement shall be deemed to be in compliance with the provisions hereof only if they are in all material respects satisfactory to the Representative, the Forward Purchasers and the Forward Sellers and to Skadden, Arps, Slate, Meagher &amp; Flom LLP, counsel for the Underwriters, the Forward Purchasers and the Forward Sellers.</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If any of the conditions hereinabove provided for in this Section 7 shall not have been fulfilled when and as required by this Agreement to be fulfilled, the obligations of the Underwriters under this Agreement may be terminated by the Underwriters by notifying the Company of such termination in writing at or prior to the Closing Date or the Option Closing Date, as the case may be.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2" w:name="page23"/>
    <w:bookmarkEnd w:id="22"/>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such event, the Company and the Underwriters, the Forward Purchasers and the Forward Sellers shall not be under any obligation to each other (except to the extent provided in Sections 6 and 8 hereof).</w:t>
      </w:r>
    </w:p>
    <w:p>
      <w:pPr>
        <w:spacing w:after="0" w:line="310" w:lineRule="exact"/>
        <w:rPr>
          <w:sz w:val="20"/>
          <w:szCs w:val="20"/>
          <w:color w:val="auto"/>
        </w:rPr>
      </w:pPr>
    </w:p>
    <w:p>
      <w:pPr>
        <w:ind w:left="964" w:hanging="532"/>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w:t>
      </w:r>
    </w:p>
    <w:p>
      <w:pPr>
        <w:spacing w:after="0" w:line="117" w:lineRule="exact"/>
        <w:rPr>
          <w:rFonts w:ascii="Times New Roman" w:cs="Times New Roman" w:eastAsia="Times New Roman" w:hAnsi="Times New Roman"/>
          <w:sz w:val="18"/>
          <w:szCs w:val="18"/>
          <w:color w:val="auto"/>
        </w:rPr>
      </w:pPr>
    </w:p>
    <w:p>
      <w:pPr>
        <w:ind w:left="4" w:firstLine="1428"/>
        <w:spacing w:after="0" w:line="252" w:lineRule="auto"/>
        <w:tabs>
          <w:tab w:leader="none" w:pos="1691"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indemnify and hold harmless each Underwriter, Forward Purchaser and Forward Seller, their affiliates, directors and officers and each person, if any, who controls any Underwriter, Forward Purchaser or Forward Seller within the meaning of either Section 15 of the Act or Section 20 of the Exchange Act, against any losses, claims, damages or liabilities to which such Underwriter, Forward Purchaser and Forward Seller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investor presentation, dated June 15, 2026 (the “Investor Presentation”), the General Disclosure Package,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the Investor Presentation, the General Disclosure Package, the Prospectus or any amendment or supplement thereto, the omission or alleged omission to state therein a material fact required to be stated therein or necessary to make the statements therein not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Investor Presentation, the General Disclosure Package, the Prospectus, or such amendment or supplement, in reliance upon and in conformity with written information furnished in writing to the Company by the Underwriters, the Forward Purchasers and the Forward Sellers specifically for use therein, it being understood and agreed that the only such information furnished by any Underwriter, Forward Purchaser or Forward Seller consists of the information described as such in Section 14 herein; and</w:t>
      </w:r>
    </w:p>
    <w:p>
      <w:pPr>
        <w:spacing w:after="0" w:line="193" w:lineRule="exact"/>
        <w:rPr>
          <w:rFonts w:ascii="Times New Roman" w:cs="Times New Roman" w:eastAsia="Times New Roman" w:hAnsi="Times New Roman"/>
          <w:sz w:val="18"/>
          <w:szCs w:val="18"/>
          <w:color w:val="auto"/>
        </w:rPr>
      </w:pPr>
    </w:p>
    <w:p>
      <w:pPr>
        <w:ind w:left="4" w:right="20" w:firstLine="1428"/>
        <w:spacing w:after="0" w:line="256" w:lineRule="auto"/>
        <w:tabs>
          <w:tab w:leader="none" w:pos="1691"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reimburse each Underwriter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187" w:lineRule="exact"/>
        <w:rPr>
          <w:rFonts w:ascii="Times New Roman" w:cs="Times New Roman" w:eastAsia="Times New Roman" w:hAnsi="Times New Roman"/>
          <w:sz w:val="18"/>
          <w:szCs w:val="18"/>
          <w:color w:val="auto"/>
        </w:rPr>
      </w:pPr>
    </w:p>
    <w:p>
      <w:pPr>
        <w:ind w:left="4" w:right="80" w:firstLine="987"/>
        <w:spacing w:after="0" w:line="270" w:lineRule="auto"/>
        <w:tabs>
          <w:tab w:leader="none" w:pos="1250"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Underwriter severally and not jointly will indemnify and hold harmless (i) the Company, each of its directors, each of its officers who have signed the Registration Statement, and each person, if any, who controls the Company within the meaning of Section 15 of the Act or Section 20 of the Exchange Act and (ii) each Forward Seller and Forward Purchaser and each person who controls any Forward Seller or any Forward Purchaser within the meaning of either the Securities Act or the Exchange Act, if any, to the same extent as the indemnity set forth in paragraph</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(x) any untrue statement or alleged untrue statement of any material fact contained in the Registration Statement, any Preliminary Prospectus, any Issuer Free Writing Prospectus, the Investor Presentation, the General Disclosure Package, the Prospectus or any amendment or supplement thereto, (y) with respect to the Registration Statement or any amendment or supplement thereto, the omission or alleged omission to state therein a material fact required to be stated therein or necessary to make the statements therein not misleading or (z) with respect to any Preliminary Prospectus, any Issuer Free Writing Prospectus, the Investor Presentation, the General Disclosure Package,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3" w:name="page24"/>
    <w:bookmarkEnd w:id="2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or any such director, officer or controlling person in connection with investigating or defending any such loss, claim, damage, liability, action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Underwriter, Forward Seller and Forward Purchaser will be liable in each case to the extent, but only to the extent, that such untrue statement or alleged untrue statement or omission or alleged omission has been made in the Registration Statement, any Preliminary Prospectus, any Issuer Free Writing Prospectus, the Investor Presentation, the General Disclosure Package, the Prospectus or such amendment or supplement, in reliance upon and in conformity with written information furnished to the Company in writing by the Underwriters, Forward Sellers and Forward Purchasers through the Representative specifically for use therein, it being understood and agreed that the only such information furnished by any Underwriter, Forward Seller and Forward Purchaser consists of the information described as such in Section 14 herein. This indemnity agreement will be in addition to any liability which such Underwriter, Forward Seller and Forward Purchaser may otherwise have.</w:t>
      </w:r>
    </w:p>
    <w:p>
      <w:pPr>
        <w:spacing w:after="0" w:line="192" w:lineRule="exact"/>
        <w:rPr>
          <w:sz w:val="20"/>
          <w:szCs w:val="20"/>
          <w:color w:val="auto"/>
        </w:rPr>
      </w:pPr>
    </w:p>
    <w:p>
      <w:pPr>
        <w:ind w:firstLine="987"/>
        <w:spacing w:after="0" w:line="251"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this Section 8, such person (the “indemnified party”) shall promptly notify the person against whom such indemnity may be sought (the “indemnifying party”)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8(b).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counsel to the indemnifying party has reasonably concluded that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(in addition to local counsel in a state or other jurisdiction where such separate law firm does not have an office) for all such indemnified parties. The indemnifying party shall not be liable for any settlement of any proceeding effected without its written consent but if settled with such consent or if there is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 and does not include any statement as to or any admission of fault, culpability or a failure to act by or on behalf of any indemnified party.</w:t>
      </w:r>
    </w:p>
    <w:p>
      <w:pPr>
        <w:spacing w:after="0" w:line="203"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this Section 8 is otherwise applicable by its terms but is unavailable to or insufficient to hold harmless an indemnified party under Section 8(a), (b) or (c)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also the relative fault of the Company on the one hand and the Underwriters, the Forward Sellers and the Forward Purchasers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the Forward Sellers and the Forward Purchasers on the other shall be deemed to be in the same proportion as (i) in the case of the Company, the net proceeds from the offering of the Shares (before deducting expenses) received by the Company (such net proceeds shall include the proceeds to be received by the Company pursuant to the Forward Sale Agreements, assuming Physical Settlement (as defined in the Forward Sale Agreements)), (ii) in the case of the Underwriters, the total underwriting discounts and commissions received by the Underwriters and (iii) in the case of the Forward Sellers and the Forward Purchasers, the aggregate Spread (as defined in the Forward Sale Agreements) retained by the Forward Purchasers under the Forward Sale Agreements, net of any costs associated therewith, as reasonably determined by the Forward Sellers.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the Forward Sellers and the Forward Purchasers on the other and the parties’ relative intent, knowledge, access to information and opportunity to correct or prevent such statement or omission.</w:t>
      </w:r>
    </w:p>
    <w:p>
      <w:pPr>
        <w:spacing w:after="0" w:line="1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Company, the Underwriters, the Forward Sellers and the Forward Purchasers agree that it would not be just and equitable if contributions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underwriting discounts and commissions applicable to the Shares purchased by such Underwriter and (ii) no person guilty of fraudulent misrepresentation (within the meaning of Section 11(f) of the Act) shall be entitled to contribution from any person who was not guilty of such fraudulent misrepresentation. The Underwriters’ obligations in this Section 8(d) to contribute are several in proportion to their respective underwriting obligations and not joint.</w:t>
      </w:r>
    </w:p>
    <w:p>
      <w:pPr>
        <w:spacing w:after="0" w:line="194" w:lineRule="exact"/>
        <w:rPr>
          <w:sz w:val="20"/>
          <w:szCs w:val="20"/>
          <w:color w:val="auto"/>
        </w:rPr>
      </w:pPr>
    </w:p>
    <w:p>
      <w:pPr>
        <w:ind w:right="40" w:firstLine="987"/>
        <w:spacing w:after="0" w:line="254" w:lineRule="auto"/>
        <w:tabs>
          <w:tab w:leader="none" w:pos="12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 Underwriter, the Forward Purchasers, the Forward Sellers or any person controlling any Underwriter, Forward Purchaser or Forward Seller or the Company, its directors or officers or any persons controlling the Company, (ii) acceptance of any Shares and payment therefor hereunder, and (iii) any termination of this Agreement. A successor to any Underwriter,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34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UNDERWRITERS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60" w:firstLine="987"/>
        <w:spacing w:after="0" w:line="255" w:lineRule="auto"/>
        <w:tabs>
          <w:tab w:leader="none" w:pos="12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Shares to be purchased on such date, the other Underwriter(s) shall be obligated severally in the proportions that the number of Firm Shares set forth opposite their respective names in Schedule I hereto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25" w:name="page26"/>
    <w:bookmarkEnd w:id="25"/>
    <w:p>
      <w:pPr>
        <w:ind w:left="4" w:firstLine="987"/>
        <w:spacing w:after="0" w:line="254" w:lineRule="auto"/>
        <w:tabs>
          <w:tab w:leader="none" w:pos="125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Closing Date, any Underwriter or Underwriters shall fail or refuse to purchase the Firm Shares which it or they have agreed to purchase hereunder on such date and the aggregate number of Shares with respect to which such default occurs is more than one-tenth of the aggregate number of Firm Shares to be purchased on such date, and arrangements satisfactory to the Company for the purchase of the Firm Shares are not made within 36 hours after such default, this Agreement shall terminate without liability on the part of the Company, except to the extent provided in Sections 6 and 8 hereof. If arrangements satisfactory to the Company for the purchase of the Firm Shares are made within 36 hours after such default, the Company shall have the right to postpone the Closing Date, but in no event for longer than seven days, in order that the required changes, if any in the Registration Statement, the General Disclosure Package and the Prospectus or in any other documents or arrangements may be effected. The term “Underwriter” includes any person substituted for a defaulting Underwriter. Any action taken under this Section 9 shall not relieve any defaulting Underwriters from liability in respect of any default of such Underwriters under this Agreement.</w:t>
      </w:r>
    </w:p>
    <w:p>
      <w:pPr>
        <w:spacing w:after="0" w:line="33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ISSUANCE AND SALE BY THE COMPANY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all the Conditions are not satisfied on or prior to the Closing Date or Option Closing Date, as the case may be, and</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Forward Sellers elects, pursuant to Section 3(f), not to deliver the total number of Borrowed Shares deliverable by such Forward Seller hereunder then the Company shall issue and sell to the Underwriters on the Closing Date or Option Closing Date, as the case may be, pursuant to Section 3, in whole but not in part, an aggregate number of shares of Common Stock equal to the number of Borrowed Shares otherwise deliverable on such date that such Forward Seller does not so deliver and sell to the Underwriters. In connection with any such issuance and sale by the Company, the Company or the Representative shall have the right to postpone the Closing Date or Option Closing Date, as the case may be, for a period not exceeding one business day in order to effect any required changes in any documents or arrangements. The shares of Common Stock sold by the Company to the Underwriters pursuant to this Section 10(a), (i) in lieu of Borrowed Firm Shares are referred to herein as the “Company Top-Up Firm Shares” and (ii) in lieu of any Borrowed Option Shares are referred to herein as the “Company Top-Up Option Shares.”</w:t>
      </w:r>
    </w:p>
    <w:p>
      <w:pPr>
        <w:spacing w:after="0" w:line="193" w:lineRule="exact"/>
        <w:rPr>
          <w:rFonts w:ascii="Times New Roman" w:cs="Times New Roman" w:eastAsia="Times New Roman" w:hAnsi="Times New Roman"/>
          <w:sz w:val="18"/>
          <w:szCs w:val="18"/>
          <w:color w:val="auto"/>
        </w:rPr>
      </w:pPr>
    </w:p>
    <w:p>
      <w:pPr>
        <w:ind w:left="4" w:right="60" w:firstLine="987"/>
        <w:spacing w:after="0" w:line="269" w:lineRule="auto"/>
        <w:tabs>
          <w:tab w:leader="none" w:pos="125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Forward Purchaser or Forward Seller shall have any liability whatsoever for any Borrowed Shares that a Forward Seller does not deliver and sell to the Underwriters or any other party if (i) all of the Conditions are not satisfied on or prior to the Closing Date, or the Option Closing Date, as the case may be, and such Forward Seller elects, pursuant to Section 3(f) not to deliver and sell to the Underwriters the Borrowed Shares to be sold by it or (ii) such Forward Seller determines that (A) it or its affiliate is unable through commercially reasonable efforts to borrow and deliver for sale a number of Borrowed Shares to be sold and delivered by it hereunder in connection with establishing a commercially reasonable hedge position or</w:t>
      </w:r>
    </w:p>
    <w:p>
      <w:pPr>
        <w:spacing w:after="0" w:line="2" w:lineRule="exact"/>
        <w:rPr>
          <w:rFonts w:ascii="Times New Roman" w:cs="Times New Roman" w:eastAsia="Times New Roman" w:hAnsi="Times New Roman"/>
          <w:sz w:val="17"/>
          <w:szCs w:val="17"/>
          <w:color w:val="auto"/>
        </w:rPr>
      </w:pPr>
    </w:p>
    <w:p>
      <w:pPr>
        <w:ind w:left="4"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in its commercially reasonable judgment either it would be impracticable to do so or it or its affiliate would incur a stock loan cost of more than a rate equal to 200 basis points per annum with respect to all or any portion of such shares to do so.</w:t>
      </w:r>
    </w:p>
    <w:p>
      <w:pPr>
        <w:spacing w:after="0" w:line="329"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hereunder shall be in writing and, except as otherwise provided herein, will be mailed, delivered, telecopied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telegraphed and confirmed as follows: if to the Underwriters or the Forward Sellers, c/o Goldman Sachs &amp; Co. LLC at 200 West Street, New York, New</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York 10282, Attention: Registration Department, Facsimile: (212) 902-9316, with a copy to Skadden, Arps, Slate, Meagher &amp; Flom LLP, One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Manhattan West, New York, New York 10001, Attention: Michael Hong, Esq., Email: michael.hong@skadden.com; if to the Forward Purchasers, c/o</w:t>
      </w:r>
    </w:p>
    <w:p>
      <w:pPr>
        <w:spacing w:after="0" w:line="9" w:lineRule="exact"/>
        <w:rPr>
          <w:sz w:val="20"/>
          <w:szCs w:val="20"/>
          <w:color w:val="auto"/>
        </w:rPr>
      </w:pPr>
    </w:p>
    <w:p>
      <w:pPr>
        <w:ind w:left="4" w:right="120"/>
        <w:spacing w:after="0" w:line="252" w:lineRule="auto"/>
        <w:rPr>
          <w:sz w:val="20"/>
          <w:szCs w:val="20"/>
          <w:color w:val="auto"/>
        </w:rPr>
      </w:pPr>
      <w:r>
        <w:rPr>
          <w:rFonts w:ascii="Times New Roman" w:cs="Times New Roman" w:eastAsia="Times New Roman" w:hAnsi="Times New Roman"/>
          <w:sz w:val="18"/>
          <w:szCs w:val="18"/>
          <w:color w:val="auto"/>
        </w:rPr>
        <w:t>Goldman Sachs &amp; Co. LLC at 200 West Street, New York, New York 10282, Attention: Registration Department, Facsimile: (212) 902-9316, with a copy to Skadden, Arps, Slate, Meagher &amp; Flom LLP, One Manhattan West, New York, New York 10001, Attention: Michael Hong, Esq., Email: michael.hong@skadden.com; and if to the Company, it shall be sufficient in all respects if delivered or sent to The Macerich Company, 401 Wilshire Boulevard, Suite 700, Santa Monica, California 90401, Attention to each of: Chief Executive Officer, Chief Financial Officer and Chief Legal Officer, Email: Jackson.Hsieh@macerich.com, Daniel.Swanstrom@macerich.com and Ann.Menard@macerich.com, with a copy to Goodwin Procter LLP, 100 Northern Avenue, Boston, MA 02210, Attention: David H. Roberts, Esq. and Caitlin R. Tompkins, Esq., Email: DRoberts@goodwinlaw.com and CTompkins@goodwinlaw.com</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6" w:name="page27"/>
    <w:bookmarkEnd w:id="26"/>
    <w:p>
      <w:pPr>
        <w:ind w:left="964" w:hanging="532"/>
        <w:spacing w:after="0"/>
        <w:tabs>
          <w:tab w:leader="none" w:pos="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by the Representative, the Forward Purchasers and the Forward Sellers by notice to the Company</w:t>
      </w:r>
    </w:p>
    <w:p>
      <w:pPr>
        <w:spacing w:after="0" w:line="225" w:lineRule="exact"/>
        <w:rPr>
          <w:rFonts w:ascii="Times New Roman" w:cs="Times New Roman" w:eastAsia="Times New Roman" w:hAnsi="Times New Roman"/>
          <w:sz w:val="18"/>
          <w:szCs w:val="18"/>
          <w:color w:val="auto"/>
        </w:rPr>
      </w:pPr>
    </w:p>
    <w:p>
      <w:pPr>
        <w:ind w:left="4" w:firstLine="987"/>
        <w:spacing w:after="0" w:line="251" w:lineRule="auto"/>
        <w:tabs>
          <w:tab w:leader="none" w:pos="12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(in each case, excluding any amendment or supplement thereto after the Applicable Time), any material adverse change or any development involving a prospective material adverse change in or affecting the results of operations, net worth, business, properties, or condition (financial or otherwise) of the Company and the Subsidiaries, taken as a whole, whether or not arising in the ordinary course of business, the effect of which, is in the judgment of the Representative so material and adverse as to make it impracticable or inadvisable to proceed with the public offering or the delivery of the Shares on the terms and in the manner contemplated in the General Disclosure Package and the Prospectus, (ii) 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judgment, make it impracticable or inadvisable to proceed with the offering, sale or delivery of the Shares on the Closing Date or the Option Closing Date, as the case may be, on the terms and in the manner contemplated by this Agreement, the General Disclosure Package and the Prospectus, (iii) suspension of trading in securities generally on the New York Stock Exchange or the Nasdaq Stock Market or limitation on prices (other than limitations on hours or numbers of days of trading) for securities on either such exchange, (iv) the declaration of a banking moratorium by United States or New York State authorities, (v) any downgrading, or placement on any watch list for possible downgrading, in the rating of any of the Company’s securities by any “nationally recognized statistical rating organization” (as defined for purposes of Rule 436(g) under the Act), (vi) the suspension of trading of the Company’s Common Stock by the New York Stock Exchange, the Commission, or any other governmental authority, or</w:t>
      </w:r>
    </w:p>
    <w:p>
      <w:pPr>
        <w:spacing w:after="0" w:line="10"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moratorium on commercial banking activities shall have been declared by U.S. federal or New York State authorities.</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Sections 7 and 9 of this Agreement.</w:t>
      </w:r>
    </w:p>
    <w:p>
      <w:pPr>
        <w:spacing w:after="0" w:line="37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This Agreement has been and is made solely for the benefit of the parties hereto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324" w:lineRule="exact"/>
        <w:rPr>
          <w:sz w:val="20"/>
          <w:szCs w:val="20"/>
          <w:color w:val="auto"/>
        </w:rPr>
      </w:pPr>
    </w:p>
    <w:p>
      <w:pPr>
        <w:ind w:left="964" w:hanging="532"/>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PROVIDED BY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The Company and the Underwriters acknowledge and agree that the only information furnished or to be furnished by any Underwriter through the Representative to the Company for inclusion in the Registration Statement, any Preliminary Prospectus, any Issuer Free Writing Prospectus or the Prospectus consists of the information set forth in the second and third sentence of the fifth paragraph, and the eighth and ninth paragraphs under the caption “Underwriting” in the Prospectus.</w:t>
      </w:r>
    </w:p>
    <w:p>
      <w:pPr>
        <w:spacing w:after="0" w:line="328" w:lineRule="exact"/>
        <w:rPr>
          <w:sz w:val="20"/>
          <w:szCs w:val="20"/>
          <w:color w:val="auto"/>
        </w:rPr>
      </w:pPr>
    </w:p>
    <w:p>
      <w:pPr>
        <w:ind w:left="964" w:hanging="532"/>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p>
    <w:p>
      <w:pPr>
        <w:spacing w:after="0" w:line="117"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Forward Purchaser or Forward Seller that is a Covered Entity becomes subject to a proceeding under a U.S. Special Resolution Regime, the transfer from such Underwriter, Forward Purchaser or Forward Seller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 w:name="page28"/>
    <w:bookmarkEnd w:id="27"/>
    <w:p>
      <w:pPr>
        <w:ind w:right="40" w:firstLine="987"/>
        <w:spacing w:after="0" w:line="258"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Forward Purchaser or Forward Seller that is a Covered Entity or a BHC Act Affiliate of such Underwriter, Forward Purchaser or Forward Seller becomes subject to a proceeding under a U.S. Special Resolution Regime, Default Rights under this Agreement that may be exercised against such Underwriter, Forward Purchaser or Forward Seller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 15:</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080" w:hanging="221"/>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10" w:lineRule="exact"/>
        <w:rPr>
          <w:sz w:val="20"/>
          <w:szCs w:val="20"/>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328" w:lineRule="exact"/>
        <w:rPr>
          <w:sz w:val="20"/>
          <w:szCs w:val="20"/>
          <w:color w:val="auto"/>
        </w:rPr>
      </w:pPr>
    </w:p>
    <w:p>
      <w:pPr>
        <w:ind w:left="960" w:hanging="532"/>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AT INTEREST.</w:t>
      </w:r>
    </w:p>
    <w:p>
      <w:pPr>
        <w:spacing w:after="0" w:line="11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328" w:lineRule="exact"/>
        <w:rPr>
          <w:sz w:val="20"/>
          <w:szCs w:val="20"/>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RELATIONSHIP.</w:t>
      </w:r>
    </w:p>
    <w:p>
      <w:pPr>
        <w:spacing w:after="0" w:line="11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each Underwriter, Forward Purchaser and Forward Seller in acting in connection with the offering, including in acting pursuant to the terms of this Agreement, has acted and is acting as an independent contractor and not as a fiduciary and the Company does not intend such Underwriter, Forward Purchaser or Forward Seller to act in any capacity other than independent contractor, including as a fiduciary or in any other position of higher trust. Additionally, no Underwriter, Forward Purchaser or Forward Seller is advising the Company or any other person as to any legal, tax, investment, accounting or regulatory matters in any jurisdiction. The Company shall consult with its own advisors concerning such matters and shall be responsible for making their own independent investigation and appraisal of the transactions contemplated hereby, and the Underwriters, Forward Purchasers and Forward Sellers shall have no responsibility or liability to the Company with respect thereto. Any review by the Underwriters, Forward Purchasers or Forward Sellers of the Company, the transactions contemplated hereby or other matters relating to such transactions will be performed solely for the benefit of such Underwriters, Forward Purchasers or Forward Sellers and shall not be on behalf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p>
    <w:p>
      <w:pPr>
        <w:spacing w:after="0" w:line="11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the Underwriters, Forward Purchasers or Forward Sellers, or any of them, with respect to the subject matter hereof.</w:t>
      </w:r>
    </w:p>
    <w:p>
      <w:pPr>
        <w:spacing w:after="0" w:line="310" w:lineRule="exact"/>
        <w:rPr>
          <w:sz w:val="20"/>
          <w:szCs w:val="20"/>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IS OF THE ESSENCE.</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w:t>
      </w:r>
    </w:p>
    <w:p>
      <w:pPr>
        <w:spacing w:after="0" w:line="37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113"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THIS AGREEMENT AND ANY TRANSACTION CONTEMPLATED BY THIS AGREEMENT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337"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p>
    <w:p>
      <w:pPr>
        <w:spacing w:after="0" w:line="117"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 interpretation of, this Agreement.</w:t>
      </w:r>
    </w:p>
    <w:p>
      <w:pPr>
        <w:spacing w:after="0" w:line="310" w:lineRule="exact"/>
        <w:rPr>
          <w:sz w:val="20"/>
          <w:szCs w:val="20"/>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p>
    <w:p>
      <w:pPr>
        <w:spacing w:after="0" w:line="113"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23" w:lineRule="exact"/>
        <w:rPr>
          <w:sz w:val="20"/>
          <w:szCs w:val="20"/>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OF TAX TREATMENT.</w:t>
      </w:r>
    </w:p>
    <w:p>
      <w:pPr>
        <w:spacing w:after="0" w:line="117"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332" w:lineRule="exact"/>
        <w:rPr>
          <w:sz w:val="20"/>
          <w:szCs w:val="20"/>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SEVERAL OBLIGATIONS.</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each of the Company and each of the Underwriters agrees and acknowledges that the obligations of the Underwriters hereunder are several and not joint, and no Underwriter shall be liable for any act or omission of or default by any other Underwriter.</w:t>
      </w:r>
    </w:p>
    <w:p>
      <w:pPr>
        <w:spacing w:after="0" w:line="324" w:lineRule="exact"/>
        <w:rPr>
          <w:sz w:val="20"/>
          <w:szCs w:val="20"/>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OR WAIVERS.</w:t>
      </w:r>
    </w:p>
    <w:p>
      <w:pPr>
        <w:spacing w:after="0" w:line="11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No amendment or waiver of any provision of this Agreement, nor any consent or approval to any departure therefrom, shall in any event be effective unless the same shall be in writing and signed by the parties hereto or thereto as the case may be.</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40" w:top="270" w:right="579" w:bottom="1440" w:gutter="0" w:footer="0" w:header="0"/>
        </w:sectPr>
      </w:pPr>
    </w:p>
    <w:bookmarkStart w:id="30" w:name="page31"/>
    <w:bookmarkEnd w:id="30"/>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letter is in accordance with your understanding of our agreement, please sign and return to us the enclosed duplicates hereof, whereupon it will become a binding agreement among the Company and the Underwriters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E. Swanstrom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E. Swanstrom II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Senior Executive Vice President, Chief Financial</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for itself and on behalf of the several Underwriters listed on Schedule I hereto, as of the date first above written.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Cunn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Ryan Cunn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Acting in its capacity as Forward Purchaser, solely as the recipient and/or beneficiary of certain representations, warranties, covenants and indemnities as set forth in this Agreement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Debeuckelaer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Jan Debeuckelaer</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its capacity as Forward Seller</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Debeuckelaer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Jan Debeuckelaer</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40"/>
          </w:cols>
          <w:pgMar w:left="440" w:top="270" w:right="6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Acting in its capacity as Forward Purchaser, solely as the recipient and/or beneficiary of certain representations, warranties, covenants and indemnities as set forth in this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Nott</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Diana Nott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Acting in its capacity as Forward Purchaser, solely as the recipient and/or beneficiary of certain representations, warranties, covenants and indemnities as set forth in this Agreement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Natasha Hossain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Natasha Hossain</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its capacity as Forward Seller</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Abhinay Poonja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Abhinay Poonja</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its capacity as Forward Seller</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Saru Pasupathy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Saru Pasupathy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40"/>
          </w:cols>
          <w:pgMar w:left="440" w:top="270" w:right="6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Acting in its capacity as Forward Purchaser, solely as the recipient and/or beneficiary of certain representations, warranties, covenants and indemnities as set forth in this Agreement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Laurel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Laurel Zhang</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its capacity as Forward Seller</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Schlesinger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Grace Schlesinger</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0"/>
          </w:cols>
          <w:pgMar w:left="440" w:top="270" w:right="6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Acting in its capacity as Forward Purchaser, solely as the recipient and/or beneficiary of certain representations, warranties, covenants and indemnities as set forth in this Agreement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Croitoru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Daniel Croitoru</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its capacity as Forward Seller</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Croitoru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Daniel Croitoru</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40"/>
          </w:cols>
          <w:pgMar w:left="440" w:top="270" w:right="6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80" w:type="dxa"/>
            <w:vAlign w:val="bottom"/>
            <w:gridSpan w:val="3"/>
          </w:tcPr>
          <w:p>
            <w:pPr>
              <w:jc w:val="right"/>
              <w:ind w:right="388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780" w:type="dxa"/>
            <w:vAlign w:val="bottom"/>
            <w:gridSpan w:val="2"/>
            <w:vMerge w:val="restart"/>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5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5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3,004,615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5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2,252,067</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2,252,067</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2,252,067</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5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1,854,643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1,457,220</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5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927,321</w:t>
            </w: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Borrowed</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Forward Seller</w:t>
            </w:r>
          </w:p>
        </w:tc>
        <w:tc>
          <w:tcPr>
            <w:tcW w:w="208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Borrowed Firm</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gridSpan w:val="2"/>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5280" w:type="dxa"/>
            <w:vAlign w:val="bottom"/>
          </w:tcPr>
          <w:p>
            <w:pPr>
              <w:spacing w:after="0"/>
              <w:rPr>
                <w:sz w:val="15"/>
                <w:szCs w:val="15"/>
                <w:color w:val="auto"/>
              </w:rPr>
            </w:pPr>
          </w:p>
        </w:tc>
        <w:tc>
          <w:tcPr>
            <w:tcW w:w="11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Shares to be Sold</w:t>
            </w:r>
          </w:p>
        </w:tc>
        <w:tc>
          <w:tcPr>
            <w:tcW w:w="240" w:type="dxa"/>
            <w:vAlign w:val="bottom"/>
          </w:tcPr>
          <w:p>
            <w:pPr>
              <w:spacing w:after="0"/>
              <w:rPr>
                <w:sz w:val="15"/>
                <w:szCs w:val="15"/>
                <w:color w:val="auto"/>
              </w:rPr>
            </w:pP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5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4,309,538</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646,431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6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3,230,154</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484,523</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3,230,154</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484,523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3,230,154</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484,523</w:t>
            </w:r>
          </w:p>
        </w:tc>
        <w:tc>
          <w:tcPr>
            <w:tcW w:w="0" w:type="dxa"/>
            <w:vAlign w:val="bottom"/>
          </w:tcPr>
          <w:p>
            <w:pPr>
              <w:spacing w:after="0"/>
              <w:rPr>
                <w:sz w:val="1"/>
                <w:szCs w:val="1"/>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14,000,000</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2,100,000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Name of Forward Purchaser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ectPr>
          <w:pgSz w:w="11900" w:h="16838" w:orient="portrait"/>
          <w:cols w:equalWidth="0" w:num="1">
            <w:col w:w="11020"/>
          </w:cols>
          <w:pgMar w:left="440" w:top="266" w:right="439" w:bottom="1440" w:gutter="0" w:footer="0" w:header="0"/>
        </w:sectPr>
      </w:pPr>
    </w:p>
    <w:bookmarkStart w:id="36" w:name="page37"/>
    <w:bookmarkEnd w:id="3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MACERICH COMPANY (NYSE: MAC)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of Common Stock</w:t>
      </w:r>
      <w:r>
        <w:rPr>
          <w:rFonts w:ascii="Times New Roman" w:cs="Times New Roman" w:eastAsia="Times New Roman" w:hAnsi="Times New Roman"/>
          <w:sz w:val="18"/>
          <w:szCs w:val="18"/>
          <w:color w:val="auto"/>
        </w:rPr>
        <w:t>: 14,000,000 shares (plus 2,100,000 share over-allotment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Offering by</w:t>
      </w:r>
      <w:r>
        <w:rPr>
          <w:rFonts w:ascii="Times New Roman" w:cs="Times New Roman" w:eastAsia="Times New Roman" w:hAnsi="Times New Roman"/>
          <w:sz w:val="18"/>
          <w:szCs w:val="18"/>
          <w:color w:val="auto"/>
        </w:rPr>
        <w: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r>
        <w:rPr>
          <w:rFonts w:ascii="Times New Roman" w:cs="Times New Roman" w:eastAsia="Times New Roman" w:hAnsi="Times New Roman"/>
          <w:sz w:val="18"/>
          <w:szCs w:val="18"/>
          <w:color w:val="auto"/>
        </w:rPr>
        <w:t>: $23.90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Bookrunner</w:t>
      </w:r>
      <w:r>
        <w:rPr>
          <w:rFonts w:ascii="Times New Roman" w:cs="Times New Roman" w:eastAsia="Times New Roman" w:hAnsi="Times New Roman"/>
          <w:sz w:val="18"/>
          <w:szCs w:val="18"/>
          <w:color w:val="auto"/>
        </w:rPr>
        <w:t>: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Active Bookrunners: </w:t>
      </w:r>
      <w:r>
        <w:rPr>
          <w:rFonts w:ascii="Times New Roman" w:cs="Times New Roman" w:eastAsia="Times New Roman" w:hAnsi="Times New Roman"/>
          <w:sz w:val="17"/>
          <w:szCs w:val="17"/>
          <w:color w:val="auto"/>
        </w:rPr>
        <w:t>Deutsche Bank Securities Inc., J.P. Morgan Securities LLC, Morgan Stanley &amp; Co.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Passive Bookrunners: </w:t>
      </w:r>
      <w:r>
        <w:rPr>
          <w:rFonts w:ascii="Times New Roman" w:cs="Times New Roman" w:eastAsia="Times New Roman" w:hAnsi="Times New Roman"/>
          <w:sz w:val="18"/>
          <w:szCs w:val="18"/>
          <w:color w:val="auto"/>
        </w:rPr>
        <w:t>BMO Capital Markets Corp., TD Securities (USA) LLC, Scotia Capital (USA) Inc.</w:t>
      </w:r>
    </w:p>
    <w:p>
      <w:pPr>
        <w:sectPr>
          <w:pgSz w:w="11900" w:h="16838" w:orient="portrait"/>
          <w:cols w:equalWidth="0" w:num="1">
            <w:col w:w="10019"/>
          </w:cols>
          <w:pgMar w:left="440" w:top="266"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ectPr>
          <w:pgSz w:w="11900" w:h="16838" w:orient="portrait"/>
          <w:cols w:equalWidth="0" w:num="1">
            <w:col w:w="9019"/>
          </w:cols>
          <w:pgMar w:left="1440" w:top="266"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15, 2026</w:t>
      </w:r>
    </w:p>
    <w:p>
      <w:pPr>
        <w:spacing w:after="0" w:line="24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The Macerich Company</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401 Wilshire Boulevard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Santa Monica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California 90401</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b w:val="1"/>
          <w:bCs w:val="1"/>
          <w:color w:val="auto"/>
        </w:rPr>
        <w:t>[Forward Purchaser]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b w:val="1"/>
          <w:bCs w:val="1"/>
          <w:color w:val="auto"/>
        </w:rPr>
        <w:t>[Forward Seller]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is to set forth the terms and conditions of the transactions to be entered into</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time to time between [•]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The Macerich Company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in accordance with the terms of the Underwriting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as of June 15,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Goldman Sachs &amp; Co. LLC, Deutsche Bank AG, London Branch, JPMorgan 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National Association and Morgan Stanley &amp; Co. LLC as forward purchasers, Goldman Sachs &amp; Co. LLC, Deutsche Bank Securities Inc., J.P.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Morgan Securities LLC and Morgan Stanley &amp; Co. LLC, as forward sellers and Counterparty on the Trade Dates specified herein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as referred to in the Agreement specified below.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will be evidenced by a supplemental confirmation (each, a “</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and each such Supplemental Confirmation,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together with this Master Confirmation, a “Confirmation” for purposes of the Agreement specified below)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Confirmation will be a confirmation for purposes of Rule 10b-10 promulgated under the Securities Exchange Act of 1934, as amended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100" w:hanging="4"/>
        <w:spacing w:after="0" w:line="268" w:lineRule="auto"/>
        <w:tabs>
          <w:tab w:leader="none" w:pos="1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Confirmation is subject to, and incorporates,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For purposes of the Equity Definitions, each Transaction will be deemed to be a Share Forward Transaction.</w:t>
      </w:r>
    </w:p>
    <w:p>
      <w:pPr>
        <w:spacing w:after="0" w:line="171"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Each Confirmation shall supplement, form a part of and be subject to an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in the form of the 1992 ISDA Master Agreement (Multicurrency—Cross Border) (the “</w:t>
      </w:r>
      <w:r>
        <w:rPr>
          <w:rFonts w:ascii="Times New Roman" w:cs="Times New Roman" w:eastAsia="Times New Roman" w:hAnsi="Times New Roman"/>
          <w:sz w:val="17"/>
          <w:szCs w:val="17"/>
          <w:b w:val="1"/>
          <w:bCs w:val="1"/>
          <w:color w:val="auto"/>
        </w:rPr>
        <w:t>ISDA Form</w:t>
      </w:r>
      <w:r>
        <w:rPr>
          <w:rFonts w:ascii="Times New Roman" w:cs="Times New Roman" w:eastAsia="Times New Roman" w:hAnsi="Times New Roman"/>
          <w:sz w:val="17"/>
          <w:szCs w:val="17"/>
          <w:color w:val="auto"/>
        </w:rPr>
        <w:t>”), as published by ISDA, as if Dealer and Counterparty had executed the ISDA Form on the date hereof (but without any Schedule except for (i) the election of Loss and Second Method, New York law (without regard to New York’s choice of laws doctrine other than Title 14 of Article 5 of the New York General Obligations Law (the “</w:t>
      </w:r>
      <w:r>
        <w:rPr>
          <w:rFonts w:ascii="Times New Roman" w:cs="Times New Roman" w:eastAsia="Times New Roman" w:hAnsi="Times New Roman"/>
          <w:sz w:val="17"/>
          <w:szCs w:val="17"/>
          <w:b w:val="1"/>
          <w:bCs w:val="1"/>
          <w:color w:val="auto"/>
        </w:rPr>
        <w:t>General Obligations Law</w:t>
      </w:r>
      <w:r>
        <w:rPr>
          <w:rFonts w:ascii="Times New Roman" w:cs="Times New Roman" w:eastAsia="Times New Roman" w:hAnsi="Times New Roman"/>
          <w:sz w:val="17"/>
          <w:szCs w:val="17"/>
          <w:color w:val="auto"/>
        </w:rPr>
        <w:t>”)) as the governing law and US Dollars (“</w:t>
      </w:r>
      <w:r>
        <w:rPr>
          <w:rFonts w:ascii="Times New Roman" w:cs="Times New Roman" w:eastAsia="Times New Roman" w:hAnsi="Times New Roman"/>
          <w:sz w:val="17"/>
          <w:szCs w:val="17"/>
          <w:b w:val="1"/>
          <w:bCs w:val="1"/>
          <w:color w:val="auto"/>
        </w:rPr>
        <w:t>USD</w:t>
      </w:r>
      <w:r>
        <w:rPr>
          <w:rFonts w:ascii="Times New Roman" w:cs="Times New Roman" w:eastAsia="Times New Roman" w:hAnsi="Times New Roman"/>
          <w:sz w:val="17"/>
          <w:szCs w:val="17"/>
          <w:color w:val="auto"/>
        </w:rPr>
        <w:t xml:space="preserve">”) as the Termination Currency, (ii) the replacement of the word “third” in the last line of </w:t>
      </w:r>
      <w:r>
        <w:rPr>
          <w:rFonts w:ascii="Times New Roman" w:cs="Times New Roman" w:eastAsia="Times New Roman" w:hAnsi="Times New Roman"/>
          <w:sz w:val="17"/>
          <w:szCs w:val="17"/>
          <w:u w:val="single" w:color="auto"/>
          <w:color w:val="auto"/>
        </w:rPr>
        <w:t>Section 5(a)(i)</w:t>
      </w:r>
      <w:r>
        <w:rPr>
          <w:rFonts w:ascii="Times New Roman" w:cs="Times New Roman" w:eastAsia="Times New Roman" w:hAnsi="Times New Roman"/>
          <w:sz w:val="17"/>
          <w:szCs w:val="17"/>
          <w:color w:val="auto"/>
        </w:rPr>
        <w:t xml:space="preserve"> with the word “first” and</w:t>
      </w:r>
    </w:p>
    <w:p>
      <w:pPr>
        <w:spacing w:after="0" w:line="3" w:lineRule="exact"/>
        <w:rPr>
          <w:sz w:val="20"/>
          <w:szCs w:val="20"/>
          <w:color w:val="auto"/>
        </w:rPr>
      </w:pPr>
    </w:p>
    <w:p>
      <w:pPr>
        <w:ind w:left="4" w:right="200" w:hanging="4"/>
        <w:spacing w:after="0" w:line="265" w:lineRule="auto"/>
        <w:tabs>
          <w:tab w:leader="none" w:pos="31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election that the “Cross Default” provisions of </w:t>
      </w:r>
      <w:r>
        <w:rPr>
          <w:rFonts w:ascii="Times New Roman" w:cs="Times New Roman" w:eastAsia="Times New Roman" w:hAnsi="Times New Roman"/>
          <w:sz w:val="17"/>
          <w:szCs w:val="17"/>
          <w:u w:val="single" w:color="auto"/>
          <w:color w:val="auto"/>
        </w:rPr>
        <w:t>Section 5(a)(vi)</w:t>
      </w:r>
      <w:r>
        <w:rPr>
          <w:rFonts w:ascii="Times New Roman" w:cs="Times New Roman" w:eastAsia="Times New Roman" w:hAnsi="Times New Roman"/>
          <w:sz w:val="17"/>
          <w:szCs w:val="17"/>
          <w:color w:val="auto"/>
        </w:rPr>
        <w:t xml:space="preserve"> shall apply to Dealer and Counterparty with a “</w:t>
      </w:r>
      <w:r>
        <w:rPr>
          <w:rFonts w:ascii="Times New Roman" w:cs="Times New Roman" w:eastAsia="Times New Roman" w:hAnsi="Times New Roman"/>
          <w:sz w:val="17"/>
          <w:szCs w:val="17"/>
          <w:b w:val="1"/>
          <w:bCs w:val="1"/>
          <w:color w:val="auto"/>
        </w:rPr>
        <w:t>Threshold Amount</w:t>
      </w:r>
      <w:r>
        <w:rPr>
          <w:rFonts w:ascii="Times New Roman" w:cs="Times New Roman" w:eastAsia="Times New Roman" w:hAnsi="Times New Roman"/>
          <w:sz w:val="17"/>
          <w:szCs w:val="17"/>
          <w:color w:val="auto"/>
        </w:rPr>
        <w:t>” in respect of Dealer of 3% of the stockholders’ equity of [Dealer/Dealer’s Parent] [(“</w:t>
      </w:r>
      <w:r>
        <w:rPr>
          <w:rFonts w:ascii="Times New Roman" w:cs="Times New Roman" w:eastAsia="Times New Roman" w:hAnsi="Times New Roman"/>
          <w:sz w:val="17"/>
          <w:szCs w:val="17"/>
          <w:b w:val="1"/>
          <w:bCs w:val="1"/>
          <w:color w:val="auto"/>
        </w:rPr>
        <w:t>Dealer Parent</w:t>
      </w:r>
      <w:r>
        <w:rPr>
          <w:rFonts w:ascii="Times New Roman" w:cs="Times New Roman" w:eastAsia="Times New Roman" w:hAnsi="Times New Roman"/>
          <w:sz w:val="17"/>
          <w:szCs w:val="17"/>
          <w:color w:val="auto"/>
        </w:rPr>
        <w:t xml:space="preserve">”)] and a “Threshold Amount” in respect of Counterparty of USD 150 million;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the words ”, or becoming capable at such time of being declared,” shall be deleted from clause (1) thereof, (y)</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had the meaning specified in Section 14 of the Agreement, except that such term shall not include obligations in respect of</w:t>
      </w:r>
    </w:p>
    <w:p>
      <w:pPr>
        <w:sectPr>
          <w:pgSz w:w="11900" w:h="16838" w:orient="portrait"/>
          <w:cols w:equalWidth="0" w:num="1">
            <w:col w:w="11024"/>
          </w:cols>
          <w:pgMar w:left="436" w:top="117" w:right="439" w:bottom="1440" w:gutter="0" w:footer="0" w:header="0"/>
        </w:sectPr>
      </w:pPr>
    </w:p>
    <w:bookmarkStart w:id="39" w:name="page40"/>
    <w:bookmarkEnd w:id="39"/>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deposits received in the ordinary course of Dealer’s banking business and (z) the following language shall be added to the end of such </w:t>
      </w:r>
      <w:r>
        <w:rPr>
          <w:rFonts w:ascii="Times New Roman" w:cs="Times New Roman" w:eastAsia="Times New Roman" w:hAnsi="Times New Roman"/>
          <w:sz w:val="18"/>
          <w:szCs w:val="18"/>
          <w:u w:val="single" w:color="auto"/>
          <w:color w:val="auto"/>
        </w:rPr>
        <w:t>Section 5(a)(vi)</w:t>
      </w:r>
      <w:r>
        <w:rPr>
          <w:rFonts w:ascii="Times New Roman" w:cs="Times New Roman" w:eastAsia="Times New Roman" w:hAnsi="Times New Roman"/>
          <w:sz w:val="18"/>
          <w:szCs w:val="18"/>
          <w:color w:val="auto"/>
        </w:rPr>
        <w:t>: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p>
    <w:p>
      <w:pPr>
        <w:spacing w:after="0" w:line="180"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All provisions contained in the Agreement are incorporated into and shall govern each Confirmation except as expressly modified below. Each Confirmation evidences a complete and binding agreement between Dealer and Counterparty as to the terms of the relevant Transaction and replaces any previous agreement between the parties with respect to the subject matter hereof.</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Transactions hereunder shall be the sole Transactions under the Agreement. If there exists any ISDA Master Agreement between Dealer or any of its Affiliates and Counterparty or any confirmation or other agreement between Dealer or any of its Affiliates and Counterparty pursuant to which an ISDA Master Agreement is deemed to exist between Dealer or any of its Affiliates and Counterparty, then notwithstanding anything to the contrary in such ISDA Master Agreement, such confirmation or agreement or any other agreement to which Dealer or such other Affiliates and Counterparty are parties, the Transactions shall not be considered Transactions under, or otherwise governed by, such existing or deemed ISDA Master Agreement. In the event of any inconsistency among the Agreement, this Master Confirmation, any Supplemental Confirmation and the Equity Definitions, the following will prevail in the order of precedence indicated: (i) such Supplemental Confirmation; (ii) this Master Confirmation; (iii) the Equity Definitions; and (iv)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terms of the particular Transactions to which this Master Confirmation relates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Terms:</w:t>
            </w:r>
          </w:p>
        </w:tc>
        <w:tc>
          <w:tcPr>
            <w:tcW w:w="6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June 16, 2026.</w:t>
            </w: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June 17, 2026, or such later date on which the conditions set forth in Section 3 of this</w:t>
            </w:r>
          </w:p>
        </w:tc>
      </w:tr>
      <w:tr>
        <w:trPr>
          <w:trHeight w:val="237"/>
        </w:trPr>
        <w:tc>
          <w:tcPr>
            <w:tcW w:w="2540" w:type="dxa"/>
            <w:vAlign w:val="bottom"/>
          </w:tcPr>
          <w:p>
            <w:pPr>
              <w:spacing w:after="0"/>
              <w:rPr>
                <w:sz w:val="20"/>
                <w:szCs w:val="20"/>
                <w:color w:val="auto"/>
              </w:rPr>
            </w:pPr>
          </w:p>
        </w:tc>
        <w:tc>
          <w:tcPr>
            <w:tcW w:w="62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Confirmation have been satisfied.</w:t>
            </w:r>
          </w:p>
        </w:tc>
        <w:tc>
          <w:tcPr>
            <w:tcW w:w="68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Buyer:</w:t>
            </w: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Dealer</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Seller:</w:t>
            </w: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Counterparty</w:t>
            </w:r>
          </w:p>
        </w:tc>
      </w:tr>
      <w:tr>
        <w:trPr>
          <w:trHeight w:val="30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9"/>
              </w:rPr>
              <w:t>(i) June 16, 2027 (or, if such date is not a Scheduled Trading Day, the next following Scheduled</w:t>
            </w:r>
          </w:p>
        </w:tc>
      </w:tr>
      <w:tr>
        <w:trPr>
          <w:trHeight w:val="234"/>
        </w:trPr>
        <w:tc>
          <w:tcPr>
            <w:tcW w:w="2540" w:type="dxa"/>
            <w:vAlign w:val="bottom"/>
          </w:tcPr>
          <w:p>
            <w:pPr>
              <w:spacing w:after="0"/>
              <w:rPr>
                <w:sz w:val="20"/>
                <w:szCs w:val="20"/>
                <w:color w:val="auto"/>
              </w:rPr>
            </w:pP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Trading Day) and (ii) the date on which the Number of Shares is reduced to zero.</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2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The shares of common stock, par value $0.01 per Share, of Counterparty (Ticker: “</w:t>
            </w:r>
            <w:r>
              <w:rPr>
                <w:rFonts w:ascii="Times New Roman" w:cs="Times New Roman" w:eastAsia="Times New Roman" w:hAnsi="Times New Roman"/>
                <w:sz w:val="18"/>
                <w:szCs w:val="18"/>
                <w:b w:val="1"/>
                <w:bCs w:val="1"/>
                <w:color w:val="auto"/>
              </w:rPr>
              <w:t>MAC</w:t>
            </w:r>
            <w:r>
              <w:rPr>
                <w:rFonts w:ascii="Times New Roman" w:cs="Times New Roman" w:eastAsia="Times New Roman" w:hAnsi="Times New Roman"/>
                <w:sz w:val="18"/>
                <w:szCs w:val="18"/>
                <w:color w:val="auto"/>
              </w:rPr>
              <w:t>”)</w:t>
            </w:r>
          </w:p>
        </w:tc>
      </w:tr>
      <w:tr>
        <w:trPr>
          <w:trHeight w:val="364"/>
        </w:trPr>
        <w:tc>
          <w:tcPr>
            <w:tcW w:w="2540" w:type="dxa"/>
            <w:vAlign w:val="bottom"/>
          </w:tcPr>
          <w:p>
            <w:pPr>
              <w:spacing w:after="0"/>
              <w:rPr>
                <w:sz w:val="24"/>
                <w:szCs w:val="24"/>
                <w:color w:val="auto"/>
              </w:rPr>
            </w:pPr>
          </w:p>
        </w:tc>
        <w:tc>
          <w:tcPr>
            <w:tcW w:w="62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40" w:name="page41"/>
    <w:bookmarkEnd w:id="40"/>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br w:type="column"/>
      </w: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Initially, [•] Shares;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on each Relevant Settlement Date, the Number of Shares shall be reduced by the number of Settlement Shares to be settled on such date (in the case of Physical Settlement) or the number of Settlement Shares for the applicable Settlement (in the case of Cash Settlement or 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-652780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140" w:space="720"/>
            <w:col w:w="7120"/>
          </w:cols>
          <w:pgMar w:left="440" w:top="268"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New York Stock Exchange</w:t>
      </w:r>
    </w:p>
    <w:p>
      <w:pPr>
        <w:spacing w:after="0" w:line="128"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Related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 Exchanges</w:t>
      </w:r>
    </w:p>
    <w:p>
      <w:pPr>
        <w:spacing w:after="0" w:line="117"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Prepayment: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9"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Variable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29"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Forward Price:</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the Effective Date, the Initial Forward Price, and on any other day, the Forward Price as of the immediately preceding calendar day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sum of (i) 1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Daily Rate for such day * (1/365);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each Forward Price Reduction Date, the Forward Price in effect on such date shall be the Forward Price otherwise in effect on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Forward Price Reduction Amount for such Forward Price Reduction Date.</w:t>
      </w:r>
    </w:p>
    <w:p>
      <w:pPr>
        <w:spacing w:after="0" w:line="75"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Initial Forward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 23.12325 per Share.</w:t>
      </w:r>
    </w:p>
    <w:p>
      <w:pPr>
        <w:spacing w:after="0" w:line="115"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For any day, the Overnight Bank Funding Rate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Spread.</w:t>
      </w:r>
    </w:p>
    <w:p>
      <w:pPr>
        <w:spacing w:after="0" w:line="130"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each Transaction, as specified in the Supplemental Confirmation for such Transaction.</w:t>
      </w:r>
    </w:p>
    <w:p>
      <w:pPr>
        <w:spacing w:after="0" w:line="129"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Overnight Bank Funding Rate: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displayed on the page “</w:t>
      </w:r>
      <w:r>
        <w:rPr>
          <w:rFonts w:ascii="Times New Roman" w:cs="Times New Roman" w:eastAsia="Times New Roman" w:hAnsi="Times New Roman"/>
          <w:sz w:val="18"/>
          <w:szCs w:val="18"/>
          <w:b w:val="1"/>
          <w:bCs w:val="1"/>
          <w:color w:val="auto"/>
        </w:rPr>
        <w:t>OBFR01&lt;Index&gt; &lt;GO&gt;</w:t>
      </w:r>
      <w:r>
        <w:rPr>
          <w:rFonts w:ascii="Times New Roman" w:cs="Times New Roman" w:eastAsia="Times New Roman" w:hAnsi="Times New Roman"/>
          <w:sz w:val="18"/>
          <w:szCs w:val="18"/>
          <w:color w:val="auto"/>
        </w:rPr>
        <w:t xml:space="preserve">” on the BLOOMBERG Professional Service, or any successor page;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such rate appears for such day on such page, Overnight Bank Funding Rate for such day shall be such rate for the immediately preceding day for which such a rate appears.</w:t>
      </w:r>
    </w:p>
    <w:p>
      <w:pPr>
        <w:spacing w:after="0" w:line="75"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Forward Price Reduction Dates:</w:t>
      </w:r>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Times New Roman" w:cs="Times New Roman" w:eastAsia="Times New Roman" w:hAnsi="Times New Roman"/>
          <w:sz w:val="18"/>
          <w:szCs w:val="18"/>
          <w:color w:val="auto"/>
        </w:rPr>
        <w:t>For each Transaction, as specified in Schedule I to the Supplemental Confirmation for such Transaction, to be each date set forth under the heading “Forward Price Reduction Date” in the Transaction Notice for such Transaction.</w:t>
      </w:r>
    </w:p>
    <w:p>
      <w:pPr>
        <w:spacing w:after="0" w:line="108"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80"/>
          </w:cols>
          <w:pgMar w:left="440" w:top="268" w:right="47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Price Reduction Amount:</w:t>
            </w: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 opposite</w:t>
            </w:r>
          </w:p>
        </w:tc>
      </w:tr>
      <w:tr>
        <w:trPr>
          <w:trHeight w:val="234"/>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such date on Schedule I to the Supplemental Confirmation for such Transaction.</w:t>
            </w:r>
          </w:p>
        </w:tc>
      </w:tr>
      <w:tr>
        <w:trPr>
          <w:trHeight w:val="28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Valuation:</w:t>
            </w:r>
          </w:p>
        </w:tc>
        <w:tc>
          <w:tcPr>
            <w:tcW w:w="252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32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Date:</w:t>
            </w: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Settlement (as defined below) with respect to any Transaction, if Physical Settlement is</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applicable, as designated in the relevant Settlement Notice (as defined below); or if Cash</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Settlement or Net Share Settlement is applicable, the last Unwind Date for such Settlement.</w:t>
            </w:r>
          </w:p>
        </w:tc>
      </w:tr>
      <w:tr>
        <w:trPr>
          <w:trHeight w:val="234"/>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6.6 of the Equity Definitions shall not apply to any Valuation Date.</w:t>
            </w:r>
          </w:p>
        </w:tc>
      </w:tr>
      <w:tr>
        <w:trPr>
          <w:trHeight w:val="30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Unwind Dates:</w:t>
            </w: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 each day on which Dealer (or its agent or affiliate) purchases Shares in the market in</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connection with unwinding its commercially reasonable hedge position in connection with such</w:t>
            </w:r>
          </w:p>
        </w:tc>
      </w:tr>
      <w:tr>
        <w:trPr>
          <w:trHeight w:val="234"/>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Settlement, starting on the First Unwind Date for such Settlement.</w:t>
            </w:r>
          </w:p>
        </w:tc>
      </w:tr>
      <w:tr>
        <w:trPr>
          <w:trHeight w:val="30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Unwind Date:</w:t>
            </w: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w:t>
            </w:r>
          </w:p>
        </w:tc>
      </w:tr>
      <w:tr>
        <w:trPr>
          <w:trHeight w:val="234"/>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 as designated in the relevant Settlement Notice.</w:t>
            </w:r>
          </w:p>
        </w:tc>
      </w:tr>
      <w:tr>
        <w:trPr>
          <w:trHeight w:val="30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Unwind Period:</w:t>
            </w: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 the period starting on the First Unwind Date for such Settlement and ending on the</w:t>
            </w:r>
          </w:p>
        </w:tc>
      </w:tr>
      <w:tr>
        <w:trPr>
          <w:trHeight w:val="234"/>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Valuation Date for such Settlement</w:t>
            </w:r>
          </w:p>
        </w:tc>
      </w:tr>
      <w:tr>
        <w:trPr>
          <w:trHeight w:val="30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Settlement Valuation Disruption:</w:t>
            </w: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If Cash Settlement is applicable with respect to any Transaction and any Unwind Date during the</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related Unwind Period is a Disrupted Day, the Calculation Agent shall determine whether (i) such</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Disrupted Day is a Disrupted Day in full, in which case the 10b-18 VWAP for such Disrupted Day</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shall not be included in the calculation of the Settlement Price, or (ii) such Disrupted Day is a</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Disrupted Day only in part, in which case the 10b-18 VWAP for such Disrupted Day shall be</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determined by the Calculation Agent based on Rule 10b-18 eligible transactions (as defined below)</w:t>
            </w: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 the Shares on such Disrupted Day, taking into account the nature and duration of the relevant</w:t>
            </w:r>
          </w:p>
        </w:tc>
      </w:tr>
      <w:tr>
        <w:trPr>
          <w:trHeight w:val="234"/>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Market Disruption Event, and the weightings of the 10b-18 VWAP for each Unwind Date</w:t>
            </w:r>
          </w:p>
        </w:tc>
      </w:tr>
      <w:tr>
        <w:trPr>
          <w:trHeight w:val="364"/>
        </w:trPr>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6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4</w:t>
            </w:r>
          </w:p>
        </w:tc>
      </w:tr>
    </w:tbl>
    <w:p>
      <w:pPr>
        <w:ind w:left="214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2" w:name="page43"/>
    <w:bookmarkEnd w:id="42"/>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during such Unwind Period shall be adjusted in good faith and in a commercially reasonable</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manner by the Calculation Agent for purposes of determining the Settlement Price to account for</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occurrence of such partially Disrupted Day, with such adjustments based on, among other</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factors, the duration of any Market Disruption Event and the volume, historical trading patterns</w:t>
            </w:r>
          </w:p>
        </w:tc>
      </w:tr>
      <w:tr>
        <w:trPr>
          <w:trHeight w:val="234"/>
        </w:trPr>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and price of the Shares.</w:t>
            </w:r>
          </w:p>
        </w:tc>
      </w:tr>
      <w:tr>
        <w:trPr>
          <w:trHeight w:val="30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Disruption Event:</w:t>
            </w: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amended by deleting the words “at any time during the one-hour period that ends at the relevant</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Valuation Time, Latest Exercise Time, Knock-in Valuation Time or Knock-out Valuation Time, as</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case may be” and inserting the words “at any time on any Exchange Business Day during the</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Unwind Period” after the word “material,” in the third line thereof.</w:t>
            </w:r>
          </w:p>
        </w:tc>
      </w:tr>
      <w:tr>
        <w:trPr>
          <w:trHeight w:val="212"/>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w:t>
            </w:r>
          </w:p>
        </w:tc>
      </w:tr>
      <w:tr>
        <w:trPr>
          <w:trHeight w:val="238"/>
        </w:trPr>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provision following the term “</w:t>
            </w:r>
            <w:r>
              <w:rPr>
                <w:rFonts w:ascii="Times New Roman" w:cs="Times New Roman" w:eastAsia="Times New Roman" w:hAnsi="Times New Roman"/>
                <w:sz w:val="18"/>
                <w:szCs w:val="18"/>
                <w:b w:val="1"/>
                <w:bCs w:val="1"/>
                <w:color w:val="auto"/>
              </w:rPr>
              <w:t>Scheduled Closing Time</w:t>
            </w:r>
            <w:r>
              <w:rPr>
                <w:rFonts w:ascii="Times New Roman" w:cs="Times New Roman" w:eastAsia="Times New Roman" w:hAnsi="Times New Roman"/>
                <w:sz w:val="18"/>
                <w:szCs w:val="18"/>
                <w:color w:val="auto"/>
              </w:rPr>
              <w:t>” in the fourth line thereof.</w:t>
            </w:r>
          </w:p>
        </w:tc>
      </w:tr>
      <w:tr>
        <w:trPr>
          <w:trHeight w:val="29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Settlement Terms:</w:t>
            </w:r>
          </w:p>
        </w:tc>
        <w:tc>
          <w:tcPr>
            <w:tcW w:w="8140" w:type="dxa"/>
            <w:vAlign w:val="bottom"/>
          </w:tcPr>
          <w:p>
            <w:pPr>
              <w:spacing w:after="0"/>
              <w:rPr>
                <w:sz w:val="24"/>
                <w:szCs w:val="24"/>
                <w:color w:val="auto"/>
              </w:rPr>
            </w:pPr>
          </w:p>
        </w:tc>
      </w:tr>
      <w:tr>
        <w:trPr>
          <w:trHeight w:val="326"/>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Settlement:</w:t>
            </w:r>
          </w:p>
        </w:tc>
        <w:tc>
          <w:tcPr>
            <w:tcW w:w="1460" w:type="dxa"/>
            <w:vAlign w:val="bottom"/>
          </w:tcPr>
          <w:p>
            <w:pPr>
              <w:spacing w:after="0"/>
              <w:rPr>
                <w:sz w:val="24"/>
                <w:szCs w:val="24"/>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With respect to any Transaction, any Physical Settlement, Cash Settlement or Net Share Settlement</w:t>
            </w:r>
          </w:p>
        </w:tc>
      </w:tr>
      <w:tr>
        <w:trPr>
          <w:trHeight w:val="234"/>
        </w:trPr>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 all or any portion of such Transaction.</w:t>
            </w:r>
          </w:p>
        </w:tc>
      </w:tr>
      <w:tr>
        <w:trPr>
          <w:trHeight w:val="30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Notice:</w:t>
            </w: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For any Transaction, subject to “Early Valuation” below, Counterparty may elect to effect a</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Settlement of all or any portion of such Transaction by designating one or more Scheduled Trading</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Days following the Effective Date for such Transaction and on or prior to the Maturity Date for</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such Transaction to be Valuation Dates (or, with respect to Cash Settlements or Net Share</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Settlements of such Transaction, First Unwind Dates, each of which First Unwind Dates shall</w:t>
            </w:r>
          </w:p>
        </w:tc>
      </w:tr>
      <w:tr>
        <w:trPr>
          <w:trHeight w:val="212"/>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occur no later than the 60th Scheduled Trading Day immediately preceding the Maturity Date for</w:t>
            </w:r>
          </w:p>
        </w:tc>
      </w:tr>
      <w:tr>
        <w:trPr>
          <w:trHeight w:val="220"/>
        </w:trPr>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such Transaction) in a written notice to Dealer (a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delivered no later than the</w:t>
            </w:r>
          </w:p>
        </w:tc>
      </w:tr>
      <w:tr>
        <w:trPr>
          <w:trHeight w:val="212"/>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applicable Settlement Method Election Date for such Transaction, which notice shall also specify</w:t>
            </w:r>
          </w:p>
        </w:tc>
      </w:tr>
      <w:tr>
        <w:trPr>
          <w:trHeight w:val="220"/>
        </w:trPr>
        <w:tc>
          <w:tcPr>
            <w:tcW w:w="1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 the number of Shares (the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for such Settlement (not to exceed the number</w:t>
            </w:r>
          </w:p>
        </w:tc>
      </w:tr>
      <w:tr>
        <w:trPr>
          <w:trHeight w:val="216"/>
        </w:trPr>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 Undesignated Shares for such Transaction as of the date of such Settlement Notice) and (ii) the</w:t>
            </w:r>
          </w:p>
        </w:tc>
      </w:tr>
      <w:tr>
        <w:trPr>
          <w:trHeight w:val="234"/>
        </w:trPr>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Settlement Method</w:t>
            </w:r>
          </w:p>
        </w:tc>
      </w:tr>
      <w:tr>
        <w:trPr>
          <w:trHeight w:val="365"/>
        </w:trPr>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1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5</w:t>
            </w:r>
          </w:p>
        </w:tc>
      </w:tr>
    </w:tbl>
    <w:p>
      <w:pPr>
        <w:ind w:left="260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3" w:name="page44"/>
    <w:bookmarkEnd w:id="43"/>
    <w:p>
      <w:pPr>
        <w:ind w:left="3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to such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Counterparty may not designate a First Unwind</w:t>
      </w:r>
    </w:p>
    <w:p>
      <w:pPr>
        <w:spacing w:after="0" w:line="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Date for a Cash Settlement or a Net Share Settlement of any Transaction if, as of the date of such</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Settlement Notice, any Shares have been designated as Settlement Shares for a Cash Settlement or</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a Net Share Settlement of such Transaction for which the related Relevant Settlement Date has not</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occurred; and (B) if the number of Undesignated Shares as of the Maturity Date for such</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Transaction is not zero, then the Maturity Date for such Transaction shall be a Valuation Date for a</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Physical Settlement of such Transaction and the number of Settlement Shares for such Settlement</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shall be the number of Undesignated Shares for such Transaction as of the Maturity Date for such</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Maturity Date occurs during the period from the time any</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Settlement Notice is given for a Cash Settlement or Net Share Settlement of such Transaction until</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the related Relevant Settlement Date, inclusive, then the provisions set forth below opposite</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Valuation</w:t>
      </w:r>
      <w:r>
        <w:rPr>
          <w:rFonts w:ascii="Times New Roman" w:cs="Times New Roman" w:eastAsia="Times New Roman" w:hAnsi="Times New Roman"/>
          <w:sz w:val="18"/>
          <w:szCs w:val="18"/>
          <w:color w:val="auto"/>
        </w:rPr>
        <w:t>” shall apply to such Transaction as if the Maturity Date for such Transaction</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were the Early Valuation Date for such Transaction).</w:t>
      </w:r>
    </w:p>
    <w:p>
      <w:pPr>
        <w:sectPr>
          <w:pgSz w:w="11900" w:h="16838" w:orient="portrait"/>
          <w:cols w:equalWidth="0" w:num="1">
            <w:col w:w="10960"/>
          </w:cols>
          <w:pgMar w:left="440" w:top="268" w:right="49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Undesignated Shares: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For any Transaction, as of any date, the Number of Shares for such Transaction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Shares designated as Settlement Shares for Settlements of such Transaction for which the related Relevant Settlement Date has not occurred.</w:t>
      </w:r>
    </w:p>
    <w:p>
      <w:pPr>
        <w:spacing w:after="0" w:line="65" w:lineRule="exact"/>
        <w:rPr>
          <w:sz w:val="20"/>
          <w:szCs w:val="20"/>
          <w:color w:val="auto"/>
        </w:rPr>
      </w:pPr>
    </w:p>
    <w:p>
      <w:pPr>
        <w:sectPr>
          <w:pgSz w:w="11900" w:h="16838" w:orient="portrait"/>
          <w:cols w:equalWidth="0" w:num="2">
            <w:col w:w="3140" w:space="720"/>
            <w:col w:w="7100"/>
          </w:cols>
          <w:pgMar w:left="440" w:top="268" w:right="49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For any Transaction,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43" w:lineRule="exact"/>
        <w:rPr>
          <w:sz w:val="20"/>
          <w:szCs w:val="20"/>
          <w:color w:val="auto"/>
        </w:rPr>
      </w:pPr>
    </w:p>
    <w:p>
      <w:pPr>
        <w:sectPr>
          <w:pgSz w:w="11900" w:h="16838" w:orient="portrait"/>
          <w:cols w:equalWidth="0" w:num="2">
            <w:col w:w="3140" w:space="720"/>
            <w:col w:w="7100"/>
          </w:cols>
          <w:pgMar w:left="440" w:top="268" w:right="499" w:bottom="1440" w:gutter="0" w:footer="0" w:header="0"/>
          <w:type w:val="continuous"/>
        </w:sectPr>
      </w:pPr>
    </w:p>
    <w:p>
      <w:pPr>
        <w:ind w:left="3860" w:right="100"/>
        <w:spacing w:after="0" w:line="282" w:lineRule="auto"/>
        <w:rPr>
          <w:sz w:val="20"/>
          <w:szCs w:val="20"/>
          <w:color w:val="auto"/>
        </w:rPr>
      </w:pPr>
      <w:r>
        <w:rPr>
          <w:rFonts w:ascii="Times New Roman" w:cs="Times New Roman" w:eastAsia="Times New Roman" w:hAnsi="Times New Roman"/>
          <w:sz w:val="18"/>
          <w:szCs w:val="18"/>
          <w:color w:val="auto"/>
        </w:rPr>
        <w:t>(i) Net Share Settlement shall be deemed to be included as an additional settlement method under Section 7.1 of the Equity Definitions;</w:t>
      </w:r>
    </w:p>
    <w:p>
      <w:pPr>
        <w:spacing w:after="0" w:line="67" w:lineRule="exact"/>
        <w:rPr>
          <w:sz w:val="20"/>
          <w:szCs w:val="20"/>
          <w:color w:val="auto"/>
        </w:rPr>
      </w:pPr>
    </w:p>
    <w:p>
      <w:pPr>
        <w:ind w:left="3860"/>
        <w:spacing w:after="0" w:line="255" w:lineRule="auto"/>
        <w:rPr>
          <w:sz w:val="20"/>
          <w:szCs w:val="20"/>
          <w:color w:val="auto"/>
        </w:rPr>
      </w:pPr>
      <w:r>
        <w:rPr>
          <w:rFonts w:ascii="Times New Roman" w:cs="Times New Roman" w:eastAsia="Times New Roman" w:hAnsi="Times New Roman"/>
          <w:sz w:val="18"/>
          <w:szCs w:val="18"/>
          <w:color w:val="auto"/>
        </w:rPr>
        <w:t>(ii) Counterparty may elect Cash Settlement or Net Share Settlement for any Settlement of any Transaction only if Counterparty represents and warrants to Dealer in the Settlement Notice containing such election that, as of the date of such Settlement Notice, (A) Counterparty is not aware of any material nonpublic information concerning itself or the Shares, (B) Counterparty is electing the settlement method and designating the First Unwind Date specified in such Settlement Notice in good faith and not as part of a plan or scheme to evade compliance with Rule 10b-5 under the Exchange Act (“</w:t>
      </w:r>
      <w:r>
        <w:rPr>
          <w:rFonts w:ascii="Times New Roman" w:cs="Times New Roman" w:eastAsia="Times New Roman" w:hAnsi="Times New Roman"/>
          <w:sz w:val="18"/>
          <w:szCs w:val="18"/>
          <w:b w:val="1"/>
          <w:bCs w:val="1"/>
          <w:color w:val="auto"/>
        </w:rPr>
        <w:t>Rule 10b-5</w:t>
      </w:r>
      <w:r>
        <w:rPr>
          <w:rFonts w:ascii="Times New Roman" w:cs="Times New Roman" w:eastAsia="Times New Roman" w:hAnsi="Times New Roman"/>
          <w:sz w:val="18"/>
          <w:szCs w:val="18"/>
          <w:color w:val="auto"/>
        </w:rPr>
        <w:t>”) or any other provision of the federal</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8" w:right="499" w:bottom="1440" w:gutter="0" w:footer="0" w:header="0"/>
          <w:type w:val="continuous"/>
        </w:sectPr>
      </w:pPr>
    </w:p>
    <w:bookmarkStart w:id="44" w:name="page45"/>
    <w:bookmarkEnd w:id="44"/>
    <w:p>
      <w:pPr>
        <w:ind w:left="27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laws, (C)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(D) Counterparty would be able to purchase a number of Shares equal to the greater of (x) the number of Settlement Shares designated in such Settlement Notice and (y) a number of Shares with a value as of the date of such Settlement Notice equal to the product of (I) such number of Settlement Shares and (II) the applicable Relevant Forward Price for such Cash Settlement or Net Share Settlement in compliance with the laws of Counterparty’s jurisdiction of organization and (E) such election, and settlement in accordance therewith, does not and will not violate or conflict with any law or regulation applicable to Counterparty, or any order or judgment of any court or other agency of government applicable to it or any of its assets, and any governmental consents that are required to have been obtained by Counterparty with respect to such election or settlement have been obtained and are in full force and effect and all conditions of any such consents have been complied with; and</w:t>
      </w:r>
    </w:p>
    <w:p>
      <w:pPr>
        <w:spacing w:after="0" w:line="95" w:lineRule="exact"/>
        <w:rPr>
          <w:sz w:val="20"/>
          <w:szCs w:val="20"/>
          <w:color w:val="auto"/>
        </w:rPr>
      </w:pPr>
    </w:p>
    <w:p>
      <w:pPr>
        <w:ind w:left="2740" w:firstLine="9"/>
        <w:spacing w:after="0" w:line="282" w:lineRule="auto"/>
        <w:tabs>
          <w:tab w:leader="none" w:pos="30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election to the contrary in any Settlement Notice, Physical Settlement shall be applicable for any Settlement of any Transaction:</w:t>
      </w:r>
    </w:p>
    <w:p>
      <w:pPr>
        <w:spacing w:after="0" w:line="67" w:lineRule="exact"/>
        <w:rPr>
          <w:sz w:val="20"/>
          <w:szCs w:val="20"/>
          <w:color w:val="auto"/>
        </w:rPr>
      </w:pPr>
    </w:p>
    <w:p>
      <w:pPr>
        <w:ind w:left="3460" w:right="80" w:hanging="359"/>
        <w:spacing w:after="0" w:line="255" w:lineRule="auto"/>
        <w:rPr>
          <w:sz w:val="20"/>
          <w:szCs w:val="20"/>
          <w:color w:val="auto"/>
        </w:rPr>
      </w:pPr>
      <w:r>
        <w:rPr>
          <w:rFonts w:ascii="Times New Roman" w:cs="Times New Roman" w:eastAsia="Times New Roman" w:hAnsi="Times New Roman"/>
          <w:sz w:val="18"/>
          <w:szCs w:val="18"/>
          <w:color w:val="auto"/>
        </w:rPr>
        <w:t>(A)   to all of the Settlement Shares designated in such Settlement Notice if, at any time from the date such Settlement Notice is received by Dealer until the related First Unwind Date, inclusive, (I) the trading price per Share on the Exchange (as determined by Dealer in good faith and in a commercially reasonable manner) is below the Threshold Price or</w:t>
      </w:r>
    </w:p>
    <w:p>
      <w:pPr>
        <w:spacing w:after="0" w:line="3" w:lineRule="exact"/>
        <w:rPr>
          <w:sz w:val="20"/>
          <w:szCs w:val="20"/>
          <w:color w:val="auto"/>
        </w:rPr>
      </w:pPr>
    </w:p>
    <w:p>
      <w:pPr>
        <w:ind w:left="3460" w:right="20" w:firstLine="9"/>
        <w:spacing w:after="0" w:line="250" w:lineRule="auto"/>
        <w:tabs>
          <w:tab w:leader="none" w:pos="37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determines, in its good faith and commercially reasonable judgment, that it would, after using commercially reasonable efforts, be unable to purchase a number of Shares in the market sufficient to unwind a commercially reasonable hedge position in respect of the portion of the Transaction represented by such Settlement Shares and satisfy its delivery obligation hereunder, if any, by the Maturity Date (x) in a manner that</w:t>
      </w:r>
    </w:p>
    <w:p>
      <w:pPr>
        <w:spacing w:after="0" w:line="1" w:lineRule="exact"/>
        <w:rPr>
          <w:rFonts w:ascii="Times New Roman" w:cs="Times New Roman" w:eastAsia="Times New Roman" w:hAnsi="Times New Roman"/>
          <w:sz w:val="18"/>
          <w:szCs w:val="18"/>
          <w:color w:val="auto"/>
        </w:rPr>
      </w:pPr>
    </w:p>
    <w:p>
      <w:pPr>
        <w:ind w:left="3460" w:right="400" w:firstLine="9"/>
        <w:spacing w:after="0" w:line="260" w:lineRule="auto"/>
        <w:tabs>
          <w:tab w:leader="none" w:pos="37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if Dealer were Counterparty or an affiliated purchaser of Counterparty, be subject</w:t>
      </w:r>
    </w:p>
    <w:p>
      <w:pPr>
        <w:spacing w:after="0" w:line="1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45" w:name="page46"/>
    <w:bookmarkEnd w:id="45"/>
    <w:p>
      <w:pPr>
        <w:ind w:left="386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safe harbor provided by Rule 10b-18(b) under the Exchange Act and (B) based on advice of counsel, would not raise material risks under applicable securities laws or (y) due to the lack of sufficient liquidity in the Shares (each, a “</w:t>
      </w:r>
      <w:r>
        <w:rPr>
          <w:rFonts w:ascii="Times New Roman" w:cs="Times New Roman" w:eastAsia="Times New Roman" w:hAnsi="Times New Roman"/>
          <w:sz w:val="18"/>
          <w:szCs w:val="18"/>
          <w:b w:val="1"/>
          <w:bCs w:val="1"/>
          <w:color w:val="auto"/>
        </w:rPr>
        <w:t>Trading Condition</w:t>
      </w:r>
      <w:r>
        <w:rPr>
          <w:rFonts w:ascii="Times New Roman" w:cs="Times New Roman" w:eastAsia="Times New Roman" w:hAnsi="Times New Roman"/>
          <w:sz w:val="18"/>
          <w:szCs w:val="18"/>
          <w:color w:val="auto"/>
        </w:rPr>
        <w:t>”); or</w:t>
      </w:r>
    </w:p>
    <w:p>
      <w:pPr>
        <w:spacing w:after="0" w:line="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   to all or a portion of the Settlement Shares designated in such Settlement Notice if, on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any day during the relevant Unwind Period, (I) the trading price per Share on the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Exchange (as determined by Dealer in good faith and in a commercially reasonable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manner) is below the Threshold Price for two or more Exchange Business Days or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(II) Dealer determines, in its good faith and commercially reasonable judgment or based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on advice of counsel, as applicable, that a Trading Condition has occurred with respect to</w:t>
      </w:r>
    </w:p>
    <w:p>
      <w:pPr>
        <w:spacing w:after="0" w:line="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such Transaction, in which case the provisions set forth below in the third paragraph</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opposite “</w:t>
      </w:r>
      <w:r>
        <w:rPr>
          <w:rFonts w:ascii="Times New Roman" w:cs="Times New Roman" w:eastAsia="Times New Roman" w:hAnsi="Times New Roman"/>
          <w:sz w:val="18"/>
          <w:szCs w:val="18"/>
          <w:b w:val="1"/>
          <w:bCs w:val="1"/>
          <w:color w:val="auto"/>
        </w:rPr>
        <w:t>Early Valuation</w:t>
      </w:r>
      <w:r>
        <w:rPr>
          <w:rFonts w:ascii="Times New Roman" w:cs="Times New Roman" w:eastAsia="Times New Roman" w:hAnsi="Times New Roman"/>
          <w:sz w:val="18"/>
          <w:szCs w:val="18"/>
          <w:color w:val="auto"/>
        </w:rPr>
        <w:t>” shall apply as if such day were the Early Valuation Date for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such Transaction and (x) for purposes of clause (i) of such paragraph, such day shall be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the last Unwind Date of such Unwind Period and the “</w:t>
      </w:r>
      <w:r>
        <w:rPr>
          <w:rFonts w:ascii="Times New Roman" w:cs="Times New Roman" w:eastAsia="Times New Roman" w:hAnsi="Times New Roman"/>
          <w:sz w:val="18"/>
          <w:szCs w:val="18"/>
          <w:b w:val="1"/>
          <w:bCs w:val="1"/>
          <w:color w:val="auto"/>
        </w:rPr>
        <w:t>Unwound Shares</w:t>
      </w:r>
      <w:r>
        <w:rPr>
          <w:rFonts w:ascii="Times New Roman" w:cs="Times New Roman" w:eastAsia="Times New Roman" w:hAnsi="Times New Roman"/>
          <w:sz w:val="18"/>
          <w:szCs w:val="18"/>
          <w:color w:val="auto"/>
        </w:rPr>
        <w:t>” shall be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calculated to, and including, such day and (y) for purposes of clause (ii) of such</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paragraph, the “</w:t>
      </w:r>
      <w:r>
        <w:rPr>
          <w:rFonts w:ascii="Times New Roman" w:cs="Times New Roman" w:eastAsia="Times New Roman" w:hAnsi="Times New Roman"/>
          <w:sz w:val="18"/>
          <w:szCs w:val="18"/>
          <w:b w:val="1"/>
          <w:bCs w:val="1"/>
          <w:color w:val="auto"/>
        </w:rPr>
        <w:t>Remaining Shares</w:t>
      </w:r>
      <w:r>
        <w:rPr>
          <w:rFonts w:ascii="Times New Roman" w:cs="Times New Roman" w:eastAsia="Times New Roman" w:hAnsi="Times New Roman"/>
          <w:sz w:val="18"/>
          <w:szCs w:val="18"/>
          <w:color w:val="auto"/>
        </w:rPr>
        <w:t>” shall be equal to the number of Settlement Shares</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 xml:space="preserve">designated in such Settlement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Unwound Shares determined in</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accordance with clause (x) of this sentence.</w:t>
      </w:r>
    </w:p>
    <w:p>
      <w:pPr>
        <w:sectPr>
          <w:pgSz w:w="11900" w:h="16838" w:orient="portrait"/>
          <w:cols w:equalWidth="0" w:num="1">
            <w:col w:w="11000"/>
          </w:cols>
          <w:pgMar w:left="440" w:top="270" w:right="45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Price: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33% of the Initial Forward Price for such Transaction.</w:t>
      </w:r>
    </w:p>
    <w:p>
      <w:pPr>
        <w:spacing w:after="0" w:line="54"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Electing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8"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Method Election Date: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7"/>
          <w:szCs w:val="17"/>
          <w:color w:val="auto"/>
        </w:rPr>
        <w:t>With respect to any Settlement of any Transaction, the 3rd Scheduled Trading Day immediately preceding (x) the Valuation Date for such Transaction, in the case of Physical Settlement, or (y) the First Unwind Date for such Transaction, in the case of Cash Settlement or Net Share Settlement.</w:t>
      </w:r>
    </w:p>
    <w:p>
      <w:pPr>
        <w:spacing w:after="0" w:line="50"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Physical Settlement</w:t>
      </w:r>
    </w:p>
    <w:p>
      <w:pPr>
        <w:spacing w:after="0" w:line="169"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00"/>
          </w:cols>
          <w:pgMar w:left="440" w:top="270" w:right="4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Physical Settlement: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Section 9.2(a)(i) of the Equity Definitions, on the Settlement Date for any Settlement of any Transaction, Dealer shall pay to Counterparty an amount equal to the Forward Price for such Transaction on the relevant Valuation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Settlement Shares for such Settlement, and Counterparty shall deliver to Dealer such Settlement Shares. If, on any Settlement Date, the Shares to be delivered by Counterparty to Dealer hereunder are not so delivered (the “</w:t>
      </w:r>
      <w:r>
        <w:rPr>
          <w:rFonts w:ascii="Times New Roman" w:cs="Times New Roman" w:eastAsia="Times New Roman" w:hAnsi="Times New Roman"/>
          <w:sz w:val="18"/>
          <w:szCs w:val="18"/>
          <w:b w:val="1"/>
          <w:bCs w:val="1"/>
          <w:color w:val="auto"/>
        </w:rPr>
        <w:t>Deferred Shares</w:t>
      </w:r>
      <w:r>
        <w:rPr>
          <w:rFonts w:ascii="Times New Roman" w:cs="Times New Roman" w:eastAsia="Times New Roman" w:hAnsi="Times New Roman"/>
          <w:sz w:val="18"/>
          <w:szCs w:val="18"/>
          <w:color w:val="auto"/>
        </w:rPr>
        <w:t xml:space="preserve">”), and a Forward Price Reduction Date occurs during the period from, and including, such Settlement Date to, but excluding, the date such Shares are actually delivered to Dealer, then the portion of the amount payable by Dealer to Counterparty in respect of the Deferred Shares shall be reduced by an amount equal to the Forward Price Reduction Amount for such Forward Price Reduction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-1467485</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140" w:space="720"/>
            <w:col w:w="7100"/>
          </w:cols>
          <w:pgMar w:left="440" w:top="270" w:right="49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any Settlement of any Transaction, the Valuation Date for such Settlement.</w:t>
      </w:r>
    </w:p>
    <w:p>
      <w:pPr>
        <w:spacing w:after="0" w:line="129" w:lineRule="exact"/>
        <w:rPr>
          <w:sz w:val="20"/>
          <w:szCs w:val="20"/>
          <w:color w:val="auto"/>
        </w:rPr>
      </w:pPr>
    </w:p>
    <w:p>
      <w:pPr>
        <w:sectPr>
          <w:pgSz w:w="11900" w:h="16838" w:orient="portrait"/>
          <w:cols w:equalWidth="0" w:num="2">
            <w:col w:w="3140" w:space="720"/>
            <w:col w:w="710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Times New Roman" w:cs="Times New Roman" w:eastAsia="Times New Roman" w:hAnsi="Times New Roman"/>
          <w:sz w:val="18"/>
          <w:szCs w:val="18"/>
          <w:color w:val="auto"/>
        </w:rPr>
        <w:t>On the Net Share Settlement Date for any Settlement of any Transaction to which Net Share Settlement is applicable, if the Net Share Settlement Amount for such Settlement is greater than zero, Counterparty shall deliver a number of Shares equal to such Net Share Settlement Amount (rounded down to the nearest integer) to Dealer, and if such Net Share Settlement Amount is less than zero, Dealer shall deliver a number of Shares equal to the absolute value of such Net Share Settlement Amount (rounded down to the nearest integer) to Counterparty, in either case, in accordance with Section 9.4 of the Equity Definitions, with such Net Share Settlement Date deemed to be a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for purposes of such Section 9.4, and, in either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cash in lieu of any fractional Shares included in such Net Share Settlement Amount but not delivered due to rounding required hereby, valued at the relevant Settlement Price.</w:t>
      </w:r>
    </w:p>
    <w:p>
      <w:pPr>
        <w:spacing w:after="0" w:line="86" w:lineRule="exact"/>
        <w:rPr>
          <w:sz w:val="20"/>
          <w:szCs w:val="20"/>
          <w:color w:val="auto"/>
        </w:rPr>
      </w:pPr>
    </w:p>
    <w:p>
      <w:pPr>
        <w:sectPr>
          <w:pgSz w:w="11900" w:h="16838" w:orient="portrait"/>
          <w:cols w:equalWidth="0" w:num="2">
            <w:col w:w="3140" w:space="720"/>
            <w:col w:w="710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Share Settlement Date: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For any Settlement of any Transaction to which Net Share Settlement is applicable, the date that follows the Valuation Date for such Settlement by one Settlement Cycle.</w:t>
      </w:r>
    </w:p>
    <w:p>
      <w:pPr>
        <w:spacing w:after="0" w:line="94" w:lineRule="exact"/>
        <w:rPr>
          <w:sz w:val="20"/>
          <w:szCs w:val="20"/>
          <w:color w:val="auto"/>
        </w:rPr>
      </w:pPr>
    </w:p>
    <w:p>
      <w:pPr>
        <w:sectPr>
          <w:pgSz w:w="11900" w:h="16838" w:orient="portrait"/>
          <w:cols w:equalWidth="0" w:num="2">
            <w:col w:w="3140" w:space="720"/>
            <w:col w:w="7100"/>
          </w:cols>
          <w:pgMar w:left="440" w:top="270"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960"/>
          </w:cols>
          <w:pgMar w:left="440" w:top="270" w:right="4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Net Share Settlement Amount:</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any Settlement of any Transaction to which Net Share Settlement is applicable, an amount equal to the Forward Cash Settlement Amount for such Settlement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Settlement Price for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-518795</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140" w:space="720"/>
            <w:col w:w="7100"/>
          </w:cols>
          <w:pgMar w:left="440" w:top="270" w:right="49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Forward Cash Settlement Amount:</w:t>
      </w:r>
    </w:p>
    <w:p>
      <w:pPr>
        <w:spacing w:after="0" w:line="20" w:lineRule="exact"/>
        <w:rPr>
          <w:sz w:val="20"/>
          <w:szCs w:val="20"/>
          <w:color w:val="auto"/>
        </w:rPr>
      </w:pPr>
      <w:r>
        <w:rPr>
          <w:sz w:val="20"/>
          <w:szCs w:val="20"/>
          <w:color w:val="auto"/>
        </w:rPr>
        <w:br w:type="column"/>
      </w:r>
    </w:p>
    <w:p>
      <w:pPr>
        <w:ind w:right="200"/>
        <w:spacing w:after="0" w:line="281" w:lineRule="auto"/>
        <w:rPr>
          <w:sz w:val="20"/>
          <w:szCs w:val="20"/>
          <w:color w:val="auto"/>
        </w:rPr>
      </w:pPr>
      <w:r>
        <w:rPr>
          <w:rFonts w:ascii="Times New Roman" w:cs="Times New Roman" w:eastAsia="Times New Roman" w:hAnsi="Times New Roman"/>
          <w:sz w:val="17"/>
          <w:szCs w:val="17"/>
          <w:color w:val="auto"/>
        </w:rPr>
        <w:t xml:space="preserve">Notwithstanding Section 8.5(c) of the Equity Definitions, the Forward Cash Settlement Amount for any Cash Settlement or Net Share Settlement of any Transaction shall be equal to (i) the number of Settlement Shares for such Settlement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an amount equal to (A) the Settlement Price for such Settlement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Relevant Forward Price for such Settlement.</w:t>
      </w:r>
    </w:p>
    <w:p>
      <w:pPr>
        <w:spacing w:after="0" w:line="56" w:lineRule="exact"/>
        <w:rPr>
          <w:sz w:val="20"/>
          <w:szCs w:val="20"/>
          <w:color w:val="auto"/>
        </w:rPr>
      </w:pPr>
    </w:p>
    <w:p>
      <w:pPr>
        <w:sectPr>
          <w:pgSz w:w="11900" w:h="16838" w:orient="portrait"/>
          <w:cols w:equalWidth="0" w:num="2">
            <w:col w:w="3140" w:space="720"/>
            <w:col w:w="710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Forward Price:</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For any Cash Settlement of any Transaction, the arithmetic average of the Forward Prices for such Transaction on each Unwind Date relating to such Settlement.</w:t>
      </w:r>
    </w:p>
    <w:p>
      <w:pPr>
        <w:spacing w:after="0" w:line="67" w:lineRule="exact"/>
        <w:rPr>
          <w:sz w:val="20"/>
          <w:szCs w:val="20"/>
          <w:color w:val="auto"/>
        </w:rPr>
      </w:pPr>
    </w:p>
    <w:p>
      <w:pPr>
        <w:sectPr>
          <w:pgSz w:w="11900" w:h="16838" w:orient="portrait"/>
          <w:cols w:equalWidth="0" w:num="2">
            <w:col w:w="3140" w:space="720"/>
            <w:col w:w="7100"/>
          </w:cols>
          <w:pgMar w:left="440" w:top="270" w:right="499" w:bottom="1440" w:gutter="0" w:footer="0" w:header="0"/>
          <w:type w:val="continuous"/>
        </w:sectPr>
      </w:pPr>
    </w:p>
    <w:p>
      <w:pPr>
        <w:ind w:left="3860"/>
        <w:spacing w:after="0" w:line="258" w:lineRule="auto"/>
        <w:rPr>
          <w:sz w:val="20"/>
          <w:szCs w:val="20"/>
          <w:color w:val="auto"/>
        </w:rPr>
      </w:pPr>
      <w:r>
        <w:rPr>
          <w:rFonts w:ascii="Times New Roman" w:cs="Times New Roman" w:eastAsia="Times New Roman" w:hAnsi="Times New Roman"/>
          <w:sz w:val="18"/>
          <w:szCs w:val="18"/>
          <w:color w:val="auto"/>
        </w:rPr>
        <w:t>For any Net Share Settlement of any Transaction, the weighted average of the Forward Prices for such Transaction on each Unwind Date relating to such Settlement (weighted based on the number of Shares purchased by Dealer or its agent or affiliate on each such Unwind Date in connection with unwinding its commercially reasonable hedge position in connection with such Settlement, as determined by the Calculation Agent).</w:t>
      </w:r>
    </w:p>
    <w:p>
      <w:pPr>
        <w:sectPr>
          <w:pgSz w:w="11900" w:h="16838" w:orient="portrait"/>
          <w:cols w:equalWidth="0" w:num="1">
            <w:col w:w="10960"/>
          </w:cols>
          <w:pgMar w:left="440" w:top="270" w:right="49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 xml:space="preserve">For any Cash Settlement of any Transaction, the arithmetic average of the 10b-18 VWAP on each Unwind Date relating to such Settlement,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 commercially reasonable amount determined by the Calculation Agent in good faith that in no event will exceed USD 0.02 per Share.</w:t>
      </w:r>
    </w:p>
    <w:p>
      <w:pPr>
        <w:spacing w:after="0" w:line="63" w:lineRule="exact"/>
        <w:rPr>
          <w:sz w:val="20"/>
          <w:szCs w:val="20"/>
          <w:color w:val="auto"/>
        </w:rPr>
      </w:pPr>
    </w:p>
    <w:p>
      <w:pPr>
        <w:sectPr>
          <w:pgSz w:w="11900" w:h="16838" w:orient="portrait"/>
          <w:cols w:equalWidth="0" w:num="2">
            <w:col w:w="3140" w:space="720"/>
            <w:col w:w="7100"/>
          </w:cols>
          <w:pgMar w:left="440" w:top="270" w:right="499" w:bottom="1440" w:gutter="0" w:footer="0" w:header="0"/>
          <w:type w:val="continuous"/>
        </w:sectPr>
      </w:pPr>
    </w:p>
    <w:p>
      <w:pPr>
        <w:ind w:left="3860"/>
        <w:spacing w:after="0" w:line="254" w:lineRule="auto"/>
        <w:rPr>
          <w:sz w:val="20"/>
          <w:szCs w:val="20"/>
          <w:color w:val="auto"/>
        </w:rPr>
      </w:pPr>
      <w:r>
        <w:rPr>
          <w:rFonts w:ascii="Times New Roman" w:cs="Times New Roman" w:eastAsia="Times New Roman" w:hAnsi="Times New Roman"/>
          <w:sz w:val="18"/>
          <w:szCs w:val="18"/>
          <w:color w:val="auto"/>
        </w:rPr>
        <w:t xml:space="preserve">For any Net Share Settlement of any Transaction, the weighted average price of the purchases of Shares made by Dealer (or its agent or affiliate) during the Unwind Period for such Settlement in connection with unwinding its commercially reasonable hedge position relating to such Settlement (weighted based on the number of Shares purchased by Dealer or its agent or affiliate on each Unwind Date in connection with unwinding its commercially reasonable hedge position in connection with such Settlement, as determined by the Calculation Agent),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commercially reasonable amount determined by the Calculation Agent in good faith that in no event will exceed USD 0.02 per Share.</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10b-18 VWAP:</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For any Exchange Business Day, as reasonably determined by the Calculation Agent based on the composite 10b-18 Volume Weighted Average Price per Share for the regular trading session (including any extensions thereof) of the Exchange on such Exchange Business Day (without regard to pre-open or after hours trading outside of such regular trading session for such Exchange Business Day), as published by Bloomberg at 4:15 p.m. New York time (or 15 minutes following the end of any extension of the regular trading session) on such Exchange Business Day, on Bloomberg page “MAC &lt;Equity&gt; AQR_SEC” (or any successor thereto), or if such price is not so reported on such Exchange Business Day for any reason or is, in the Calculation Agent’s reasonable determination, erroneous, such 10b-18 VWAP shall be determined by the Calculation Agent in a good faith and commercially reasonable manner. For purposes of calculating the 10b-18 VWAP for such Exchange Business Day, the Calculation Agent will include only those trades that are reported during the period of time during which Counterparty could purchase its own shares under Rule 10b-18(b)(2) and are effected pursuant to the conditions of Rule 10b-18(b)(3), each under the Exchange Act (such trades, “</w:t>
      </w:r>
      <w:r>
        <w:rPr>
          <w:rFonts w:ascii="Times New Roman" w:cs="Times New Roman" w:eastAsia="Times New Roman" w:hAnsi="Times New Roman"/>
          <w:sz w:val="18"/>
          <w:szCs w:val="18"/>
          <w:b w:val="1"/>
          <w:bCs w:val="1"/>
          <w:color w:val="auto"/>
        </w:rPr>
        <w:t>Rule 10b-18 eligible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-2014220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140" w:space="720"/>
            <w:col w:w="7120"/>
          </w:cols>
          <w:pgMar w:left="440" w:top="270"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Unwind Activities: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The times and prices at which Dealer (or its agent or affiliate) purchases any Shares during any Unwind Period in connection with unwinding its commercially reasonable hedge position in respect of each Transaction shall be determined by Dealer in a commercially reasonable manner. Without limiting the generality of the foregoing, in the event that Dealer concludes, in its good faith, reasonable discretion based on advice of counsel, that it is appropriate with respect to any legal, regulatory or self-regulatory requirements or related policies and procedures (whether or not such requirements, policies or procedures are imposed by law or have been voluntarily adopted by Dealer) (a “</w:t>
      </w:r>
      <w:r>
        <w:rPr>
          <w:rFonts w:ascii="Times New Roman" w:cs="Times New Roman" w:eastAsia="Times New Roman" w:hAnsi="Times New Roman"/>
          <w:sz w:val="18"/>
          <w:szCs w:val="18"/>
          <w:b w:val="1"/>
          <w:bCs w:val="1"/>
          <w:color w:val="auto"/>
        </w:rPr>
        <w:t>Regulatory Disruption</w:t>
      </w:r>
      <w:r>
        <w:rPr>
          <w:rFonts w:ascii="Times New Roman" w:cs="Times New Roman" w:eastAsia="Times New Roman" w:hAnsi="Times New Roman"/>
          <w:sz w:val="18"/>
          <w:szCs w:val="18"/>
          <w:color w:val="auto"/>
        </w:rPr>
        <w:t>”), for it to refrain from purchasing Shares in connection with unwinding its commercially reasonable hedge position in respect of such Transaction on any Scheduled Trading Day that would have been an Unwind Date but for the occurrence of a Regulatory Disruption, Dealer shall notify Counterparty in writing that a Regulatory Disruption has occurred on such Scheduled Trading Day with respect to such Transaction, and Dealer shall, in its good faith, reasonable discretion based on advice of counsel and subject to applicable legal, regulatory and</w:t>
      </w:r>
    </w:p>
    <w:p>
      <w:pPr>
        <w:spacing w:after="0" w:line="130"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self-regulatory requirements and related policies and procedures of Dealer (in the case of policies</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and procedures, so long as such policies and procedures have been adopted by Dealer in good faith</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are consistently applied in similar situations to transactions like the Transactions hereunder),</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specify the nature of such Regulatory Disruption. For the avoidance of doubt, such Scheduled</w:t>
            </w:r>
          </w:p>
        </w:tc>
      </w:tr>
      <w:tr>
        <w:trPr>
          <w:trHeight w:val="214"/>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Trading Day shall not be an Unwind Date for such Transaction and such Regulatory Disruption</w:t>
            </w:r>
          </w:p>
        </w:tc>
      </w:tr>
      <w:tr>
        <w:trPr>
          <w:trHeight w:val="218"/>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xml:space="preserve">shall be deemed to be a Market Disruption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exercise its right to</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suspend under this sentence only in good faith and based on advice of counsel in relation to events</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or circumstances that are not the result of actions of it or any of its Affiliates that are taken with the</w:t>
            </w:r>
          </w:p>
        </w:tc>
      </w:tr>
      <w:tr>
        <w:trPr>
          <w:trHeight w:val="234"/>
        </w:trPr>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intent to avoid its obligations under the Transactions.</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Relevant Settlement Date:</w:t>
            </w: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any Settlement of any Transaction, the Settlement Date, Cash Settlement Payment Date or Net</w:t>
            </w:r>
          </w:p>
        </w:tc>
      </w:tr>
      <w:tr>
        <w:trPr>
          <w:trHeight w:val="234"/>
        </w:trPr>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Share Settlement Date for such Settlement, as the case may be.</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the extent Dealer is obligated to deliver Shares under any Transaction, the provisions of</w:t>
            </w:r>
          </w:p>
        </w:tc>
      </w:tr>
      <w:tr>
        <w:trPr>
          <w:trHeight w:val="214"/>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Sections 9.2 (last sentence only), 9.8, 9.9, 9.10, 9.11 and 9.12 of the Equity Definitions will be</w:t>
            </w:r>
          </w:p>
        </w:tc>
      </w:tr>
      <w:tr>
        <w:trPr>
          <w:trHeight w:val="218"/>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xml:space="preserve">applicable as if “Physical Settlement” applied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Representation and Agreement contained in Section 9.11 of the Equity Definitions shall be</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modified by excluding any representations therein relating to restrictions, obligations, limitations</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or requirements under applicable securities laws that exist as a result of the fact that Counterparty</w:t>
            </w:r>
          </w:p>
        </w:tc>
      </w:tr>
      <w:tr>
        <w:trPr>
          <w:trHeight w:val="234"/>
        </w:trPr>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is the issuer of the Shares.</w:t>
            </w:r>
          </w:p>
        </w:tc>
      </w:tr>
      <w:tr>
        <w:trPr>
          <w:trHeight w:val="28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Adjustments:</w:t>
            </w:r>
          </w:p>
        </w:tc>
        <w:tc>
          <w:tcPr>
            <w:tcW w:w="8020" w:type="dxa"/>
            <w:vAlign w:val="bottom"/>
          </w:tcPr>
          <w:p>
            <w:pPr>
              <w:spacing w:after="0"/>
              <w:rPr>
                <w:sz w:val="24"/>
                <w:szCs w:val="24"/>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32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Potential Adjustment Events:</w:t>
            </w: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 Extraordinary Dividend shall not constitute a Potential Adjustment Event. For the avoidance of</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doubt, a cash dividend on the Shares that differs from expected dividends as of the Trade Date</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shall not be a Potential Adjustment Event under Section 11.2(e)(vii) of the Equity Definitions with</w:t>
            </w:r>
          </w:p>
        </w:tc>
      </w:tr>
      <w:tr>
        <w:trPr>
          <w:trHeight w:val="234"/>
        </w:trPr>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respect to such Transaction.</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Dividend:</w:t>
            </w: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For any Transaction, any dividend or distribution on the Shares with an ex-dividend date occurring</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any day following the Trade Date (other than (i) any dividend or distribution of the type</w:t>
            </w:r>
          </w:p>
        </w:tc>
      </w:tr>
      <w:tr>
        <w:trPr>
          <w:trHeight w:val="216"/>
        </w:trPr>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described in Section 11.2(e)(i) or Section 11.2(e)(ii)(A) of the Equity Definitions or (ii) a regular,</w:t>
            </w:r>
          </w:p>
        </w:tc>
      </w:tr>
      <w:tr>
        <w:trPr>
          <w:trHeight w:val="234"/>
        </w:trPr>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quarterly cash dividend in an amount equal to or less than the</w:t>
            </w:r>
          </w:p>
        </w:tc>
      </w:tr>
      <w:tr>
        <w:trPr>
          <w:trHeight w:val="365"/>
        </w:trPr>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12</w:t>
            </w:r>
          </w:p>
        </w:tc>
      </w:tr>
    </w:tbl>
    <w:p>
      <w:pPr>
        <w:ind w:left="244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0" w:name="page51"/>
    <w:bookmarkEnd w:id="50"/>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Regular Dividend Amount for such calendar quarter for such Transaction that has an ex-dividend</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date no earlier than the Forward Price Reduction Date occurring in the relevant quarter for such</w:t>
            </w:r>
          </w:p>
        </w:tc>
      </w:t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Transaction).</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Dividend Amount:</w:t>
            </w: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For each Transaction and for each calendar quarter, the amount set forth under the heading</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“Regular Dividend Amount” in the Transaction Notice for such Transaction and for such calendar</w:t>
            </w:r>
          </w:p>
        </w:tc>
      </w:t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quarter, as specified in Schedule I to the Supplemental Confirmation for such Transaction.</w:t>
            </w:r>
          </w:p>
        </w:tc>
      </w:tr>
      <w:tr>
        <w:trPr>
          <w:trHeight w:val="32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Adjustment:</w:t>
            </w: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283"/>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Extraordinary Events:</w:t>
            </w:r>
          </w:p>
        </w:tc>
        <w:tc>
          <w:tcPr>
            <w:tcW w:w="8060" w:type="dxa"/>
            <w:vAlign w:val="bottom"/>
          </w:tcPr>
          <w:p>
            <w:pPr>
              <w:spacing w:after="0"/>
              <w:rPr>
                <w:sz w:val="24"/>
                <w:szCs w:val="24"/>
                <w:color w:val="auto"/>
              </w:rPr>
            </w:pPr>
          </w:p>
        </w:tc>
      </w:tr>
      <w:tr>
        <w:trPr>
          <w:trHeight w:val="326"/>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1180" w:type="dxa"/>
            <w:vAlign w:val="bottom"/>
          </w:tcPr>
          <w:p>
            <w:pPr>
              <w:spacing w:after="0"/>
              <w:rPr>
                <w:sz w:val="24"/>
                <w:szCs w:val="24"/>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consequences that would otherwise apply under Article 12 of the Equity Definitions to any</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applicable Extraordinary Event (excluding any Failure to Deliver, Increased Cost of Hedging,</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Increased Cost of Stock Borrow or any Extraordinary Event that also constitutes a Bankruptcy</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Termination Event, but including, for the avoidance of doubt, any other applicable Additional</w:t>
            </w:r>
          </w:p>
        </w:tc>
      </w:t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Disruption Event) shall not apply.</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Tender Offer:</w:t>
            </w: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12.1(d) of the Equity Definitions shall be amended by replacing</w:t>
            </w:r>
          </w:p>
        </w:tc>
      </w:t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reference therein to “10%” with a reference to “20%.”</w:t>
            </w:r>
          </w:p>
        </w:tc>
      </w:tr>
      <w:tr>
        <w:trPr>
          <w:trHeight w:val="30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Delisting:</w:t>
            </w: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In addition to the provisions of Section 12.6(a)(iii) of the Equity Definitions, it shall also constitute</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 Delisting if the Exchange is located in the United States and the Shares are not immediately</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re-listed, re-traded or re-quoted on any of the New York Stock Exchange, The NASDAQ Global</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Select Market or The NASDAQ Global Market (or their respective successors); if the Shares are</w:t>
            </w:r>
          </w:p>
        </w:tc>
      </w:tr>
      <w:tr>
        <w:trPr>
          <w:trHeight w:val="216"/>
        </w:trPr>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immediately re-listed, re-traded or re-quoted on any such exchange or quotation system, such</w:t>
            </w:r>
          </w:p>
        </w:tc>
      </w:tr>
      <w:tr>
        <w:trPr>
          <w:trHeight w:val="234"/>
        </w:trPr>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exchange or quotation system shall be deemed to be the Exchange.</w:t>
            </w:r>
          </w:p>
        </w:tc>
      </w:tr>
      <w:tr>
        <w:trPr>
          <w:trHeight w:val="365"/>
        </w:trPr>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13</w:t>
            </w:r>
          </w:p>
        </w:tc>
      </w:tr>
    </w:tbl>
    <w:p>
      <w:pPr>
        <w:ind w:left="2500"/>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Disruption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Disruption: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 of Hedging: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 of Stock Borrow:</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3"/>
        <w:spacing w:after="0" w:line="252"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any determination as to whether (i) the adoption of or any change in any applicable law or regulation (including, without limitation, any tax law) or (ii) the promulgation of or any change in or public announcement of the formal or informal interpretation by any court, tribunal or regulatory authority with competent jurisdiction of any applicable law or regulation (including any action taken by a taxing authority), in each case, constitutes a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Law</w:t>
      </w:r>
      <w:r>
        <w:rPr>
          <w:rFonts w:ascii="Times New Roman" w:cs="Times New Roman" w:eastAsia="Times New Roman" w:hAnsi="Times New Roman"/>
          <w:sz w:val="18"/>
          <w:szCs w:val="18"/>
          <w:color w:val="auto"/>
        </w:rPr>
        <w:t>” shall be made without regard to Section 739 of the Dodd-Frank Wall Street Reform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Consumer Protection Act of 2010 or any similar legal certainty provision in any legislation enacted, or rule or regulation promulgated, on or after the Trade Date, (B) Section 12.9(a)(ii) of the Equity Definitions is hereby amended (i) by adding the words “(including, for the avoidance of doubt and without limitation, adoption or promulgation of new regulations authorized or mandated by existing statute)” after the word “regulation” in the second line thereof and (ii) by replacing the words “the interpretation” with the words “or public announcement of any formal or informal interpretation” in the third line thereof and (C) the words ”, unless the illegality is due to an act or omission of the party seeking to elect termination of the Transaction with the intent to avoid its obligations under the terms of the Transaction” are added immediately following the word “Transaction” in the fifth line thereof;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Section 12.9(a)(ii) of the Equity Definitions is hereby amended by adding the phrase “and/or Hedge Position” after the word “Shares” in clause (X) thereof and adding the phrase “in the manner contemplated by the Hedging Party on the Trade Date” immediately following the word “Transaction” in clause (X)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-2908935</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Not Applicable</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12.9(b)(v) of the Equity Definitions shall be amended by</w:t>
      </w:r>
    </w:p>
    <w:p>
      <w:pPr>
        <w:spacing w:after="0" w:line="29" w:lineRule="exact"/>
        <w:rPr>
          <w:sz w:val="20"/>
          <w:szCs w:val="20"/>
          <w:color w:val="auto"/>
        </w:rPr>
      </w:pPr>
    </w:p>
    <w:p>
      <w:pPr>
        <w:ind w:left="3" w:right="80" w:hanging="3"/>
        <w:spacing w:after="0" w:line="253" w:lineRule="auto"/>
        <w:tabs>
          <w:tab w:leader="none" w:pos="2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clause (C) of the second sentence thereof and (ii) deleting the third, fourth and fifth sentences thereof. For the avoidance of doubt, upon the announcement of any event that, if consummated, would result in a Merger Event or Tender Offer, the term “</w:t>
      </w:r>
      <w:r>
        <w:rPr>
          <w:rFonts w:ascii="Times New Roman" w:cs="Times New Roman" w:eastAsia="Times New Roman" w:hAnsi="Times New Roman"/>
          <w:sz w:val="18"/>
          <w:szCs w:val="18"/>
          <w:b w:val="1"/>
          <w:bCs w:val="1"/>
          <w:color w:val="auto"/>
        </w:rPr>
        <w:t>rate to borrow Shares</w:t>
      </w:r>
      <w:r>
        <w:rPr>
          <w:rFonts w:ascii="Times New Roman" w:cs="Times New Roman" w:eastAsia="Times New Roman" w:hAnsi="Times New Roman"/>
          <w:sz w:val="18"/>
          <w:szCs w:val="18"/>
          <w:color w:val="auto"/>
        </w:rPr>
        <w:t>” as used in Section 12.9(a)(viii) of the Equity Definitions shall include any commercially</w:t>
      </w:r>
    </w:p>
    <w:p>
      <w:pPr>
        <w:spacing w:after="0" w:line="121" w:lineRule="exact"/>
        <w:rPr>
          <w:sz w:val="20"/>
          <w:szCs w:val="20"/>
          <w:color w:val="auto"/>
        </w:rPr>
      </w:pPr>
    </w:p>
    <w:p>
      <w:pPr>
        <w:ind w:left="15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2">
            <w:col w:w="3137" w:space="720"/>
            <w:col w:w="7143"/>
          </w:cols>
          <w:pgMar w:left="440" w:top="266" w:right="4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reasonable cost borne or amount payable by the Hedging Party in respect of maintaining or</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reestablishing its commercially reasonable hedge position with respect to the relevant Transaction,</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including, but not limited to, any assessment or other amount payable by the Hedging Party to a</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lender of Shares in respect of any merger or tender offer premium, as applicable.</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Stock Loan Rate:</w:t>
            </w: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0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of Stock Borrow:</w:t>
            </w: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12.9(b)(iv) of the Equity Definitions shall be amended by</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 deleting clause (A) of the first sentence thereof in its entirety and (ii) deleting the words</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“neither the Non-Hedging Party nor the Lending Party lends Shares in the amount of the Hedging</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Shares or” in the second sentence thereof.</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Stock Loan Rate:</w:t>
            </w: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all applicable Additional Disruption Events, Dealer</w:t>
            </w:r>
          </w:p>
        </w:tc>
      </w:tr>
      <w:tr>
        <w:trPr>
          <w:trHeight w:val="32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Determining Party:</w:t>
            </w: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all applicable Extraordinary Events, Dealer</w:t>
            </w:r>
          </w:p>
        </w:tc>
      </w:tr>
      <w:tr>
        <w:trPr>
          <w:trHeight w:val="283"/>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Early Valuation:</w:t>
            </w:r>
          </w:p>
        </w:tc>
        <w:tc>
          <w:tcPr>
            <w:tcW w:w="1660" w:type="dxa"/>
            <w:vAlign w:val="bottom"/>
          </w:tcPr>
          <w:p>
            <w:pPr>
              <w:spacing w:after="0"/>
              <w:rPr>
                <w:sz w:val="24"/>
                <w:szCs w:val="24"/>
                <w:color w:val="auto"/>
              </w:rPr>
            </w:pPr>
          </w:p>
        </w:tc>
        <w:tc>
          <w:tcPr>
            <w:tcW w:w="8060" w:type="dxa"/>
            <w:vAlign w:val="bottom"/>
          </w:tcPr>
          <w:p>
            <w:pPr>
              <w:spacing w:after="0"/>
              <w:rPr>
                <w:sz w:val="24"/>
                <w:szCs w:val="24"/>
                <w:color w:val="auto"/>
              </w:rPr>
            </w:pPr>
          </w:p>
        </w:tc>
      </w:tr>
      <w:tr>
        <w:trPr>
          <w:trHeight w:val="32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Valuation:</w:t>
            </w: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any Transaction, notwithstanding anything to the contrary herein, in the Agreement, in any</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Supplemental Confirmation or in the Equity Definitions, at any time (x) following the occurrence</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of a Hedging Event with respect to such Transaction, the declaration by Issuer of an Extraordinary</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Dividend, or an ISDA Event with respect to such Transaction or (y) if an Excess Section 13</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Ownership Position, an Excess NYSE Ownership Position or an Excess Regulatory Ownership</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Position exists, Dealer (or, in the case of such an ISDA Event that is an Event of Default or</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Termination Event, the party entitled to designate an Early Termination Date in respect of such</w:t>
            </w:r>
          </w:p>
        </w:tc>
      </w:tr>
      <w:tr>
        <w:trPr>
          <w:trHeight w:val="212"/>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event pursuant to Section 6 of the Agreement) shall have the right to designate any Scheduled</w:t>
            </w:r>
          </w:p>
        </w:tc>
      </w:tr>
      <w:tr>
        <w:trPr>
          <w:trHeight w:val="220"/>
        </w:trPr>
        <w:tc>
          <w:tcPr>
            <w:tcW w:w="1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Trading Day to be the “</w:t>
            </w:r>
            <w:r>
              <w:rPr>
                <w:rFonts w:ascii="Times New Roman" w:cs="Times New Roman" w:eastAsia="Times New Roman" w:hAnsi="Times New Roman"/>
                <w:sz w:val="18"/>
                <w:szCs w:val="18"/>
                <w:b w:val="1"/>
                <w:bCs w:val="1"/>
                <w:color w:val="auto"/>
              </w:rPr>
              <w:t>Early Valuation Date</w:t>
            </w:r>
            <w:r>
              <w:rPr>
                <w:rFonts w:ascii="Times New Roman" w:cs="Times New Roman" w:eastAsia="Times New Roman" w:hAnsi="Times New Roman"/>
                <w:sz w:val="18"/>
                <w:szCs w:val="18"/>
                <w:color w:val="auto"/>
              </w:rPr>
              <w:t>” for such Transaction, in which case the provisions</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set forth in this “Early Valuation” section shall apply to such Transaction, in the case of an Event</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of Default or Termination Event, in lieu of Section 6 of the Agreement. For the avoidance of doubt,</w:t>
            </w: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any amount calculated pursuant to this “Early Valuation” section as a result of an Extraordinary</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Dividend shall not be adjusted by the value associated with such Extraordinary Dividend.</w:t>
            </w:r>
          </w:p>
        </w:tc>
      </w:tr>
      <w:tr>
        <w:trPr>
          <w:trHeight w:val="364"/>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15</w:t>
            </w:r>
          </w:p>
        </w:tc>
      </w:tr>
    </w:tbl>
    <w:p>
      <w:pPr>
        <w:ind w:left="2480"/>
        <w:spacing w:after="0"/>
        <w:rPr>
          <w:sz w:val="20"/>
          <w:szCs w:val="20"/>
          <w:color w:val="auto"/>
        </w:rPr>
        <w:sectPr>
          <w:pgSz w:w="11900" w:h="16838" w:orient="portrait"/>
          <w:cols w:equalWidth="0" w:num="1">
            <w:col w:w="11000"/>
          </w:cols>
          <w:pgMar w:left="440" w:top="270"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3" w:name="page54"/>
    <w:bookmarkEnd w:id="53"/>
    <w:p>
      <w:pPr>
        <w:ind w:left="286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Dealer represents and warrants to and agrees with Counterparty that (i) based upon advice of counsel, Dealer (A) does not know of the existence on the Trade Date of an Excess Section 13 Ownership Position, an Excess NYSE Ownership Position or an Excess Regulatory Ownership Position and (B) based on reasonable internal inquiry in the ordinary course of Dealer’s business does not know on the Trade Date of any event or circumstance that will cause the occurrence of an Excess Section 13 Ownership Position, an Excess NYSE Ownership Position or an Excess Regulatory Ownership Position on any day during the term of each Transaction; and (ii) Dealer will not knowingly cause the occurrence of an Excess Section 13 Ownership Position, an Excess NYSE Ownership Position or an Excess Regulatory Ownership Position on any day during the term of any Transaction for the purpose, in whole or in part, of causing the occurrence of an Early Valuation Date.</w:t>
      </w:r>
    </w:p>
    <w:p>
      <w:pPr>
        <w:spacing w:after="0" w:line="97" w:lineRule="exact"/>
        <w:rPr>
          <w:sz w:val="20"/>
          <w:szCs w:val="20"/>
          <w:color w:val="auto"/>
        </w:rPr>
      </w:pPr>
    </w:p>
    <w:p>
      <w:pPr>
        <w:ind w:left="2860"/>
        <w:spacing w:after="0" w:line="256" w:lineRule="auto"/>
        <w:rPr>
          <w:sz w:val="20"/>
          <w:szCs w:val="20"/>
          <w:color w:val="auto"/>
        </w:rPr>
      </w:pPr>
      <w:r>
        <w:rPr>
          <w:rFonts w:ascii="Times New Roman" w:cs="Times New Roman" w:eastAsia="Times New Roman" w:hAnsi="Times New Roman"/>
          <w:sz w:val="18"/>
          <w:szCs w:val="18"/>
          <w:color w:val="auto"/>
        </w:rPr>
        <w:t xml:space="preserve">If an Early Valuation Date for a Transaction occurs on a date that is not during an Unwind Period for such Transaction, then such Early Valuation Date shall be a Valuation Date for a Physical Settlement of such Transaction, and the number of Settlement Shares for such Settlement shall be the Number of Shares on such Early Valuation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in its sole discretion permit Counterparty to elect Cash Settlement or Net Share Settlement in respect of such Transaction.</w:t>
      </w:r>
    </w:p>
    <w:p>
      <w:pPr>
        <w:spacing w:after="0" w:line="93" w:lineRule="exact"/>
        <w:rPr>
          <w:sz w:val="20"/>
          <w:szCs w:val="20"/>
          <w:color w:val="auto"/>
        </w:rPr>
      </w:pPr>
    </w:p>
    <w:p>
      <w:pPr>
        <w:ind w:left="2860" w:right="20"/>
        <w:spacing w:after="0" w:line="270" w:lineRule="auto"/>
        <w:rPr>
          <w:sz w:val="20"/>
          <w:szCs w:val="20"/>
          <w:color w:val="auto"/>
        </w:rPr>
      </w:pPr>
      <w:r>
        <w:rPr>
          <w:rFonts w:ascii="Times New Roman" w:cs="Times New Roman" w:eastAsia="Times New Roman" w:hAnsi="Times New Roman"/>
          <w:sz w:val="17"/>
          <w:szCs w:val="17"/>
          <w:color w:val="auto"/>
        </w:rPr>
        <w:t>If an Early Valuation Date for a Transaction occurs during an Unwind Period for such Transaction, then (i) (A) the last Unwind Date of such Unwind Period shall be deemed to be such Early Valuation Date, (B) a Settlement shall occur in respect of such Unwind Period, and the Settlement Method elected by Counterparty in respect of such Settlement shall apply, and (C) the number of Settlement Shares for such Settlement shall be the number of Unwound Shares for such Unwind Period on such Early Valuation Date, and (ii) (A) such Early Valuation Date shall be a Valuation Date for an additional Physical Settlement of such Transaction (provided that Dealer may in its sole discretion elect that the Settlement Method elected by Counterparty for the Settlement described in clause (i) of this sentence shall apply) and (B) the number of Settlement Shares for such additional Settlement shall be the number of Remaining Shares on such Early Valuation Date.</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00"/>
          </w:cols>
          <w:pgMar w:left="1440" w:top="270" w:right="459" w:bottom="1440" w:gutter="0" w:footer="0" w:header="0"/>
        </w:sectPr>
      </w:pPr>
    </w:p>
    <w:bookmarkStart w:id="54" w:name="page55"/>
    <w:bookmarkEnd w:id="54"/>
    <w:p>
      <w:pPr>
        <w:ind w:left="386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w:t>
      </w:r>
    </w:p>
    <w:p>
      <w:pPr>
        <w:sectPr>
          <w:pgSz w:w="11900" w:h="16838" w:orient="portrait"/>
          <w:cols w:equalWidth="0" w:num="1">
            <w:col w:w="10980"/>
          </w:cols>
          <w:pgMar w:left="440" w:top="270" w:right="47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ISDA Event: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 Any Event of Default or Termination Event, other than an Event of Default or Termination Event that also constitutes a Bankruptcy Termination Event, that gives rise to the right of either party to designate an Early Termination Date pursuant to Section 6 of the Agreement or (ii) the bona fide, public announcement of any event or transaction on or after the Trade Date that, if consummated, would result in a Merger Event, Tender Offer, Nationalization, Delisting or Change in Law, in each case, as determined by the Calculation Agent.</w:t>
      </w:r>
    </w:p>
    <w:p>
      <w:pPr>
        <w:spacing w:after="0" w:line="79"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Amendment to Merger Event:</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Section 12.1(b) of the Equity Definitions is hereby amended by deleting the remainder of such Section beginning with the words “in each case if the Merger Date is on or before” in the fourth to last line thereof.</w:t>
      </w:r>
    </w:p>
    <w:p>
      <w:pPr>
        <w:spacing w:after="0" w:line="68"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Hedging Event: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 respect of any Transaction, the occurrence of any of the following events on or following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 (i) (x) a Loss of Stock Borrow in connection with which Counterparty does not refer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Hedging Party to a Lending Party within the required time period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12.9(b)(iv) of the Equity Definitions or (y) a Hedging Disruption, (ii) an Increased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Borrow in connection with which Counterparty does not elect, and so notify the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of its election, in each case, within the required time period to either amend such Transaction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12.9(b)(v)(A) of the Equity Definitions or pay an amount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Calculation Agent that corresponds to the relevant Price Adjustment pursuant to Section 12.9(b)(v)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of the Equity Definitions or (iii) the occurrence of a Market Disruption Event during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Unwind Period for such Transaction and the continuance of such Market Disruption Event for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eight Scheduled Trading Days.</w:t>
      </w:r>
    </w:p>
    <w:p>
      <w:pPr>
        <w:spacing w:after="0" w:line="139"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Shares:</w:t>
            </w: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any Transaction, on any day, the Number of Shares for such Transaction as of such day (or, if</w:t>
            </w:r>
          </w:p>
        </w:tc>
      </w:tr>
      <w:tr>
        <w:trPr>
          <w:trHeight w:val="214"/>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day occurs during an Unwind Period for such Transaction, the Number of Shares for such</w:t>
            </w:r>
          </w:p>
        </w:tc>
      </w:tr>
      <w:tr>
        <w:trPr>
          <w:trHeight w:val="218"/>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Transaction as of such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Unwound Shares for such Transaction for such Unwind</w:t>
            </w:r>
          </w:p>
        </w:tc>
      </w:tr>
      <w:tr>
        <w:trPr>
          <w:trHeight w:val="234"/>
        </w:trPr>
        <w:tc>
          <w:tcPr>
            <w:tcW w:w="1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Period on such day).</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Unwound Shares:</w:t>
            </w: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any Transaction, for any Unwind Period in respect of such Transaction on any day, the</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number of Shares with respect to which Dealer has unwound its commercially</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reasonable hedge position in respect of such Transaction in connection with the related Settlement</w:t>
            </w:r>
          </w:p>
        </w:tc>
      </w:tr>
      <w:tr>
        <w:trPr>
          <w:trHeight w:val="234"/>
        </w:trPr>
        <w:tc>
          <w:tcPr>
            <w:tcW w:w="1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of such day.</w:t>
            </w:r>
          </w:p>
        </w:tc>
      </w:tr>
      <w:tr>
        <w:trPr>
          <w:trHeight w:val="28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Acknowledgements:</w:t>
            </w:r>
          </w:p>
        </w:tc>
        <w:tc>
          <w:tcPr>
            <w:tcW w:w="7340" w:type="dxa"/>
            <w:vAlign w:val="bottom"/>
          </w:tcPr>
          <w:p>
            <w:pPr>
              <w:spacing w:after="0"/>
              <w:rPr>
                <w:sz w:val="24"/>
                <w:szCs w:val="24"/>
                <w:color w:val="auto"/>
              </w:rPr>
            </w:pPr>
          </w:p>
        </w:tc>
      </w:tr>
      <w:tr>
        <w:trPr>
          <w:trHeight w:val="345"/>
        </w:trPr>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Non-Reliance:</w:t>
            </w:r>
          </w:p>
        </w:tc>
        <w:tc>
          <w:tcPr>
            <w:tcW w:w="2100" w:type="dxa"/>
            <w:vAlign w:val="bottom"/>
          </w:tcPr>
          <w:p>
            <w:pPr>
              <w:spacing w:after="0"/>
              <w:rPr>
                <w:sz w:val="24"/>
                <w:szCs w:val="24"/>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and Acknowledgements Regarding</w:t>
            </w: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Hedging Activities:</w:t>
            </w:r>
          </w:p>
        </w:tc>
        <w:tc>
          <w:tcPr>
            <w:tcW w:w="7340" w:type="dxa"/>
            <w:vAlign w:val="bottom"/>
          </w:tcPr>
          <w:p>
            <w:pPr>
              <w:spacing w:after="0"/>
              <w:rPr>
                <w:sz w:val="20"/>
                <w:szCs w:val="20"/>
                <w:color w:val="auto"/>
              </w:rPr>
            </w:pPr>
          </w:p>
        </w:tc>
      </w:tr>
      <w:tr>
        <w:trPr>
          <w:trHeight w:val="32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Acknowledgements:</w:t>
            </w: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w:t>
            </w:r>
          </w:p>
        </w:tc>
      </w:tr>
      <w:tr>
        <w:trPr>
          <w:trHeight w:val="30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Notwithstanding anything to the contrary in the Agreement, Dealer may assign, transfer and set</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 all rights, title and interest, powers, privileges and remedies of Dealer under any Transaction,</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whole or in part, to (a) an affiliate of Dealer whose obligation is guaranteed by [Dealer/Dealer</w:t>
            </w:r>
          </w:p>
        </w:tc>
      </w:tr>
      <w:tr>
        <w:trPr>
          <w:trHeight w:val="214"/>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Parent] or (b) any other affiliate of Dealer with a long-term issuer rating equal to or better than the</w:t>
            </w:r>
          </w:p>
        </w:tc>
      </w:tr>
      <w:tr>
        <w:trPr>
          <w:trHeight w:val="218"/>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 xml:space="preserve">credit rating of Dealer at the time of transfer without the consent of Counterparty;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at</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all times, Dealer or any transferee or assignee or other recipient of rights, title and interest, powers,</w:t>
            </w:r>
          </w:p>
        </w:tc>
      </w:tr>
      <w:tr>
        <w:trPr>
          <w:trHeight w:val="214"/>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privileges and remedies shall be eligible to provide a U.S. Internal Revenue Service Form W-9 or</w:t>
            </w:r>
          </w:p>
        </w:tc>
      </w:tr>
      <w:tr>
        <w:trPr>
          <w:trHeight w:val="218"/>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W-8ECI with respect to any payments or deliveries under the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 Counterparty will neither (1) be required to pay, nor is there a material likelihood that it would</w:t>
            </w:r>
          </w:p>
        </w:tc>
      </w:tr>
      <w:tr>
        <w:trPr>
          <w:trHeight w:val="216"/>
        </w:trPr>
        <w:tc>
          <w:tcPr>
            <w:tcW w:w="1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 required to pay, an additional amount in respect of an Indemnifiable Tax under Section 2(d)(i)</w:t>
            </w:r>
          </w:p>
        </w:tc>
      </w:tr>
      <w:tr>
        <w:trPr>
          <w:trHeight w:val="234"/>
        </w:trPr>
        <w:tc>
          <w:tcPr>
            <w:tcW w:w="1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 of the Agreement, nor (2) receive a payment, nor is there.</w:t>
            </w:r>
          </w:p>
        </w:tc>
      </w:tr>
      <w:tr>
        <w:trPr>
          <w:trHeight w:val="364"/>
        </w:trPr>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3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18</w:t>
            </w:r>
          </w:p>
        </w:tc>
      </w:tr>
    </w:tbl>
    <w:p>
      <w:pPr>
        <w:ind w:left="1780"/>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 Payment Instructions: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 Payment Instructions: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Counterparty’s Contact Details for Purpose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Notice: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Dealer’s Contact Details for Purpose of Giving Notice:</w:t>
      </w:r>
    </w:p>
    <w:p>
      <w:pPr>
        <w:spacing w:after="0" w:line="20" w:lineRule="exact"/>
        <w:rPr>
          <w:sz w:val="20"/>
          <w:szCs w:val="20"/>
          <w:color w:val="auto"/>
        </w:rPr>
      </w:pPr>
      <w:r>
        <w:rPr>
          <w:sz w:val="20"/>
          <w:szCs w:val="20"/>
          <w:color w:val="auto"/>
        </w:rPr>
        <w:br w:type="column"/>
      </w:r>
    </w:p>
    <w:p>
      <w:pPr>
        <w:ind w:left="3" w:right="80"/>
        <w:spacing w:after="0" w:line="257" w:lineRule="auto"/>
        <w:rPr>
          <w:sz w:val="20"/>
          <w:szCs w:val="20"/>
          <w:color w:val="auto"/>
        </w:rPr>
      </w:pPr>
      <w:r>
        <w:rPr>
          <w:rFonts w:ascii="Times New Roman" w:cs="Times New Roman" w:eastAsia="Times New Roman" w:hAnsi="Times New Roman"/>
          <w:sz w:val="18"/>
          <w:szCs w:val="18"/>
          <w:color w:val="auto"/>
        </w:rPr>
        <w:t>a material likelihood that it would receive a payment, from which an amount has been deducted or withheld for or on account of any Indemnifiable Tax in respect of which the other party is not required to pay an additional amount, in either case as a result of such transfer or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-504190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 w:right="360" w:hanging="3"/>
        <w:spacing w:after="0" w:line="260" w:lineRule="auto"/>
        <w:tabs>
          <w:tab w:leader="none" w:pos="2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Potential Event of Default shall have occurred with respect to either party solely as a result of such transfer and assignment</w:t>
      </w:r>
    </w:p>
    <w:p>
      <w:pPr>
        <w:spacing w:after="0" w:line="7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an Event of Default pursuant to</w:t>
      </w:r>
    </w:p>
    <w:p>
      <w:pPr>
        <w:spacing w:after="0" w:line="29" w:lineRule="exact"/>
        <w:rPr>
          <w:sz w:val="20"/>
          <w:szCs w:val="20"/>
          <w:color w:val="auto"/>
        </w:rPr>
      </w:pPr>
    </w:p>
    <w:p>
      <w:pPr>
        <w:ind w:left="3" w:right="140"/>
        <w:spacing w:after="0" w:line="253" w:lineRule="auto"/>
        <w:rPr>
          <w:sz w:val="20"/>
          <w:szCs w:val="20"/>
          <w:color w:val="auto"/>
        </w:rPr>
      </w:pPr>
      <w:r>
        <w:rPr>
          <w:rFonts w:ascii="Times New Roman" w:cs="Times New Roman" w:eastAsia="Times New Roman" w:hAnsi="Times New Roman"/>
          <w:sz w:val="18"/>
          <w:szCs w:val="18"/>
          <w:color w:val="auto"/>
        </w:rPr>
        <w:t>Section 5(a) (vii) of the Agreement with respect to which Dealer is the sole Defaulting Party, Counterparty shall have the right to select a leading dealer in the market for U.S. corporate equity derivatives to replace Dealer as Calculation Agent, and the parties shall work in good faith to execute any appropriate documentation required by such replacement Calculation Agent.</w:t>
      </w:r>
    </w:p>
    <w:p>
      <w:pPr>
        <w:spacing w:after="0" w:line="94"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8"/>
          <w:szCs w:val="18"/>
          <w:color w:val="auto"/>
        </w:rPr>
        <w:t xml:space="preserve">All calculations and determinations made by the Calculation Agent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any determination or calculation by the Calculation Agent hereunder, upon a written request by Counterparty, the Calculation Agent will, within a commercially reasonable period of time following such request, provide to Counterparty by email to the email address provided by Counterparty in such written request a report (in a commonly used file format for the storage and manipulation of financial data) displaying in reasonable detail the basis for such determination or calculation, as the case may be;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Dealer shall not be required to disclose any proprietary or confidential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of Dealer or any information that is proprietary or subject to contractual, legal or regulatory obligations to not disclose such information.</w:t>
      </w:r>
    </w:p>
    <w:p>
      <w:pPr>
        <w:spacing w:after="0" w:line="1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117" w:lineRule="exact"/>
        <w:rPr>
          <w:sz w:val="20"/>
          <w:szCs w:val="20"/>
          <w:color w:val="auto"/>
        </w:rPr>
      </w:pPr>
    </w:p>
    <w:p>
      <w:pPr>
        <w:ind w:left="3"/>
        <w:spacing w:after="0"/>
        <w:tabs>
          <w:tab w:leader="none" w:pos="262" w:val="left"/>
        </w:tabs>
        <w:rPr>
          <w:sz w:val="20"/>
          <w:szCs w:val="20"/>
          <w:color w:val="auto"/>
        </w:rPr>
      </w:pPr>
      <w:r>
        <w:rPr>
          <w:rFonts w:ascii="Times New Roman" w:cs="Times New Roman" w:eastAsia="Times New Roman" w:hAnsi="Times New Roman"/>
          <w:sz w:val="18"/>
          <w:szCs w:val="18"/>
          <w:color w:val="auto"/>
        </w:rPr>
        <w:t>[ </w:t>
        <w:tab/>
        <w:t>]</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333" w:lineRule="exact"/>
        <w:rPr>
          <w:sz w:val="20"/>
          <w:szCs w:val="20"/>
          <w:color w:val="auto"/>
        </w:rPr>
      </w:pPr>
    </w:p>
    <w:p>
      <w:pPr>
        <w:ind w:left="3"/>
        <w:spacing w:after="0"/>
        <w:tabs>
          <w:tab w:leader="none" w:pos="262" w:val="left"/>
        </w:tabs>
        <w:rPr>
          <w:sz w:val="20"/>
          <w:szCs w:val="20"/>
          <w:color w:val="auto"/>
        </w:rPr>
      </w:pPr>
      <w:r>
        <w:rPr>
          <w:rFonts w:ascii="Times New Roman" w:cs="Times New Roman" w:eastAsia="Times New Roman" w:hAnsi="Times New Roman"/>
          <w:sz w:val="18"/>
          <w:szCs w:val="18"/>
          <w:color w:val="auto"/>
        </w:rPr>
        <w:t>[ </w:t>
        <w:tab/>
        <w:t>]</w:t>
      </w:r>
    </w:p>
    <w:p>
      <w:pPr>
        <w:spacing w:after="0" w:line="131" w:lineRule="exact"/>
        <w:rPr>
          <w:sz w:val="20"/>
          <w:szCs w:val="20"/>
          <w:color w:val="auto"/>
        </w:rPr>
      </w:pPr>
    </w:p>
    <w:p>
      <w:pPr>
        <w:ind w:left="3"/>
        <w:spacing w:after="0"/>
        <w:tabs>
          <w:tab w:leader="none" w:pos="262" w:val="left"/>
        </w:tabs>
        <w:rPr>
          <w:sz w:val="20"/>
          <w:szCs w:val="20"/>
          <w:color w:val="auto"/>
        </w:rPr>
      </w:pPr>
      <w:r>
        <w:rPr>
          <w:rFonts w:ascii="Times New Roman" w:cs="Times New Roman" w:eastAsia="Times New Roman" w:hAnsi="Times New Roman"/>
          <w:sz w:val="18"/>
          <w:szCs w:val="18"/>
          <w:color w:val="auto"/>
        </w:rPr>
        <w:t>[ </w:t>
        <w:tab/>
        <w:t>]</w:t>
      </w:r>
    </w:p>
    <w:p>
      <w:pPr>
        <w:spacing w:after="0" w:line="131" w:lineRule="exact"/>
        <w:rPr>
          <w:sz w:val="20"/>
          <w:szCs w:val="20"/>
          <w:color w:val="auto"/>
        </w:rPr>
      </w:pPr>
    </w:p>
    <w:p>
      <w:pPr>
        <w:ind w:left="3"/>
        <w:spacing w:after="0"/>
        <w:tabs>
          <w:tab w:leader="none" w:pos="262" w:val="left"/>
        </w:tabs>
        <w:rPr>
          <w:sz w:val="20"/>
          <w:szCs w:val="20"/>
          <w:color w:val="auto"/>
        </w:rPr>
      </w:pPr>
      <w:r>
        <w:rPr>
          <w:rFonts w:ascii="Times New Roman" w:cs="Times New Roman" w:eastAsia="Times New Roman" w:hAnsi="Times New Roman"/>
          <w:sz w:val="18"/>
          <w:szCs w:val="18"/>
          <w:color w:val="auto"/>
        </w:rPr>
        <w:t>[ </w:t>
        <w:tab/>
        <w:t>]</w:t>
      </w:r>
    </w:p>
    <w:p>
      <w:pPr>
        <w:spacing w:after="0" w:line="131" w:lineRule="exact"/>
        <w:rPr>
          <w:sz w:val="20"/>
          <w:szCs w:val="20"/>
          <w:color w:val="auto"/>
        </w:rPr>
      </w:pPr>
    </w:p>
    <w:p>
      <w:pPr>
        <w:ind w:left="3"/>
        <w:spacing w:after="0"/>
        <w:tabs>
          <w:tab w:leader="none" w:pos="1042" w:val="left"/>
        </w:tabs>
        <w:rPr>
          <w:sz w:val="20"/>
          <w:szCs w:val="20"/>
          <w:color w:val="auto"/>
        </w:rPr>
      </w:pPr>
      <w:r>
        <w:rPr>
          <w:rFonts w:ascii="Times New Roman" w:cs="Times New Roman" w:eastAsia="Times New Roman" w:hAnsi="Times New Roman"/>
          <w:sz w:val="18"/>
          <w:szCs w:val="18"/>
          <w:color w:val="auto"/>
        </w:rPr>
        <w:t>Attention: [ </w:t>
        <w:tab/>
        <w:t>]</w:t>
      </w:r>
    </w:p>
    <w:p>
      <w:pPr>
        <w:spacing w:after="0" w:line="131" w:lineRule="exact"/>
        <w:rPr>
          <w:sz w:val="20"/>
          <w:szCs w:val="20"/>
          <w:color w:val="auto"/>
        </w:rPr>
      </w:pPr>
    </w:p>
    <w:p>
      <w:pPr>
        <w:ind w:left="3"/>
        <w:spacing w:after="0"/>
        <w:tabs>
          <w:tab w:leader="none" w:pos="802" w:val="left"/>
        </w:tabs>
        <w:rPr>
          <w:sz w:val="20"/>
          <w:szCs w:val="20"/>
          <w:color w:val="auto"/>
        </w:rPr>
      </w:pPr>
      <w:r>
        <w:rPr>
          <w:rFonts w:ascii="Times New Roman" w:cs="Times New Roman" w:eastAsia="Times New Roman" w:hAnsi="Times New Roman"/>
          <w:sz w:val="18"/>
          <w:szCs w:val="18"/>
          <w:color w:val="auto"/>
        </w:rPr>
        <w:t>Phone: [ </w:t>
        <w:tab/>
        <w:t>]</w:t>
      </w:r>
    </w:p>
    <w:p>
      <w:pPr>
        <w:spacing w:after="0" w:line="131" w:lineRule="exact"/>
        <w:rPr>
          <w:sz w:val="20"/>
          <w:szCs w:val="20"/>
          <w:color w:val="auto"/>
        </w:rPr>
      </w:pPr>
    </w:p>
    <w:p>
      <w:pPr>
        <w:ind w:left="3"/>
        <w:spacing w:after="0"/>
        <w:tabs>
          <w:tab w:leader="none" w:pos="882" w:val="left"/>
        </w:tabs>
        <w:rPr>
          <w:sz w:val="20"/>
          <w:szCs w:val="20"/>
          <w:color w:val="auto"/>
        </w:rPr>
      </w:pPr>
      <w:r>
        <w:rPr>
          <w:rFonts w:ascii="Times New Roman" w:cs="Times New Roman" w:eastAsia="Times New Roman" w:hAnsi="Times New Roman"/>
          <w:sz w:val="18"/>
          <w:szCs w:val="18"/>
          <w:color w:val="auto"/>
        </w:rPr>
        <w:t>Mobile: [ </w:t>
        <w:tab/>
        <w:t>]</w:t>
      </w:r>
    </w:p>
    <w:p>
      <w:pPr>
        <w:spacing w:after="0" w:line="131" w:lineRule="exact"/>
        <w:rPr>
          <w:sz w:val="20"/>
          <w:szCs w:val="20"/>
          <w:color w:val="auto"/>
        </w:rPr>
      </w:pPr>
    </w:p>
    <w:p>
      <w:pPr>
        <w:ind w:left="3"/>
        <w:spacing w:after="0"/>
        <w:tabs>
          <w:tab w:leader="none" w:pos="782" w:val="left"/>
        </w:tabs>
        <w:rPr>
          <w:sz w:val="20"/>
          <w:szCs w:val="20"/>
          <w:color w:val="auto"/>
        </w:rPr>
      </w:pPr>
      <w:r>
        <w:rPr>
          <w:rFonts w:ascii="Times New Roman" w:cs="Times New Roman" w:eastAsia="Times New Roman" w:hAnsi="Times New Roman"/>
          <w:sz w:val="18"/>
          <w:szCs w:val="18"/>
          <w:color w:val="auto"/>
        </w:rPr>
        <w:t>Email: [ </w:t>
        <w:tab/>
        <w:t>]</w:t>
      </w:r>
    </w:p>
    <w:p>
      <w:pPr>
        <w:spacing w:after="0" w:line="171" w:lineRule="exact"/>
        <w:rPr>
          <w:sz w:val="20"/>
          <w:szCs w:val="20"/>
          <w:color w:val="auto"/>
        </w:rPr>
      </w:pPr>
    </w:p>
    <w:p>
      <w:pPr>
        <w:ind w:left="15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3380" w:space="477"/>
            <w:col w:w="7163"/>
          </w:cols>
          <w:pgMar w:left="440" w:top="270" w:right="439" w:bottom="1440" w:gutter="0" w:footer="0" w:header="0"/>
        </w:sectPr>
      </w:pPr>
    </w:p>
    <w:bookmarkStart w:id="57" w:name="page58"/>
    <w:bookmarkEnd w:id="57"/>
    <w:p>
      <w:pPr>
        <w:ind w:left="184" w:hanging="184"/>
        <w:spacing w:after="0"/>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effectiveness of each Supplemental Confirmation and the related Transaction on the Effective Date for such Supplemental Confirmation shall be subject to the following conditions:</w:t>
      </w:r>
    </w:p>
    <w:p>
      <w:pPr>
        <w:spacing w:after="0" w:line="54" w:lineRule="exact"/>
        <w:rPr>
          <w:sz w:val="20"/>
          <w:szCs w:val="20"/>
          <w:color w:val="auto"/>
        </w:rPr>
      </w:pPr>
    </w:p>
    <w:p>
      <w:pPr>
        <w:ind w:left="4" w:firstLine="436"/>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Counterparty contained in the Underwriting Agreement, and any certificate delivered pursuant thereto by Counterparty shall be true and correct on such Effective Date as if made as of such Effective Date;</w:t>
      </w:r>
    </w:p>
    <w:p>
      <w:pPr>
        <w:spacing w:after="0" w:line="16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performed all of the obligations required to be performed by it under the Underwriting Agreement on or prior to such Effective Date;</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set forth in Section 7 of the Underwriting Agreement shall have been satisfied;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Counterparty hereunder and under the Agreement shall be true and correct on such Effective Date as if made as of such Effective Date;</w:t>
      </w:r>
    </w:p>
    <w:p>
      <w:pPr>
        <w:spacing w:after="0" w:line="161"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performed all of the obligations required to be performed by it hereunder and under the Agreement on or prior to such Effective Date, including without limitation its obligations under Section 6 hereof; and</w:t>
      </w:r>
    </w:p>
    <w:p>
      <w:pPr>
        <w:spacing w:after="0" w:line="161"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delivered to Dealer on or prior to the Trade Date an opinion of counsel in form and substance reasonably satisfactory to Dealer, with respect to the matters set forth in Section 3(a) of the Agreement and that the maximum number of Shares initially issuable under such Transaction have been duly authorized and, upon issuance pursuant to the terms of such Transaction, will be validly issued, fully paid and nonassessable.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the foregoing or any other provision of this Master Confirmation or any Supplemental Confirmation, if in respect of any Transaction</w:t>
      </w:r>
    </w:p>
    <w:p>
      <w:pPr>
        <w:spacing w:after="0" w:line="27" w:lineRule="exact"/>
        <w:rPr>
          <w:sz w:val="20"/>
          <w:szCs w:val="20"/>
          <w:color w:val="auto"/>
        </w:rPr>
      </w:pPr>
    </w:p>
    <w:p>
      <w:pPr>
        <w:ind w:left="4" w:right="60" w:hanging="4"/>
        <w:spacing w:after="0" w:line="253"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10:00 a.m., New York City time, on any Settlement Date (as defined in the Underwriting Agreement), in connection with establishing its commercially reasonable hedge position in respect of such Transaction, Dealer, in its sole commercially reasonable judgment, is unable, after using commercially reasonable efforts, to borrow and deliver for sale the full number of Shares to be borrowed and sold pursuant to the Underwriting Agreement on such Settlement Date or (y) in Dealer’s commercially reasonable judgment, it would incur a stock loan cost of more than a rate equal to the Maximum Stock Loan Rate for such Transaction with respect to all or any portion of such full</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4"/>
          </w:cols>
          <w:pgMar w:left="436" w:top="270" w:right="519" w:bottom="1440" w:gutter="0" w:footer="0" w:header="0"/>
        </w:sectPr>
      </w:pPr>
    </w:p>
    <w:bookmarkStart w:id="58" w:name="page59"/>
    <w:bookmarkEnd w:id="58"/>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the effectiveness of the related Supplemental Confirmation and such Transaction shall be limited to the number of Shares Dealer is so able to borrow in connection with establishing its commercially reasonable hedge position of such Transaction at a cost of not more than a rate equal to the Maximum Stock Loan Rate for such Transaction, which, for the avoidance of doubt, may be zero.</w:t>
      </w:r>
    </w:p>
    <w:p>
      <w:pPr>
        <w:spacing w:after="0" w:line="176" w:lineRule="exact"/>
        <w:rPr>
          <w:sz w:val="20"/>
          <w:szCs w:val="20"/>
          <w:color w:val="auto"/>
        </w:rPr>
      </w:pPr>
    </w:p>
    <w:p>
      <w:pPr>
        <w:ind w:left="4" w:right="20" w:hanging="4"/>
        <w:spacing w:after="0" w:line="261" w:lineRule="auto"/>
        <w:tabs>
          <w:tab w:leader="none" w:pos="18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Mutual Representations and Warranties</w:t>
      </w:r>
      <w:r>
        <w:rPr>
          <w:rFonts w:ascii="Times New Roman" w:cs="Times New Roman" w:eastAsia="Times New Roman" w:hAnsi="Times New Roman"/>
          <w:sz w:val="18"/>
          <w:szCs w:val="18"/>
          <w:color w:val="auto"/>
        </w:rPr>
        <w:t>. In addition to the representations and warranties in the Agreement, each party represents and warrants to the other party that it is an “eligible contract participant”, as defined in the U.S. Commodity Exchange Act (as amended), and an “accredited investor” as defined in Section 2(a)(15)(ii)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is entering into each Transaction hereunder as principal and not for the benefit of any third party.</w:t>
      </w:r>
    </w:p>
    <w:p>
      <w:pPr>
        <w:spacing w:after="0" w:line="179" w:lineRule="exact"/>
        <w:rPr>
          <w:rFonts w:ascii="Times New Roman" w:cs="Times New Roman" w:eastAsia="Times New Roman" w:hAnsi="Times New Roman"/>
          <w:sz w:val="18"/>
          <w:szCs w:val="18"/>
          <w:color w:val="auto"/>
        </w:rPr>
      </w:pPr>
    </w:p>
    <w:p>
      <w:pPr>
        <w:ind w:left="4" w:right="100" w:hanging="4"/>
        <w:spacing w:after="0" w:line="258" w:lineRule="auto"/>
        <w:tabs>
          <w:tab w:leader="none" w:pos="18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Warranties of Counterparty</w:t>
      </w:r>
      <w:r>
        <w:rPr>
          <w:rFonts w:ascii="Times New Roman" w:cs="Times New Roman" w:eastAsia="Times New Roman" w:hAnsi="Times New Roman"/>
          <w:sz w:val="18"/>
          <w:szCs w:val="18"/>
          <w:color w:val="auto"/>
        </w:rPr>
        <w:t>. The representations and warranties of Counterparty set forth in Section 1 of the Underwriting Agreement are true and correct as of the date hereof, the Closing Date and any Option Closing Date (each as defined in the Underwriting Agreement) and each Trade Date for any Transaction and are hereby deemed to be repeated to Dealer as if set forth herein. In addition to the representations and warranties in Section 1 of the Underwriting Agreement, the Agreement and those contained elsewhere herein, Counterparty represents and warrants to Dealer, and agrees with Dealer, that:</w:t>
      </w:r>
    </w:p>
    <w:p>
      <w:pPr>
        <w:spacing w:after="0" w:line="75"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it acknowledges that Dealer is not making any representations or warranties with respect to the treatment of any Transaction, including without limitation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ASC Topic 480,</w:t>
      </w:r>
      <w:r>
        <w:rPr>
          <w:rFonts w:ascii="Times New Roman" w:cs="Times New Roman" w:eastAsia="Times New Roman" w:hAnsi="Times New Roman"/>
          <w:sz w:val="18"/>
          <w:szCs w:val="18"/>
          <w:i w:val="1"/>
          <w:iCs w:val="1"/>
          <w:color w:val="auto"/>
        </w:rPr>
        <w:t xml:space="preserve"> Distinguishing Liabilities from Equity</w:t>
      </w:r>
      <w:r>
        <w:rPr>
          <w:rFonts w:ascii="Times New Roman" w:cs="Times New Roman" w:eastAsia="Times New Roman" w:hAnsi="Times New Roman"/>
          <w:sz w:val="18"/>
          <w:szCs w:val="18"/>
          <w:color w:val="auto"/>
        </w:rPr>
        <w:t>, ASC 815-40,</w:t>
      </w:r>
      <w:r>
        <w:rPr>
          <w:rFonts w:ascii="Times New Roman" w:cs="Times New Roman" w:eastAsia="Times New Roman" w:hAnsi="Times New Roman"/>
          <w:sz w:val="18"/>
          <w:szCs w:val="18"/>
          <w:i w:val="1"/>
          <w:iCs w:val="1"/>
          <w:color w:val="auto"/>
        </w:rPr>
        <w:t xml:space="preserve"> Derivatives and Hedging—Contracts in Entitys’ Own Equity </w:t>
      </w:r>
      <w:r>
        <w:rPr>
          <w:rFonts w:ascii="Times New Roman" w:cs="Times New Roman" w:eastAsia="Times New Roman" w:hAnsi="Times New Roman"/>
          <w:sz w:val="18"/>
          <w:szCs w:val="18"/>
          <w:color w:val="auto"/>
        </w:rPr>
        <w:t>(or any successor issue statements) or under the Financial Accounting Standards Board’s Liabilities &amp; Equity Project;</w:t>
      </w:r>
    </w:p>
    <w:p>
      <w:pPr>
        <w:spacing w:after="0" w:line="179" w:lineRule="exact"/>
        <w:rPr>
          <w:rFonts w:ascii="Times New Roman" w:cs="Times New Roman" w:eastAsia="Times New Roman" w:hAnsi="Times New Roman"/>
          <w:sz w:val="18"/>
          <w:szCs w:val="18"/>
          <w:color w:val="auto"/>
        </w:rPr>
      </w:pPr>
    </w:p>
    <w:p>
      <w:pPr>
        <w:jc w:val="both"/>
        <w:ind w:left="4" w:right="120" w:firstLine="436"/>
        <w:spacing w:after="0" w:line="266" w:lineRule="auto"/>
        <w:tabs>
          <w:tab w:leader="none" w:pos="69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shall not take any action to reduce or decrease the number of authorized and unissued Shares below the sum of (i) the aggregate Number of Shares across all Transactions hereunder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total number of Shares issuable upon settlement (whether by net share settlement or otherwise) of any other transaction or agreement to which it is a party;</w:t>
      </w:r>
    </w:p>
    <w:p>
      <w:pPr>
        <w:spacing w:after="0" w:line="175"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repurchase any Shares if, immediately following such repurchase, the aggregate Number of Shares across all Transactions hereunder would be equal to or greater than 4.5% of the number of then-outstanding Shares and it will notify Dealer promptly upon the announcement or consummation of any repurchase of Shares in an amount that, taken together with the amount of all repurchases since the date of the last such notice (or, if no such notice has been given, since the Trade Date), exceeds 0.5% of the number of then-outstanding Shares;</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entering into this Master Confirmation or any Supplemental Confirmation to create actual or apparent trading activity in the Shares (or any security convertible into or exchangeable for Shares), or to raise or depress or otherwise manipulate the price of the Shares (or any security convertible into or exchangeable for Shares) for the purpose of inducing the purchase or sale of the Shares (or any security convertible into or exchangeable for Shares) by others;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59" w:name="page60"/>
    <w:bookmarkEnd w:id="59"/>
    <w:p>
      <w:pPr>
        <w:ind w:left="4" w:right="220" w:firstLine="436"/>
        <w:spacing w:after="0" w:line="258" w:lineRule="auto"/>
        <w:tabs>
          <w:tab w:leader="none" w:pos="68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not aware of any material non-public information regarding itself or the Shares; it is entering into this Master Confirmation and each Supplemental Confirmation and will provide any Settlement Notice in good faith and not as part of a plan or scheme to evade compliance with Rule 10b-5 or any other provision of the federal securities laws; it has not entered into or altered any hedging transaction relating to the Shares corresponding to or offsetting any Transaction; and it has consulted with its own advisors as to the legal aspects of its adoption and implementation of this Master Confirmation and each Supplemental Confirmation under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6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and the Trade Date for each Transaction no state or local (including, to the best of Counterparty’s knowledge,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such representation or warranty regarding any such requirement that is applicable generally to the ownership of equity securities by Dealer;</w:t>
      </w:r>
    </w:p>
    <w:p>
      <w:pPr>
        <w:spacing w:after="0" w:line="183"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Trade Date for each Transaction and the date of any payment or delivery by Counterparty or Dealer under any Transaction, it is not and will not be “insolvent” (as such term is defined under Section 101(32) of the Bankruptcy Code);</w:t>
      </w:r>
    </w:p>
    <w:p>
      <w:pPr>
        <w:spacing w:after="0" w:line="161"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6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as of the date hereof, and on the Trade Date for each Transaction and after giving effect to the transactions contemplated hereby and by each Supplemental Confirmation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5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the Trade Date for each Transaction it: (i) is an “institutional account” as defined in FINRA Rule 4512(c); and (ii) is capable of evaluating investment risks independently, both in general and with regard to all transactions and investment strategies involving a security or securities, and will exercise independent judgment in evaluating any recommendations of Dealer or its associated persons; and</w:t>
      </w:r>
    </w:p>
    <w:p>
      <w:pPr>
        <w:spacing w:after="0" w:line="17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UNDERSTANDS AS OF THE DATE HEREOF AND AS OF THE TRADE DATE FOR EACH TRANSACTION THAT EACH</w:t>
      </w:r>
    </w:p>
    <w:p>
      <w:pPr>
        <w:spacing w:after="0" w:line="27" w:lineRule="exact"/>
        <w:rPr>
          <w:rFonts w:ascii="Times New Roman" w:cs="Times New Roman" w:eastAsia="Times New Roman" w:hAnsi="Times New Roman"/>
          <w:sz w:val="18"/>
          <w:szCs w:val="18"/>
          <w:color w:val="auto"/>
        </w:rPr>
      </w:pPr>
    </w:p>
    <w:p>
      <w:pPr>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IS SUBJECT TO COMPLEX RISKS WHICH MAY ARISE WITHOUT WARNING AND MAY AT TIMES BE VOLATILE AND THAT LOSSES MAY OCCUR QUICKLY AND IN UNANTICIPATED MAGNITUDE AND IS WILLING TO ACCEPT SUCH TERMS AND CONDITIONS AND ASSUME (FINANCIALLY AND OTHERWISE) SUCH RISKS.</w:t>
      </w:r>
    </w:p>
    <w:p>
      <w:pPr>
        <w:spacing w:after="0" w:line="18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 of Counterparty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and agrees that any Shares delivered by Counterparty to Dealer on any Settlement Date or Net Share Settlement Date for any Transaction will be (i) newly issued, (ii) approved for listing or quotation on the Exchange, subject to official notice of issuance, and (iii) registered under the Exchange Act, and, when delivered by Dealer (or an affiliate of Dealer) to securities lenders from whom Dealer (or an affiliate of Dealer) borrowed Shares in connection with hedging its exposure to such Transaction, will be freely saleable without further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60" w:name="page61"/>
    <w:bookmarkEnd w:id="6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or other restrictions under the Securities Act in the hands of those securities lenders, irrespective of whether any such stock loan is effected by Dealer or an affiliate of Dealer. Accordingly, Counterparty agrees that any Shares so delivered will not bear a restrictive legend and will be deposited in, and the delivery thereof shall be effected through the facilities of, the Clearance System. In addition, Counterparty represents and agrees that any such Shares shall be, upon such delivery, duly and validly authorized, issued and outstanding, fully paid and nonassessable, free of any lien, charge, claim or other encumbrance.</w:t>
      </w:r>
    </w:p>
    <w:p>
      <w:pPr>
        <w:spacing w:after="0" w:line="183" w:lineRule="exact"/>
        <w:rPr>
          <w:sz w:val="20"/>
          <w:szCs w:val="20"/>
          <w:color w:val="auto"/>
        </w:rPr>
      </w:pPr>
    </w:p>
    <w:p>
      <w:pPr>
        <w:ind w:right="80" w:firstLine="436"/>
        <w:spacing w:after="0" w:line="258"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Counterparty agrees that Counterparty shall not enter into or alter any hedging transaction relating to the Shares corresponding to or offsetting any Transaction. Without limiting the generality of the provisions set forth opposite the caption “Unwind Activities”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Master Confirmation, Counterparty acknowledges that it has no right to, and agrees that it will not seek to, control or influence Dealer’s decision to make any “purchases or sales” (within the meaning of Rule 10b5-1(c)(1)(i)(B)(3)) under or in connection with any Transaction, including, without limitation, Dealer’s decision to enter into any hedging transactions.</w:t>
      </w:r>
    </w:p>
    <w:p>
      <w:pPr>
        <w:spacing w:after="0" w:line="183" w:lineRule="exact"/>
        <w:rPr>
          <w:rFonts w:ascii="Times New Roman" w:cs="Times New Roman" w:eastAsia="Times New Roman" w:hAnsi="Times New Roman"/>
          <w:sz w:val="18"/>
          <w:szCs w:val="18"/>
          <w:color w:val="auto"/>
        </w:rPr>
      </w:pPr>
    </w:p>
    <w:p>
      <w:pPr>
        <w:ind w:right="780" w:firstLine="436"/>
        <w:spacing w:after="0" w:line="276" w:lineRule="auto"/>
        <w:tabs>
          <w:tab w:leader="none" w:pos="68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acknowledges and agrees that any amendment, modification, waiver or termination of this Master Confirmation or any Supplemental Confirmation must be effected in accordance with the requirements for the amendment or termination of a “plan” as defined in</w:t>
      </w: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10b5-1(c). Without limiting the generality of the foregoing, any such amendment, modification, waiver or termination shall be made in good faith and not as part of a plan or scheme to evade the prohibitions of Rule 10b-5, and no such amendment, modification or waiver shall be made at any time at which Counterparty or any officer, director, manager or similar person of Counterparty is aware of any material non-public information regarding Counterparty or the Shares.</w:t>
      </w:r>
    </w:p>
    <w:p>
      <w:pPr>
        <w:spacing w:after="0" w:line="188" w:lineRule="exact"/>
        <w:rPr>
          <w:rFonts w:ascii="Times New Roman" w:cs="Times New Roman" w:eastAsia="Times New Roman" w:hAnsi="Times New Roman"/>
          <w:sz w:val="17"/>
          <w:szCs w:val="17"/>
          <w:color w:val="auto"/>
        </w:rPr>
      </w:pPr>
    </w:p>
    <w:p>
      <w:pPr>
        <w:jc w:val="both"/>
        <w:ind w:right="60" w:firstLine="436"/>
        <w:spacing w:after="0" w:line="266"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promptly provide notice thereof to Dealer (i) upon the occurrence of any event that would constitute an Event of Default or a Termination Event in respect of which Counterparty is a Defaulting Party or an Affected Party, as the case may be, and (ii) upon announcement of any event that, if consummated, would constitute an Extraordinary Event or Potential Adjustment Event.</w:t>
      </w:r>
    </w:p>
    <w:p>
      <w:pPr>
        <w:spacing w:after="0" w:line="171"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Counterparty nor any of its “affiliated purchasers” (as defined by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take any action that would cause any purchases of Shares by Dealer or any of its Affiliates in connection with any Cash Settlement or Net Share Settlement of any Transaction not to meet the requirements of the safe harbor provided by Rule 10b-18 if such purchases were made by Counterparty. Without limiting the generality of the foregoing, during any Unwind Period for any Transaction, except with the prior written consent of Dealer, Counterparty will not, and will cause its affiliated purchasers (as defined in Rule 10b-18) not to, directly or indirectly (including, without limitation, by means of a derivative instrument) purchase, offer to purchase, place any bid or limit order that would effect a purchase of, or announce or commence any tender offer relating to, any Shares (or equivalent interest, including a unit of beneficial interest in a trust or limited partnership or a depository share) or any security convertible into or exchangeable for the Shares.</w:t>
      </w:r>
    </w:p>
    <w:p>
      <w:pPr>
        <w:spacing w:after="0" w:line="18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not be subject to any “restricted period” (as such term is defined in Regulation M promulgated under the Exchange Act</w:t>
      </w:r>
    </w:p>
    <w:p>
      <w:pPr>
        <w:spacing w:after="0" w:line="27" w:lineRule="exact"/>
        <w:rPr>
          <w:sz w:val="20"/>
          <w:szCs w:val="20"/>
          <w:color w:val="auto"/>
        </w:rPr>
      </w:pPr>
    </w:p>
    <w:p>
      <w:pPr>
        <w:ind w:right="8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in respect of Shares or any security with respect to which the Shares are a “reference security” (as such term is defined in Regulation M) during any Unwind Period for any Transaction.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1" w:name="page62"/>
    <w:bookmarkEnd w:id="61"/>
    <w:p>
      <w:pPr>
        <w:jc w:val="both"/>
        <w:ind w:left="4" w:right="460" w:firstLine="436"/>
        <w:spacing w:after="0" w:line="276" w:lineRule="auto"/>
        <w:tabs>
          <w:tab w:leader="none" w:pos="699"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Counterparty shall: (i) prior to the opening of trading in the Shares on any day on which Counterparty makes, or expects to be made, any public announcement (as defined in Rule 165(f) under the Securities Act) of any Merger Transaction, notify Dealer of such public announcement;</w:t>
      </w:r>
    </w:p>
    <w:p>
      <w:pPr>
        <w:ind w:left="4" w:right="60" w:hanging="4"/>
        <w:spacing w:after="0" w:line="265" w:lineRule="auto"/>
        <w:tabs>
          <w:tab w:leader="none" w:pos="26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notify Dealer following any such announcement that such announcement has been made; (iii) promptly (but in any event prior to the next opening of the regular trading session on the Exchange) provide Dealer with written notice specifying (A) Counterparty’s average daily Rule 10b-18 Purchases (as defined in Rule 10b-18) during the three full calendar months immediately preceding the announcement date for the Merger Transaction that were not effected through Dealer or its affiliates and (B) the number of Shares purchased pursuant to the proviso in Rule 10b-18(b)(4) under the Exchange Act for the three full calendar months preceding such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Counterparty acknowledges that any such notice may result in a Regulatory Disruption, a Trading Condition or, if such notice relates to an event that is also an ISDA Event, an Early Valuation, or may affect the length of any ongoing Unwind Period; accordingly, Counterparty acknowledges that its delivery of such notice must comply with the standards set forth in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above. “</w:t>
      </w:r>
      <w:r>
        <w:rPr>
          <w:rFonts w:ascii="Times New Roman" w:cs="Times New Roman" w:eastAsia="Times New Roman" w:hAnsi="Times New Roman"/>
          <w:sz w:val="17"/>
          <w:szCs w:val="17"/>
          <w:b w:val="1"/>
          <w:bCs w:val="1"/>
          <w:color w:val="auto"/>
        </w:rPr>
        <w:t>Merger Transaction</w:t>
      </w:r>
      <w:r>
        <w:rPr>
          <w:rFonts w:ascii="Times New Roman" w:cs="Times New Roman" w:eastAsia="Times New Roman" w:hAnsi="Times New Roman"/>
          <w:sz w:val="17"/>
          <w:szCs w:val="17"/>
          <w:color w:val="auto"/>
        </w:rPr>
        <w:t>” means any merger, acquisition or similar transaction involving a recapitalization as contemplated by</w:t>
      </w:r>
    </w:p>
    <w:p>
      <w:pPr>
        <w:spacing w:after="0" w:line="1" w:lineRule="exact"/>
        <w:rPr>
          <w:rFonts w:ascii="Times New Roman" w:cs="Times New Roman" w:eastAsia="Times New Roman" w:hAnsi="Times New Roman"/>
          <w:sz w:val="17"/>
          <w:szCs w:val="17"/>
          <w:color w:val="auto"/>
        </w:rPr>
      </w:pPr>
    </w:p>
    <w:p>
      <w:pPr>
        <w:ind w:left="4"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Rule 10b-18(a)(13)(iv) under the Exchange Act. For the avoidance of doubt, a Merger Transaction or the announcement thereof shall not give either party the right to designate an Early Valuation Date for any Transaction and/or to accelerate or preclude an election by Counterparty of Physical Settlement for any Settlement of any Transaction, unless such Merger Transaction or the announcement thereof is also an ISDA Event.</w:t>
      </w:r>
    </w:p>
    <w:p>
      <w:pPr>
        <w:spacing w:after="0" w:line="185" w:lineRule="exact"/>
        <w:rPr>
          <w:rFonts w:ascii="Times New Roman" w:cs="Times New Roman" w:eastAsia="Times New Roman" w:hAnsi="Times New Roman"/>
          <w:sz w:val="17"/>
          <w:szCs w:val="17"/>
          <w:color w:val="auto"/>
        </w:rPr>
      </w:pPr>
    </w:p>
    <w:p>
      <w:pPr>
        <w:ind w:left="4" w:firstLine="436"/>
        <w:spacing w:after="0" w:line="261" w:lineRule="auto"/>
        <w:tabs>
          <w:tab w:leader="none" w:pos="6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it will not treat ownership positions held by Dealer or any of its affiliates, either individually or collectively with any other Forward Purchaser or Forward Seller (each as defined in the Underwriting Agreement), solely with respect to entering into and consummating any Transaction hereunder or as contemplated in the Underwriting Agreement, and solely in its capacity as a Forward Purchaser or Forward Seller, as subject to the ownership limitations set forth in subparagraphs (a)(2) and (a)(3) of Article EIGHTH of Counterparty’s charter.</w:t>
      </w:r>
    </w:p>
    <w:p>
      <w:pPr>
        <w:spacing w:after="0" w:line="180" w:lineRule="exact"/>
        <w:rPr>
          <w:sz w:val="20"/>
          <w:szCs w:val="20"/>
          <w:color w:val="auto"/>
        </w:rPr>
      </w:pPr>
    </w:p>
    <w:p>
      <w:pPr>
        <w:ind w:left="4" w:right="120" w:hanging="4"/>
        <w:spacing w:after="0" w:line="255" w:lineRule="auto"/>
        <w:tabs>
          <w:tab w:leader="none" w:pos="1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on Bankruptcy</w:t>
      </w:r>
      <w:r>
        <w:rPr>
          <w:rFonts w:ascii="Times New Roman" w:cs="Times New Roman" w:eastAsia="Times New Roman" w:hAnsi="Times New Roman"/>
          <w:sz w:val="18"/>
          <w:szCs w:val="18"/>
          <w:color w:val="auto"/>
        </w:rPr>
        <w:t xml:space="preserve">. The parties hereto agree that, notwithstanding anything to the contrary in the Agreement or the Equity Definitions, each Transaction constitutes a contract to issue a security of Counterparty as contemplated by Section 365(c)(2) of the Bankruptcy Code and that a Transaction and the obligations and rights of Counterparty and Dealer (except for any liability as a result of breach of any of the representations or warranties provided by Counterparty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above) shall immediately terminate, without the necessity of any notice, payment (whether directly, by netting or otherwise) or other action by Counterparty or Dealer, if, on or prior to the final Settlement Date, Cash Settlement Payment Date or Net Share Settlement Date, as the case may be, for such Transaction an Insolvency Filing occurs or any other proceeding commences with respect to Counterparty under the Bankruptcy Code (a “</w:t>
      </w:r>
      <w:r>
        <w:rPr>
          <w:rFonts w:ascii="Times New Roman" w:cs="Times New Roman" w:eastAsia="Times New Roman" w:hAnsi="Times New Roman"/>
          <w:sz w:val="18"/>
          <w:szCs w:val="18"/>
          <w:b w:val="1"/>
          <w:bCs w:val="1"/>
          <w:color w:val="auto"/>
        </w:rPr>
        <w:t>Bankruptcy Termination Event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62" w:name="page63"/>
    <w:bookmarkEnd w:id="62"/>
    <w:p>
      <w:pPr>
        <w:ind w:left="184" w:hanging="184"/>
        <w:spacing w:after="0"/>
        <w:tabs>
          <w:tab w:leader="none" w:pos="1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8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Dealer acknowledges and agrees that Counterparty’s obligations under the Transactions are not secured by any collateral and that neither this Master Confirmation nor any Supplemental Confirmation is intended to convey to Dealer rights with respect to the transactions contemplated hereby and by any Supplemental Confirmation that are senior to the claims of common stockholders in any U.S. bankruptcy proceedings of Counterparty;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herein shall limit or shall be deemed to limit Dealer’s right to pursue remedies in the event of a breach by Counterparty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and agreements with respect to this Master Confirmation, any Supplemental Confirmation or the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 other than the Transactions.</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for:</w:t>
      </w:r>
    </w:p>
    <w:p>
      <w:pPr>
        <w:spacing w:after="0" w:line="117" w:lineRule="exact"/>
        <w:rPr>
          <w:rFonts w:ascii="Times New Roman" w:cs="Times New Roman" w:eastAsia="Times New Roman" w:hAnsi="Times New Roman"/>
          <w:sz w:val="18"/>
          <w:szCs w:val="18"/>
          <w:color w:val="auto"/>
        </w:rPr>
      </w:pPr>
    </w:p>
    <w:p>
      <w:pPr>
        <w:ind w:left="444" w:right="20" w:firstLine="419"/>
        <w:spacing w:after="0" w:line="312" w:lineRule="auto"/>
        <w:tabs>
          <w:tab w:leader="none" w:pos="1082"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to be a “securities contract” as defined in Section 741(7) of the Bankruptcy Code, and the parties hereto to be entitled to the protections afforded by, among other Sections, Sections 362(b)(6), 362(b)(27), 362(o), 546(e), 546(j), 555 and 561 of the Bankruptcy Code;</w:t>
      </w:r>
    </w:p>
    <w:p>
      <w:pPr>
        <w:spacing w:after="0" w:line="31" w:lineRule="exact"/>
        <w:rPr>
          <w:rFonts w:ascii="Times New Roman" w:cs="Times New Roman" w:eastAsia="Times New Roman" w:hAnsi="Times New Roman"/>
          <w:sz w:val="17"/>
          <w:szCs w:val="17"/>
          <w:color w:val="auto"/>
        </w:rPr>
      </w:pPr>
    </w:p>
    <w:p>
      <w:pPr>
        <w:ind w:left="444" w:right="60" w:firstLine="419"/>
        <w:spacing w:after="0" w:line="266" w:lineRule="auto"/>
        <w:tabs>
          <w:tab w:leader="none" w:pos="113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given to Dealer pursuant to “Early Valuation”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to constitute “contractual rights” to cause the liquidation of a “securities contract” and to set off mutual debts and claims in connection with a “securities contract”, as such terms are used in Sections 555 and 362(b)(6) of the Bankruptcy Code;</w:t>
      </w:r>
    </w:p>
    <w:p>
      <w:pPr>
        <w:spacing w:after="0" w:line="67" w:lineRule="exact"/>
        <w:rPr>
          <w:rFonts w:ascii="Times New Roman" w:cs="Times New Roman" w:eastAsia="Times New Roman" w:hAnsi="Times New Roman"/>
          <w:sz w:val="18"/>
          <w:szCs w:val="18"/>
          <w:color w:val="auto"/>
        </w:rPr>
      </w:pPr>
    </w:p>
    <w:p>
      <w:pPr>
        <w:ind w:left="444" w:right="80" w:firstLine="419"/>
        <w:spacing w:after="0" w:line="282" w:lineRule="auto"/>
        <w:tabs>
          <w:tab w:leader="none" w:pos="118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securities or other property provided as performance assurance, credit support or collateral with respect to the Transactions to constitute “margin payments” and “transfers” under a “securities contract” as defined in the Bankruptcy Code;</w:t>
      </w:r>
    </w:p>
    <w:p>
      <w:pPr>
        <w:spacing w:after="0" w:line="53" w:lineRule="exact"/>
        <w:rPr>
          <w:rFonts w:ascii="Times New Roman" w:cs="Times New Roman" w:eastAsia="Times New Roman" w:hAnsi="Times New Roman"/>
          <w:sz w:val="18"/>
          <w:szCs w:val="18"/>
          <w:color w:val="auto"/>
        </w:rPr>
      </w:pPr>
    </w:p>
    <w:p>
      <w:pPr>
        <w:ind w:left="444" w:right="780" w:firstLine="419"/>
        <w:spacing w:after="0" w:line="282" w:lineRule="auto"/>
        <w:tabs>
          <w:tab w:leader="none" w:pos="117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the Transactions, all payments for Shares and the transfer of Shares to constitute “settlement payments” and “transfers” under a “securities contract” as defined in the Bankruptcy Code; and</w:t>
      </w:r>
    </w:p>
    <w:p>
      <w:pPr>
        <w:spacing w:after="0" w:line="53" w:lineRule="exact"/>
        <w:rPr>
          <w:rFonts w:ascii="Times New Roman" w:cs="Times New Roman" w:eastAsia="Times New Roman" w:hAnsi="Times New Roman"/>
          <w:sz w:val="18"/>
          <w:szCs w:val="18"/>
          <w:color w:val="auto"/>
        </w:rPr>
      </w:pPr>
    </w:p>
    <w:p>
      <w:pPr>
        <w:jc w:val="both"/>
        <w:ind w:left="444" w:firstLine="419"/>
        <w:spacing w:after="0" w:line="266" w:lineRule="auto"/>
        <w:tabs>
          <w:tab w:leader="none" w:pos="1122"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obligations that either party has with respect to this Master Confirmation, any Supplemental Confirmation or the Agreement to constitute property held by or due from such party to margin, guaranty or settle obligations of the other party with respect to the transactions under the Agreement (including the Transactions) or any other agreement between such parties.</w:t>
      </w:r>
    </w:p>
    <w:p>
      <w:pPr>
        <w:spacing w:after="0" w:line="175"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Agreement, this Master Confirmation or any Supplemental Confirmation, in no event will Counterparty be required to deliver in the aggregate in respect of all Settlement Dates, Net Share Settlement Dates or other dates on which Shares are delivered in respect of any amount owed under any Transaction a number of Shares greater than the product of (i) 1.25 and (ii) the Number of Shares for such Transaction as of the Trade Date for such Transaction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The Capped Number shall be subject to adjustment only on account of (x) Potential Adjustment Events of the type specified in (1) Sections 11.2(e) (i) through (vi) of the Equity Definitions or (2) Section 11.2(e) (vii) of the Equity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63" w:name="page64"/>
    <w:bookmarkEnd w:id="6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Definitions so long as, in the case of this sub-clause (2), such event is within Issuer’s control and (y) Merger Events requiring corporate action of Issuer (or any surviving entity of the Issuer hereunder in connection with any such Merger Event). Counterparty represents and warrants to Dealer (which representation and warranty shall be deemed to be repeated for all Transactions on each day that any Transaction is outstanding) that the aggregate Capped Number across all Transactions hereunder is equal to or less than the number of authorized but unissued Shares that are not reserved for future issuance in connection with transactions in the Shares (other than the Transactions) on the date of the determination of such aggregated Capped Number. In the event Counterparty shall not have delivered the full number of Shares otherwise deliverable under any Transaction as a result of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(the resulting deficit for such Transaction, the “</w:t>
      </w:r>
      <w:r>
        <w:rPr>
          <w:rFonts w:ascii="Times New Roman" w:cs="Times New Roman" w:eastAsia="Times New Roman" w:hAnsi="Times New Roman"/>
          <w:sz w:val="18"/>
          <w:szCs w:val="18"/>
          <w:b w:val="1"/>
          <w:bCs w:val="1"/>
          <w:color w:val="auto"/>
        </w:rPr>
        <w:t>Deficit Shares</w:t>
      </w:r>
      <w:r>
        <w:rPr>
          <w:rFonts w:ascii="Times New Roman" w:cs="Times New Roman" w:eastAsia="Times New Roman" w:hAnsi="Times New Roman"/>
          <w:sz w:val="18"/>
          <w:szCs w:val="18"/>
          <w:color w:val="auto"/>
        </w:rPr>
        <w:t>”), Counterparty shall be continually obligated to deliver Shares, from time to time until the full number of Deficit Shares have been delivered pursuant to this paragraph, on a pro rata basis across all Transactions hereunder, when, and to the extent that, (A) Shares are repurchased, acquired or otherwise received by Counterparty or any of its subsidiaries after the date hereof (whether or not in exchange for cash, fair value or any other consideration), (B) authorized and unissued Shares reserved for issuance in respect of other transactions prior to such date which prior to the relevant date become no longer so reserved and (C) Counterparty additionally authorizes any unissued Shares that are not reserved for transactions other than the Transactions (such events as set forth in clauses (A), (B) and (C) above, collectively, the “</w:t>
      </w:r>
      <w:r>
        <w:rPr>
          <w:rFonts w:ascii="Times New Roman" w:cs="Times New Roman" w:eastAsia="Times New Roman" w:hAnsi="Times New Roman"/>
          <w:sz w:val="18"/>
          <w:szCs w:val="18"/>
          <w:b w:val="1"/>
          <w:bCs w:val="1"/>
          <w:color w:val="auto"/>
        </w:rPr>
        <w:t>Share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 Counterparty shall promptly notify Dealer of the occurrence of any of the Share Issuance Events (including the number of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(A), (B) or (C) and the corresponding number of Shares to be delivered for each Transaction) and, as promptly as reasonably practicable, deliver such Shares thereafter. Counterparty shall not, until Counterparty’s obligations under the Transactions have been satisfied in full, use any Shares that become available for potential delivery to Dealer as a result of any Share Issuance Event for the settlement or satisfaction of any transaction or obligation other than the Transactions or reserve any such Shares for future issuance for any purpose other than to satisfy Counterparty’s obligations to Dealer under the Transactions.</w:t>
      </w:r>
    </w:p>
    <w:p>
      <w:pPr>
        <w:spacing w:after="0" w:line="192" w:lineRule="exact"/>
        <w:rPr>
          <w:sz w:val="20"/>
          <w:szCs w:val="20"/>
          <w:color w:val="auto"/>
        </w:rPr>
      </w:pPr>
    </w:p>
    <w:p>
      <w:pPr>
        <w:jc w:val="both"/>
        <w:ind w:right="40" w:firstLine="436"/>
        <w:spacing w:after="0" w:line="266" w:lineRule="auto"/>
        <w:tabs>
          <w:tab w:leader="none" w:pos="68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for this Master Confirmation and each Supplemental Confirmation to constitute a “Contract” as described in the letter dated October 6, 2003, submitted on behalf of Goldman, Sachs &amp; Co. to Paula Dubberly of the staff of the Securities and Exchange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to which the Staff responded in an interpretive letter dated October 9, 2003.</w:t>
      </w:r>
    </w:p>
    <w:p>
      <w:pPr>
        <w:spacing w:after="0" w:line="175" w:lineRule="exact"/>
        <w:rPr>
          <w:rFonts w:ascii="Times New Roman" w:cs="Times New Roman" w:eastAsia="Times New Roman" w:hAnsi="Times New Roman"/>
          <w:sz w:val="18"/>
          <w:szCs w:val="18"/>
          <w:color w:val="auto"/>
        </w:rPr>
      </w:pPr>
    </w:p>
    <w:p>
      <w:pPr>
        <w:ind w:right="220" w:firstLine="436"/>
        <w:spacing w:after="0" w:line="261" w:lineRule="auto"/>
        <w:tabs>
          <w:tab w:leader="none" w:pos="6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for each Transaction (taking into account purchases of Shares in connection with any Cash Settlement or Net Share Settlement of any Transaction) to comply with the requirements of Rule 10b5-1(c)(1)(i)(A) under the Exchange Act and for this Master Confirmation and each Supplemental Confirmation to constitute a binding contract or instruction satisfying the requirements of 10b5-1(c) and to be interpreted to comply with the requirements of Rule 10b5-1(c).</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the Agreement, all communications relating to the Transactions or the Agreement shall be transmitted</w:t>
      </w:r>
    </w:p>
    <w:p>
      <w:pPr>
        <w:spacing w:after="0" w:line="27"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 xml:space="preserve">exclusively through Dealer at [    </w:t>
        <w:tab/>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64" w:name="page65"/>
    <w:bookmarkEnd w:id="64"/>
    <w:p>
      <w:pPr>
        <w:ind w:left="704" w:hanging="264"/>
        <w:spacing w:after="0"/>
        <w:tabs>
          <w:tab w:leader="none" w:pos="7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Counterparty acknowledges that:</w:t>
      </w:r>
    </w:p>
    <w:p>
      <w:pPr>
        <w:spacing w:after="0" w:line="117" w:lineRule="exact"/>
        <w:rPr>
          <w:rFonts w:ascii="Times New Roman" w:cs="Times New Roman" w:eastAsia="Times New Roman" w:hAnsi="Times New Roman"/>
          <w:sz w:val="18"/>
          <w:szCs w:val="18"/>
          <w:color w:val="auto"/>
        </w:rPr>
      </w:pPr>
    </w:p>
    <w:p>
      <w:pPr>
        <w:ind w:left="444" w:right="280" w:firstLine="419"/>
        <w:spacing w:after="0" w:line="266" w:lineRule="auto"/>
        <w:tabs>
          <w:tab w:leader="none" w:pos="108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Transactions, Dealer and its affiliates may buy or sell Shares or other securities or buy or sell options or futures contracts or enter into swaps or other derivative securities in order to establish, adjust or unwind its hedge position with respect to the Transactions;</w:t>
      </w:r>
    </w:p>
    <w:p>
      <w:pPr>
        <w:spacing w:after="0" w:line="67" w:lineRule="exact"/>
        <w:rPr>
          <w:rFonts w:ascii="Times New Roman" w:cs="Times New Roman" w:eastAsia="Times New Roman" w:hAnsi="Times New Roman"/>
          <w:sz w:val="18"/>
          <w:szCs w:val="18"/>
          <w:color w:val="auto"/>
        </w:rPr>
      </w:pPr>
    </w:p>
    <w:p>
      <w:pPr>
        <w:ind w:left="444" w:firstLine="419"/>
        <w:spacing w:after="0" w:line="282" w:lineRule="auto"/>
        <w:tabs>
          <w:tab w:leader="none" w:pos="113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its affiliates may also be active in the market for the Shares and derivatives linked to the Shares other than in connection with hedging activities in relation to the Transactions, including acting as agent or as principal and for its own account or on behalf of customers;</w:t>
      </w:r>
    </w:p>
    <w:p>
      <w:pPr>
        <w:spacing w:after="0" w:line="53" w:lineRule="exact"/>
        <w:rPr>
          <w:rFonts w:ascii="Times New Roman" w:cs="Times New Roman" w:eastAsia="Times New Roman" w:hAnsi="Times New Roman"/>
          <w:sz w:val="18"/>
          <w:szCs w:val="18"/>
          <w:color w:val="auto"/>
        </w:rPr>
      </w:pPr>
    </w:p>
    <w:p>
      <w:pPr>
        <w:ind w:left="444" w:right="180" w:firstLine="419"/>
        <w:spacing w:after="0" w:line="266" w:lineRule="auto"/>
        <w:tabs>
          <w:tab w:leader="none" w:pos="118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Settlement Price for each Transaction;</w:t>
      </w:r>
    </w:p>
    <w:p>
      <w:pPr>
        <w:spacing w:after="0" w:line="67"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17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Dealer and its affiliates with respect to the Shares may affect the market price and volatility of the Shares, as well as the Forward Price and the Settlement Price for each Transaction, each in a manner that may be adverse to Counterparty; and</w:t>
      </w:r>
    </w:p>
    <w:p>
      <w:pPr>
        <w:spacing w:after="0" w:line="53" w:lineRule="exact"/>
        <w:rPr>
          <w:rFonts w:ascii="Times New Roman" w:cs="Times New Roman" w:eastAsia="Times New Roman" w:hAnsi="Times New Roman"/>
          <w:sz w:val="18"/>
          <w:szCs w:val="18"/>
          <w:color w:val="auto"/>
        </w:rPr>
      </w:pPr>
    </w:p>
    <w:p>
      <w:pPr>
        <w:ind w:left="444" w:right="380" w:firstLine="419"/>
        <w:spacing w:after="0" w:line="282" w:lineRule="auto"/>
        <w:tabs>
          <w:tab w:leader="none" w:pos="112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is a derivatives transaction; Dealer may purchase or sell shares for its own account at an average price that may be greater than, or less than, the price received by Counterparty under the terms of the relevant Transaction.</w:t>
      </w:r>
    </w:p>
    <w:p>
      <w:pPr>
        <w:spacing w:after="0" w:line="161" w:lineRule="exact"/>
        <w:rPr>
          <w:rFonts w:ascii="Times New Roman" w:cs="Times New Roman" w:eastAsia="Times New Roman" w:hAnsi="Times New Roman"/>
          <w:sz w:val="18"/>
          <w:szCs w:val="18"/>
          <w:color w:val="auto"/>
        </w:rPr>
      </w:pPr>
    </w:p>
    <w:p>
      <w:pPr>
        <w:ind w:left="4" w:right="260" w:firstLine="436"/>
        <w:spacing w:after="0" w:line="254" w:lineRule="auto"/>
        <w:tabs>
          <w:tab w:leader="none" w:pos="65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and Dealer agree and acknowledge that (A) the Transactions contemplated by this Master Confirmation will be entered into in reliance on the fact that this Master Confirmation and each Supplemental Confirmation hereto form a single agreement between Counterparty and Dealer, and Dealer would not otherwise enter into such Transactions; (B) this Master Confirmation, together with each Supplemental Confirmation hereto, is a “qualified financial contract,” as such term is defined in Section 5-701(b)(2) of the General Obligations Law; (C) each Supplemental Confirmation hereto, regardless of whether transmitted electronically or otherwise, constitutes a “confirmation in writing sufficient to indicate that a contract has been made between the parties” hereto, as set forth in Section 5-701(b)(3)(b) of the General Obligations Law; and (D) this Master Confirmation and each Supplemental Confirmation hereto constitute a prior “written contract,” as set forth in Section 5-701(b)(1)(b) of the General Obligations Law, and each party hereto intends and agrees to be bound by this Master Confirmation and such Supplemental Confirmation.</w:t>
      </w:r>
    </w:p>
    <w:p>
      <w:pPr>
        <w:spacing w:after="0" w:line="191"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Counterparty agrees to indemnify and hold harmless Dealer, its affiliates and its assignees and their respective directors, officers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(excluding, for the avoidance of doubt, financial losses resulting from the economic terms of the Transactions), claims, damages and liabilities (or actions in respect thereof), joint or several, incurred by or asserted against such Indemnified Party arising out of, in connection with, or relating to, any breach of any covenant or representation made by Counterparty in this Master Confirmation, any Supplemental Confirmation or the Agreement. Counterparty will not be liable under the foregoing indemnification provision to the extent that any loss, claim, damage, liability or expense is found</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65" w:name="page66"/>
    <w:bookmarkEnd w:id="65"/>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 nonappealable judgment by a court of competent jurisdiction to have resulted from Dealer’s willful misconduct, gross negligence or bad faith in performing the services that are subject of the Transactions.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Counterparty also agrees that no Indemnified Party shall have any liability to Counterparty or any person asserting claims on behalf of or in right of Counterparty in connection with or as a result of any matter referred to in this Master Confirmation and any Supplemental Confirmation except to the extent that any losses, claims, damages, liabilities or expenses incurred by Counterparty result from the gross negligence, willful misconduct or bad faith of the Indemnified Party.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the completion of the Transactions contemplated by this Master Confirmation and any Supplemental Confirmation and any assignment and/or delegation of the Transactions made pursuant to the Agreement, this Master Confirmation or any Supplemental Confirmation shall inure to the benefit of any permitted assignee of Dealer. For the avoidance of doubt, any payments due as a result of this provision may not be used to set off any obligation of Dealer upon settlement of the Transactions.</w:t>
      </w:r>
    </w:p>
    <w:p>
      <w:pPr>
        <w:spacing w:after="0" w:line="197" w:lineRule="exact"/>
        <w:rPr>
          <w:sz w:val="20"/>
          <w:szCs w:val="20"/>
          <w:color w:val="auto"/>
        </w:rPr>
      </w:pPr>
    </w:p>
    <w:p>
      <w:pPr>
        <w:ind w:left="4" w:hanging="4"/>
        <w:spacing w:after="0" w:line="252" w:lineRule="auto"/>
        <w:tabs>
          <w:tab w:leader="none" w:pos="27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Notwithstanding anything to the contrary in the Agreement, this Master Confirmation or any Supplemental Confirmation, in no event shall Dealer be entitled to receive, or be deemed to receive, or have an “interest” in (within the meaning of NYSE Rule 312.04(e)) Shares to the extent that, upon such receipt of such Shares, (i) the “beneficial ownership” (within the meaning of Section 13 of the Exchange Act and the rules promulgated thereunder) of Shares by Dealer, any of its affiliates’ business units subject to aggregation with Dealer for purposes of the “beneficial ownership” test under Section 13 of the Exchange Act and any “group” (within the meaning of Rule 13d-5(b)(1) under the Exchange Act) of which Dealer is or may be deemed to be a part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would be equal to or greater than the lesser of (x) 4.5% of the outstanding Shares (such condition, an “</w:t>
      </w:r>
      <w:r>
        <w:rPr>
          <w:rFonts w:ascii="Times New Roman" w:cs="Times New Roman" w:eastAsia="Times New Roman" w:hAnsi="Times New Roman"/>
          <w:sz w:val="18"/>
          <w:szCs w:val="18"/>
          <w:b w:val="1"/>
          <w:bCs w:val="1"/>
          <w:color w:val="auto"/>
        </w:rPr>
        <w:t>Excess Section 13 Ownership Position</w:t>
      </w:r>
      <w:r>
        <w:rPr>
          <w:rFonts w:ascii="Times New Roman" w:cs="Times New Roman" w:eastAsia="Times New Roman" w:hAnsi="Times New Roman"/>
          <w:sz w:val="18"/>
          <w:szCs w:val="18"/>
          <w:color w:val="auto"/>
        </w:rPr>
        <w:t>”), and (y) 4.9% of the outstanding Shares as of the Trade Date for any Transaction (such number of Shares, the “</w:t>
      </w:r>
      <w:r>
        <w:rPr>
          <w:rFonts w:ascii="Times New Roman" w:cs="Times New Roman" w:eastAsia="Times New Roman" w:hAnsi="Times New Roman"/>
          <w:sz w:val="18"/>
          <w:szCs w:val="18"/>
          <w:b w:val="1"/>
          <w:bCs w:val="1"/>
          <w:color w:val="auto"/>
        </w:rPr>
        <w:t>Threshold Number of Shares</w:t>
      </w:r>
      <w:r>
        <w:rPr>
          <w:rFonts w:ascii="Times New Roman" w:cs="Times New Roman" w:eastAsia="Times New Roman" w:hAnsi="Times New Roman"/>
          <w:sz w:val="18"/>
          <w:szCs w:val="18"/>
          <w:color w:val="auto"/>
        </w:rPr>
        <w:t>” and such condition, the “</w:t>
      </w:r>
      <w:r>
        <w:rPr>
          <w:rFonts w:ascii="Times New Roman" w:cs="Times New Roman" w:eastAsia="Times New Roman" w:hAnsi="Times New Roman"/>
          <w:sz w:val="18"/>
          <w:szCs w:val="18"/>
          <w:b w:val="1"/>
          <w:bCs w:val="1"/>
          <w:color w:val="auto"/>
        </w:rPr>
        <w:t>Excess NYSE Ownership Position</w:t>
      </w:r>
      <w:r>
        <w:rPr>
          <w:rFonts w:ascii="Times New Roman" w:cs="Times New Roman" w:eastAsia="Times New Roman" w:hAnsi="Times New Roman"/>
          <w:sz w:val="18"/>
          <w:szCs w:val="18"/>
          <w:color w:val="auto"/>
        </w:rPr>
        <w:t>”) or (ii) Dealer, Dealer Group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Sections 3-601 through 3-603 of the Maryland Code (Corporations and Associations) or any state or federal bank holding company or banking laws, or any federal, state or local laws, regulations or regulatory orders applicable to ownership of Shares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would own, beneficially own, constructively own, control, hold the power to vote or otherwise meet a relevant definition of ownership in excess of a number of Shares equal to (x) the lesser of (A) the maximum number of Shares that would be permitted under Applicable Laws and (B) the number of Shares that would give rise to reporting or registration obligations or other requirements (including obtaining prior approval by a state or federal regulator) of a Dealer Person under Applicable Laws and with respect to which such requirements have not been met or the relevant approval has not been received or that would give</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66" w:name="page67"/>
    <w:bookmarkEnd w:id="66"/>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rise to any consequences under the constitutive documents of Counterparty (including, without limitation, subparagraphs (a)(2) and (a)(3) of Article EIGHTH of Counterparty’s charter (as amended from time to time)) or any contract or agreement to which Counterparty is a party, in each case </w:t>
      </w:r>
      <w:r>
        <w:rPr>
          <w:rFonts w:ascii="Times New Roman" w:cs="Times New Roman" w:eastAsia="Times New Roman" w:hAnsi="Times New Roman"/>
          <w:sz w:val="17"/>
          <w:szCs w:val="17"/>
          <w:i w:val="1"/>
          <w:iCs w:val="1"/>
          <w:color w:val="auto"/>
        </w:rPr>
        <w:t>minus</w:t>
      </w:r>
    </w:p>
    <w:p>
      <w:pPr>
        <w:spacing w:after="0" w:line="1" w:lineRule="exact"/>
        <w:rPr>
          <w:sz w:val="20"/>
          <w:szCs w:val="20"/>
          <w:color w:val="auto"/>
        </w:rPr>
      </w:pPr>
    </w:p>
    <w:p>
      <w:pPr>
        <w:ind w:left="4" w:right="200" w:hanging="4"/>
        <w:spacing w:after="0" w:line="251"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outstanding on the date of determination (such condition described in clause (ii), an “</w:t>
      </w:r>
      <w:r>
        <w:rPr>
          <w:rFonts w:ascii="Times New Roman" w:cs="Times New Roman" w:eastAsia="Times New Roman" w:hAnsi="Times New Roman"/>
          <w:sz w:val="18"/>
          <w:szCs w:val="18"/>
          <w:b w:val="1"/>
          <w:bCs w:val="1"/>
          <w:color w:val="auto"/>
        </w:rPr>
        <w:t>Excess Regulatory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If any delivery owed to Dealer under any Transaction is not made, in whole or in part, as a result of this provision, (i) Counterparty’s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make such delivery shall not be extinguished and Counterparty shall make such delivery as promptly as practicable after, but in no event later than one Exchange Business Day after, Dealer gives notice to Counterparty that such delivery would not result in (x) Dealer Group directly or indirectly so beneficially owning in excess of the lesser of (A) 4.5% of the outstanding Shares and (B) the Threshold Number of Shares or (y) the occurrence of an Excess Regulatory Ownership Position and (ii) if such delivery relates to a Physical Settlement of any Transaction, notwithstanding anything to the contrary herein, Dealer shall not be obligated to satisfy the portion of its payment obligation with respect to such Transaction corresponding to any Shares required to be so delivered until the date Counterparty makes such delivery.</w:t>
      </w:r>
    </w:p>
    <w:p>
      <w:pPr>
        <w:spacing w:after="0" w:line="194" w:lineRule="exact"/>
        <w:rPr>
          <w:sz w:val="20"/>
          <w:szCs w:val="20"/>
          <w:color w:val="auto"/>
        </w:rPr>
      </w:pPr>
    </w:p>
    <w:p>
      <w:pPr>
        <w:ind w:left="264" w:hanging="264"/>
        <w:spacing w:after="0"/>
        <w:tabs>
          <w:tab w:leader="none" w:pos="2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Non-Confidentiality</w:t>
      </w:r>
      <w:r>
        <w:rPr>
          <w:rFonts w:ascii="Times New Roman" w:cs="Times New Roman" w:eastAsia="Times New Roman" w:hAnsi="Times New Roman"/>
          <w:sz w:val="18"/>
          <w:szCs w:val="18"/>
          <w:color w:val="auto"/>
        </w:rPr>
        <w:t>. The parties hereby agree that (i) effective from the date of commencement of discussions concerning the Transactions,</w:t>
      </w:r>
    </w:p>
    <w:p>
      <w:pPr>
        <w:spacing w:after="0" w:line="27" w:lineRule="exact"/>
        <w:rPr>
          <w:rFonts w:ascii="Times New Roman" w:cs="Times New Roman" w:eastAsia="Times New Roman" w:hAnsi="Times New Roman"/>
          <w:sz w:val="18"/>
          <w:szCs w:val="18"/>
          <w:color w:val="auto"/>
        </w:rPr>
      </w:pPr>
    </w:p>
    <w:p>
      <w:pPr>
        <w:ind w:left="4" w:right="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Counterparty and each of its employees, representatives, or other agents may disclose to any and all persons, without limitation of any kind, the tax treatment and tax structure of the Transactions and all materials of any kind, including opinions or other tax analyses, provided by Dealer and its affiliates to Counterparty relating to such tax treatment and tax structure;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does not constitute an authorization to disclose the identity of Dealer or its affiliates, agents or advisers, or, except to the extent relating to such tax structure or tax treatment, any specific pricing terms or commercial or financial information, and (ii) Dealer does not assert any claim of proprietary ownership in respect of any description contained herein or therein relating to the use of any entities, plans or arrangements to give rise to a particular United States federal income tax treatment for Counterparty.</w:t>
      </w:r>
    </w:p>
    <w:p>
      <w:pPr>
        <w:spacing w:after="0" w:line="174" w:lineRule="exact"/>
        <w:rPr>
          <w:rFonts w:ascii="Times New Roman" w:cs="Times New Roman" w:eastAsia="Times New Roman" w:hAnsi="Times New Roman"/>
          <w:sz w:val="18"/>
          <w:szCs w:val="18"/>
          <w:color w:val="auto"/>
        </w:rPr>
      </w:pPr>
    </w:p>
    <w:p>
      <w:pPr>
        <w:ind w:left="4" w:right="80" w:hanging="4"/>
        <w:spacing w:after="0" w:line="261" w:lineRule="auto"/>
        <w:tabs>
          <w:tab w:leader="none" w:pos="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xml:space="preserve">. If Counterparty is unable to comply with the covenant of Counterparty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above or Dealer otherwise determines in its reasonable opinion that any Shares to be delivered to Dealer by Counterparty under any Transaction may not be freely returned by Dealer to securities lenders as described in the covenant of Counterparty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above, then delivery of any such Settlement Shares (the “</w:t>
      </w:r>
      <w:r>
        <w:rPr>
          <w:rFonts w:ascii="Times New Roman" w:cs="Times New Roman" w:eastAsia="Times New Roman" w:hAnsi="Times New Roman"/>
          <w:sz w:val="18"/>
          <w:szCs w:val="18"/>
          <w:b w:val="1"/>
          <w:bCs w:val="1"/>
          <w:color w:val="auto"/>
        </w:rPr>
        <w:t>Unregistered Settlement Shares</w:t>
      </w:r>
      <w:r>
        <w:rPr>
          <w:rFonts w:ascii="Times New Roman" w:cs="Times New Roman" w:eastAsia="Times New Roman" w:hAnsi="Times New Roman"/>
          <w:sz w:val="18"/>
          <w:szCs w:val="18"/>
          <w:color w:val="auto"/>
        </w:rPr>
        <w:t xml:space="preserve">”) shall be effected pursuant to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unless waived by Dealer.</w:t>
      </w:r>
    </w:p>
    <w:p>
      <w:pPr>
        <w:spacing w:after="0" w:line="179" w:lineRule="exact"/>
        <w:rPr>
          <w:rFonts w:ascii="Times New Roman" w:cs="Times New Roman" w:eastAsia="Times New Roman" w:hAnsi="Times New Roman"/>
          <w:sz w:val="18"/>
          <w:szCs w:val="18"/>
          <w:color w:val="auto"/>
        </w:rPr>
      </w:pPr>
    </w:p>
    <w:p>
      <w:pPr>
        <w:ind w:left="4" w:right="100" w:hanging="4"/>
        <w:spacing w:after="0" w:line="266" w:lineRule="auto"/>
        <w:tabs>
          <w:tab w:leader="none" w:pos="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Shares</w:t>
      </w:r>
      <w:r>
        <w:rPr>
          <w:rFonts w:ascii="Times New Roman" w:cs="Times New Roman" w:eastAsia="Times New Roman" w:hAnsi="Times New Roman"/>
          <w:sz w:val="18"/>
          <w:szCs w:val="18"/>
          <w:color w:val="auto"/>
        </w:rPr>
        <w:t>. Dealer acknowledges and agrees that, except in the case of a Private Placement Settlement, Dealer shall use any Shares delivered by Counterparty to Dealer on any Settlement Date to return to securities lenders to close out borrowings created by Dealer in connection with its hedging activities related to exposure under the Transactions or otherwise in compliance with applicable law.</w:t>
      </w:r>
    </w:p>
    <w:p>
      <w:pPr>
        <w:spacing w:after="0" w:line="175"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10b-18</w:t>
      </w:r>
      <w:r>
        <w:rPr>
          <w:rFonts w:ascii="Times New Roman" w:cs="Times New Roman" w:eastAsia="Times New Roman" w:hAnsi="Times New Roman"/>
          <w:sz w:val="18"/>
          <w:szCs w:val="18"/>
          <w:color w:val="auto"/>
        </w:rPr>
        <w:t>. In connection with bids and purchases of Shares in connection with any Net Share Settlement or Cash Settlement of any Transaction, Dealer shall use commercially reasonable efforts to conduct its activities, or cause its affiliates to conduct their activities, in a manner consistent with the requirements of the safe harbor provided by Rule 10b-18 under the Exchange Act, as if such provisions were applicable to such purchases and taking into account any applicable Securities and Exchange Commission no-action letters as appropriate, and subject to any delays between the execution and reporting of a trade of the Shares on the Exchange and other circumstances beyond Dealer’s control.</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67" w:name="page68"/>
    <w:bookmarkEnd w:id="67"/>
    <w:p>
      <w:pPr>
        <w:ind w:left="4" w:right="60" w:hanging="4"/>
        <w:spacing w:after="0" w:line="261"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color w:val="auto"/>
        </w:rPr>
        <w:t>. Notwithstanding anything to the contrary in the Agreement, the Agreement, this Master Confirmation, any Supplemental Confirmation and all matters arising in connection with the Agreement this Master Confirmation and any Supplemental Confirmation shall be governed by, and construed and enforced in accordance with, the laws of the State of New York (without reference to its choice of laws doctrine other than Title 14 of Article 5 of the New York General Obligations Law).</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8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upon the occurrence of an Event of Default or Termination Event with respect to a party who is the Defaulting Party or the Affected Party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the other party (“</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will have the right (but not be obliged) without prior notice to X or any other person to set-off or apply any obligation of X owed to Y (whether or not matured or contingent and whether or not arising under the Agreement, and regardless of the currency, place of payment or booking office of the obligation) against any obligation of Y owed to X (whether or not matured or contingent and whether or not arising under the Agreement, and regardless of the currency, place of payment or booking office of the obligation). Y will give notice to the other party of any set-off effected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Amounts (or the relevant portion of such amounts) subject to set-off may be converted by Y into the Termination Currency at the rate of exchange at which such party would be able, acting in a reasonable manner and in good faith, to purchase the relevant amount of such currency. If any obligation is unascertained, Y may in good faith estimate that obligation and set-off in respect of the estimate, subject to the relevant party accounting to the other when the obligation is ascertained. Nothing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effective to create a charge or other security interest.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without prejudice and in addition to any right of set-off, combination of accounts, lien or other right to which any party is at any time otherwise entitled (whether by operation of law, contract or otherwise).</w:t>
      </w:r>
    </w:p>
    <w:p>
      <w:pPr>
        <w:spacing w:after="0" w:line="187" w:lineRule="exact"/>
        <w:rPr>
          <w:sz w:val="20"/>
          <w:szCs w:val="20"/>
          <w:color w:val="auto"/>
        </w:rPr>
      </w:pPr>
    </w:p>
    <w:p>
      <w:pPr>
        <w:ind w:left="4" w:right="80" w:firstLine="436"/>
        <w:spacing w:after="0" w:line="258" w:lineRule="auto"/>
        <w:tabs>
          <w:tab w:leader="none" w:pos="69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foregoing, Dealer agrees not to set off or net amounts due from Counterparty with respect to any Transaction against amounts due from Dealer to Counterparty with respect to contracts or instruments that are not Equity Contracts. “</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transaction or instrument that does not convey to Dealer rights, or the ability to assert claims, that are senior to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of common stockholders in the event of Counterparty’s bankruptcy and would be classified as equity according to generally accepted accounting principles in the United States.</w:t>
      </w:r>
    </w:p>
    <w:p>
      <w:pPr>
        <w:spacing w:after="0" w:line="183" w:lineRule="exact"/>
        <w:rPr>
          <w:rFonts w:ascii="Times New Roman" w:cs="Times New Roman" w:eastAsia="Times New Roman" w:hAnsi="Times New Roman"/>
          <w:sz w:val="18"/>
          <w:szCs w:val="18"/>
          <w:color w:val="auto"/>
        </w:rPr>
      </w:pPr>
    </w:p>
    <w:p>
      <w:pPr>
        <w:ind w:left="4" w:hanging="4"/>
        <w:spacing w:after="0" w:line="261" w:lineRule="auto"/>
        <w:tabs>
          <w:tab w:leader="none" w:pos="2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Staggered Settlement</w:t>
      </w:r>
      <w:r>
        <w:rPr>
          <w:rFonts w:ascii="Times New Roman" w:cs="Times New Roman" w:eastAsia="Times New Roman" w:hAnsi="Times New Roman"/>
          <w:sz w:val="18"/>
          <w:szCs w:val="18"/>
          <w:color w:val="auto"/>
        </w:rPr>
        <w:t>. Notwithstanding anything to the contrary herein, Dealer may, by prior notice to Counterparty,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68" w:name="page69"/>
    <w:bookmarkEnd w:id="68"/>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to this Confirmation are giving up the right to sue each other in court, including the right to a trial by jury, except as provided by the rules of the arbitration forum in which a claim is filed.</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Arbitration awards are generally final and binding; a party’s ability to have a court reverse or modify an arbitration award is very limited.</w:t>
      </w:r>
    </w:p>
    <w:p>
      <w:pPr>
        <w:spacing w:after="0" w:line="225"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8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parties to obtain documents, witness statements and other discovery is generally more limited in arbitration than in court proceedings.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arbitrators do not have to explain the reason(s) for their award.</w:t>
      </w:r>
    </w:p>
    <w:p>
      <w:pPr>
        <w:spacing w:after="0" w:line="225" w:lineRule="exact"/>
        <w:rPr>
          <w:rFonts w:ascii="Times New Roman" w:cs="Times New Roman" w:eastAsia="Times New Roman" w:hAnsi="Times New Roman"/>
          <w:sz w:val="18"/>
          <w:szCs w:val="18"/>
          <w:color w:val="auto"/>
        </w:rPr>
      </w:pPr>
    </w:p>
    <w:p>
      <w:pPr>
        <w:ind w:left="4" w:right="600" w:firstLine="436"/>
        <w:spacing w:after="0" w:line="266" w:lineRule="auto"/>
        <w:tabs>
          <w:tab w:leader="none" w:pos="68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spacing w:after="0" w:line="175"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6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some arbitration forums may impose time limits for bringing a claim in arbitration. In some cases, a claim that is ineligible for arbitration may be brought in court.</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of the arbitration forum in which the claim is filed, and any amendments thereto, shall be incorporated into this Master Confirmation.</w:t>
      </w:r>
    </w:p>
    <w:p>
      <w:pPr>
        <w:spacing w:after="0" w:line="236" w:lineRule="exact"/>
        <w:rPr>
          <w:rFonts w:ascii="Times New Roman" w:cs="Times New Roman" w:eastAsia="Times New Roman" w:hAnsi="Times New Roman"/>
          <w:sz w:val="17"/>
          <w:szCs w:val="17"/>
          <w:color w:val="auto"/>
        </w:rPr>
      </w:pPr>
    </w:p>
    <w:p>
      <w:pPr>
        <w:ind w:left="4" w:right="80" w:firstLine="436"/>
        <w:spacing w:after="0" w:line="261" w:lineRule="auto"/>
        <w:tabs>
          <w:tab w:leader="none" w:pos="69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any and all controversies that may arise between Counterparty and Dealer arising out of or relating to the Agreement or any Transaction hereunder shall be determined by arbitration conducted before the FINRA Dispute Resolution (“</w:t>
      </w:r>
      <w:r>
        <w:rPr>
          <w:rFonts w:ascii="Times New Roman" w:cs="Times New Roman" w:eastAsia="Times New Roman" w:hAnsi="Times New Roman"/>
          <w:sz w:val="18"/>
          <w:szCs w:val="18"/>
          <w:b w:val="1"/>
          <w:bCs w:val="1"/>
          <w:color w:val="auto"/>
        </w:rPr>
        <w:t>FINRA-DR</w:t>
      </w:r>
      <w:r>
        <w:rPr>
          <w:rFonts w:ascii="Times New Roman" w:cs="Times New Roman" w:eastAsia="Times New Roman" w:hAnsi="Times New Roman"/>
          <w:sz w:val="18"/>
          <w:szCs w:val="18"/>
          <w:color w:val="auto"/>
        </w:rPr>
        <w:t>”),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spacing w:after="0" w:line="179" w:lineRule="exact"/>
        <w:rPr>
          <w:rFonts w:ascii="Times New Roman" w:cs="Times New Roman" w:eastAsia="Times New Roman" w:hAnsi="Times New Roman"/>
          <w:sz w:val="18"/>
          <w:szCs w:val="18"/>
          <w:color w:val="auto"/>
        </w:rPr>
      </w:pPr>
    </w:p>
    <w:p>
      <w:pPr>
        <w:jc w:val="both"/>
        <w:ind w:left="4" w:right="260" w:firstLine="436"/>
        <w:spacing w:after="0" w:line="261" w:lineRule="auto"/>
        <w:tabs>
          <w:tab w:leader="none" w:pos="6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spacing w:after="0" w:line="179"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forbearance to enforce an agreement to arbitrate shall not constitute a waiver of any rights under this Master Confirmation except to the extent stated herein.</w:t>
      </w:r>
    </w:p>
    <w:p>
      <w:pPr>
        <w:spacing w:after="0" w:line="161" w:lineRule="exact"/>
        <w:rPr>
          <w:rFonts w:ascii="Times New Roman" w:cs="Times New Roman" w:eastAsia="Times New Roman" w:hAnsi="Times New Roman"/>
          <w:sz w:val="18"/>
          <w:szCs w:val="18"/>
          <w:color w:val="auto"/>
        </w:rPr>
      </w:pPr>
    </w:p>
    <w:p>
      <w:pPr>
        <w:ind w:left="4" w:right="140" w:hanging="4"/>
        <w:spacing w:after="0" w:line="282" w:lineRule="auto"/>
        <w:tabs>
          <w:tab w:leader="none" w:pos="2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Master Confirmation may be executed in any number of counterparts, all of which shall constitute one and the same instrument, and any party hereto may execute this Master Confirmation by signing and delivering one or more counterparts.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69" w:name="page70"/>
    <w:bookmarkEnd w:id="69"/>
    <w:p>
      <w:pPr>
        <w:ind w:left="4" w:right="40" w:hanging="4"/>
        <w:spacing w:after="0" w:line="261" w:lineRule="auto"/>
        <w:tabs>
          <w:tab w:leader="none" w:pos="2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Cash</w:t>
      </w:r>
      <w:r>
        <w:rPr>
          <w:rFonts w:ascii="Times New Roman" w:cs="Times New Roman" w:eastAsia="Times New Roman" w:hAnsi="Times New Roman"/>
          <w:sz w:val="18"/>
          <w:szCs w:val="18"/>
          <w:color w:val="auto"/>
        </w:rPr>
        <w:t xml:space="preserve">. For the avoidance of doubt, nothing in this Master Confirmation or any Supplemental Confirmation shall be interpreted as requiring Counterparty to deliver cash or other assets in respect of the settlement of the Transactions, except in circumstances where the required cash or other asset settlement thereof is permitted for classification of the contract as equity by ASC 815-40, </w:t>
      </w:r>
      <w:r>
        <w:rPr>
          <w:rFonts w:ascii="Times New Roman" w:cs="Times New Roman" w:eastAsia="Times New Roman" w:hAnsi="Times New Roman"/>
          <w:sz w:val="18"/>
          <w:szCs w:val="18"/>
          <w:i w:val="1"/>
          <w:iCs w:val="1"/>
          <w:color w:val="auto"/>
        </w:rPr>
        <w:t>Derivatives and Hedging—Contracts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as in effect on the date hereof.</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For the avoidance of doubt, whenever the Calculation Agent, the Hedging Party or the Determining Party is called upon to make an</w:t>
      </w:r>
    </w:p>
    <w:p>
      <w:pPr>
        <w:spacing w:after="0" w:line="27"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pursuant to the terms of this Master Confirmation, any Supplemental Confirmation or the Equity Definitions to take into account the effect of an event, the Calculation Agent, the Hedging Party or the Determining Party, as applicable, shall make such adjustment by reference to the effect of such event on the Hedging Party, assuming that the Hedging Party maintains a commercially reasonable hedge position at the time of the event.</w:t>
      </w:r>
    </w:p>
    <w:p>
      <w:pPr>
        <w:spacing w:after="0" w:line="185" w:lineRule="exact"/>
        <w:rPr>
          <w:rFonts w:ascii="Times New Roman" w:cs="Times New Roman" w:eastAsia="Times New Roman" w:hAnsi="Times New Roman"/>
          <w:sz w:val="18"/>
          <w:szCs w:val="18"/>
          <w:color w:val="auto"/>
        </w:rPr>
      </w:pPr>
    </w:p>
    <w:p>
      <w:pPr>
        <w:ind w:left="4" w:right="20" w:hanging="4"/>
        <w:spacing w:after="0" w:line="252" w:lineRule="auto"/>
        <w:tabs>
          <w:tab w:leader="none" w:pos="2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 The parties acknowledge and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Agreement, and for such purposes this Agreement shall be deemed a Protocol Covered Agreement, Dealer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Agreement, and for such purposes this Agreement shall be deemed a Covered Agreement, Dealer shall be deemed a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and Counterparty shall be deemed a “</w:t>
      </w:r>
      <w:r>
        <w:rPr>
          <w:rFonts w:ascii="Times New Roman" w:cs="Times New Roman" w:eastAsia="Times New Roman" w:hAnsi="Times New Roman"/>
          <w:sz w:val="18"/>
          <w:szCs w:val="18"/>
          <w:b w:val="1"/>
          <w:bCs w:val="1"/>
          <w:color w:val="auto"/>
        </w:rPr>
        <w:t>Counterparty Entity</w:t>
      </w:r>
      <w:r>
        <w:rPr>
          <w:rFonts w:ascii="Times New Roman" w:cs="Times New Roman" w:eastAsia="Times New Roman" w:hAnsi="Times New Roman"/>
          <w:sz w:val="18"/>
          <w:szCs w:val="18"/>
          <w:color w:val="auto"/>
        </w:rPr>
        <w:t xml:space="preserve">”; or (iii) if clause (i) and clause (ii) do not apply, the terms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 w:cs="Times New Roman" w:eastAsia="Times New Roman" w:hAnsi="Times New Roman"/>
          <w:sz w:val="18"/>
          <w:szCs w:val="18"/>
          <w:u w:val="single" w:color="auto"/>
          <w:color w:val="auto"/>
        </w:rPr>
        <w:t>www.isda.org</w:t>
      </w:r>
      <w:r>
        <w:rPr>
          <w:rFonts w:ascii="Times New Roman" w:cs="Times New Roman" w:eastAsia="Times New Roman" w:hAnsi="Times New Roman"/>
          <w:sz w:val="18"/>
          <w:szCs w:val="18"/>
          <w:color w:val="auto"/>
        </w:rPr>
        <w:t xml:space="preserve"> and, a copy of which is available upon request), the effect of which is to amend the qualified financial contracts between the parties thereto to conform with the requirements of the QFC Stay Rules, are hereby incorporated into and form a part of this Agreement, and for such purposes this Agreement shall be deemed a “</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xml:space="preserve">,” Dealer shall be deemed a “Covered Entity” and Counterparty shall be deemed a “Counterparty Entity.” In the event that, after the date of this Agreement, both parties hereto become adhering parties to the Protocol, the terms of the Protocol will replace the terms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In the event of any inconsistencies between this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Parent] replaced by references to the covered affiliate support provider.</w:t>
      </w:r>
    </w:p>
    <w:p>
      <w:pPr>
        <w:spacing w:after="0" w:line="187" w:lineRule="exact"/>
        <w:rPr>
          <w:sz w:val="20"/>
          <w:szCs w:val="20"/>
          <w:color w:val="auto"/>
        </w:rPr>
      </w:pPr>
    </w:p>
    <w:p>
      <w:pPr>
        <w:ind w:left="4" w:right="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70" w:name="page71"/>
    <w:bookmarkEnd w:id="70"/>
    <w:p>
      <w:pPr>
        <w:ind w:left="4" w:hanging="4"/>
        <w:spacing w:after="0" w:line="253" w:lineRule="auto"/>
        <w:tabs>
          <w:tab w:leader="none" w:pos="2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Forward(s)</w:t>
      </w:r>
      <w:r>
        <w:rPr>
          <w:rFonts w:ascii="Times New Roman" w:cs="Times New Roman" w:eastAsia="Times New Roman" w:hAnsi="Times New Roman"/>
          <w:sz w:val="18"/>
          <w:szCs w:val="18"/>
          <w:color w:val="auto"/>
        </w:rPr>
        <w:t>. Dealer acknowledges that Counterparty has entered into or may enter in the future into one or more other forward transactions on the Shares (each, an “</w:t>
      </w:r>
      <w:r>
        <w:rPr>
          <w:rFonts w:ascii="Times New Roman" w:cs="Times New Roman" w:eastAsia="Times New Roman" w:hAnsi="Times New Roman"/>
          <w:sz w:val="18"/>
          <w:szCs w:val="18"/>
          <w:b w:val="1"/>
          <w:bCs w:val="1"/>
          <w:color w:val="auto"/>
        </w:rPr>
        <w:t>Other Forward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Other Forwards</w:t>
      </w:r>
      <w:r>
        <w:rPr>
          <w:rFonts w:ascii="Times New Roman" w:cs="Times New Roman" w:eastAsia="Times New Roman" w:hAnsi="Times New Roman"/>
          <w:sz w:val="18"/>
          <w:szCs w:val="18"/>
          <w:color w:val="auto"/>
        </w:rPr>
        <w:t>”) with one or more other forward purchasers. Dealer and Counterparty agree that if Counterparty designates a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First Unwind Date</w:t>
      </w:r>
      <w:r>
        <w:rPr>
          <w:rFonts w:ascii="Times New Roman" w:cs="Times New Roman" w:eastAsia="Times New Roman" w:hAnsi="Times New Roman"/>
          <w:sz w:val="18"/>
          <w:szCs w:val="18"/>
          <w:color w:val="auto"/>
        </w:rPr>
        <w:t>” with respect to one or more Other Forwards for which “Cash Settlement” or “Net Share Settlement” is applicable, and the resulting “</w:t>
      </w:r>
      <w:r>
        <w:rPr>
          <w:rFonts w:ascii="Times New Roman" w:cs="Times New Roman" w:eastAsia="Times New Roman" w:hAnsi="Times New Roman"/>
          <w:sz w:val="18"/>
          <w:szCs w:val="18"/>
          <w:b w:val="1"/>
          <w:bCs w:val="1"/>
          <w:color w:val="auto"/>
        </w:rPr>
        <w:t>Unwind Period</w:t>
      </w:r>
      <w:r>
        <w:rPr>
          <w:rFonts w:ascii="Times New Roman" w:cs="Times New Roman" w:eastAsia="Times New Roman" w:hAnsi="Times New Roman"/>
          <w:sz w:val="18"/>
          <w:szCs w:val="18"/>
          <w:color w:val="auto"/>
        </w:rPr>
        <w:t>” for such Other Forward(s) coincides for any period of time with an Unwind Period for this Transaction (the “</w:t>
      </w:r>
      <w:r>
        <w:rPr>
          <w:rFonts w:ascii="Times New Roman" w:cs="Times New Roman" w:eastAsia="Times New Roman" w:hAnsi="Times New Roman"/>
          <w:sz w:val="18"/>
          <w:szCs w:val="18"/>
          <w:b w:val="1"/>
          <w:bCs w:val="1"/>
          <w:color w:val="auto"/>
        </w:rPr>
        <w:t>Overlap Unwind Period</w:t>
      </w:r>
      <w:r>
        <w:rPr>
          <w:rFonts w:ascii="Times New Roman" w:cs="Times New Roman" w:eastAsia="Times New Roman" w:hAnsi="Times New Roman"/>
          <w:sz w:val="18"/>
          <w:szCs w:val="18"/>
          <w:color w:val="auto"/>
        </w:rPr>
        <w:t>”), Counterparty shall notify Dealer at least one Scheduled Trading Day prior to the commencement of such Overlap Unwind Period of the first Scheduled Trading Day and the length of such Overlap Unwind Period, and Dealer shall be permitted to purchase Shares to unwind its hedge in respect of this Transaction only on alternating Scheduled Trading Days during such Overlap Unwind Period, as notified to Dealer by Counterparty at least one Exchange Business Day prior to such Overlap Unwind Period (which alternating Scheduled Trading Days, for the avoidance of doubt, may be every other Scheduled Trading Day if there is only one Other Forward, every third Scheduled Trading Day if there are two Other Forwards, etc.).</w:t>
      </w:r>
    </w:p>
    <w:p>
      <w:pPr>
        <w:spacing w:after="0" w:line="194" w:lineRule="exact"/>
        <w:rPr>
          <w:rFonts w:ascii="Times New Roman" w:cs="Times New Roman" w:eastAsia="Times New Roman" w:hAnsi="Times New Roman"/>
          <w:sz w:val="18"/>
          <w:szCs w:val="18"/>
          <w:color w:val="auto"/>
        </w:rPr>
      </w:pPr>
    </w:p>
    <w:p>
      <w:pPr>
        <w:ind w:left="4" w:right="20" w:hanging="4"/>
        <w:spacing w:after="0" w:line="261" w:lineRule="auto"/>
        <w:tabs>
          <w:tab w:leader="none" w:pos="2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Designate</w:t>
      </w:r>
      <w:r>
        <w:rPr>
          <w:rFonts w:ascii="Times New Roman" w:cs="Times New Roman" w:eastAsia="Times New Roman" w:hAnsi="Times New Roman"/>
          <w:sz w:val="18"/>
          <w:szCs w:val="18"/>
          <w:color w:val="auto"/>
        </w:rPr>
        <w:t>. Notwithstanding any other provision in this Confirmation to the contrary requiring or allowing Dealer to purchase, sell, receive or deliver any Shares or other securities to or from Counterparty, Dealer may designate any of its affiliates (each, a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to purchase, sell, receive or deliver such Shares or other securities and otherwise to perform Dealer’s obligations in respect of the Transaction and any such Designee may assume such obligations.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[Insert applicable Dealer tax language]</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[Insert any Dealer boilerplate]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71" w:name="page72"/>
    <w:bookmarkEnd w:id="71"/>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Counterparty hereby agrees (a) to check this Master Confirmation carefully and immediately upon receipt so that errors or discrepancies can be promptly identified and rectified and (b) to confirm that the foregoing (in the exact form provided by Dealer) correctly sets forth the terms of the agreement between Dealer and Counterparty hereunder, by manually signing this Master Confirmation or this page hereof as evidence of agreement to such terms and providing the other information requested herein and immediately returning an executed copy to us.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Daniel E. Swanstrom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Executive Vice President,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Chief Financial Officer and Treasurer</w:t>
      </w: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Base Forward Confirmation]</w:t>
      </w:r>
    </w:p>
    <w:p>
      <w:pPr>
        <w:sectPr>
          <w:pgSz w:w="11900" w:h="16838" w:orient="portrait"/>
          <w:cols w:equalWidth="0" w:num="1">
            <w:col w:w="10840"/>
          </w:cols>
          <w:pgMar w:left="440" w:top="270" w:right="6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If Counterparty delivers Unregistered Settlement Shares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Private Placement Settlement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then:</w:t>
      </w:r>
    </w:p>
    <w:p>
      <w:pPr>
        <w:spacing w:after="0" w:line="117" w:lineRule="exact"/>
        <w:rPr>
          <w:sz w:val="20"/>
          <w:szCs w:val="20"/>
          <w:color w:val="auto"/>
        </w:rPr>
      </w:pPr>
    </w:p>
    <w:p>
      <w:pPr>
        <w:ind w:right="400" w:firstLine="436"/>
        <w:spacing w:after="0" w:line="282"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61" w:lineRule="exact"/>
        <w:rPr>
          <w:rFonts w:ascii="Times New Roman" w:cs="Times New Roman" w:eastAsia="Times New Roman" w:hAnsi="Times New Roman"/>
          <w:sz w:val="18"/>
          <w:szCs w:val="18"/>
          <w:color w:val="auto"/>
        </w:rPr>
      </w:pPr>
    </w:p>
    <w:p>
      <w:pPr>
        <w:ind w:right="200" w:firstLine="436"/>
        <w:spacing w:after="0" w:line="281" w:lineRule="auto"/>
        <w:tabs>
          <w:tab w:leader="none" w:pos="69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or prior to the date of delivery, Dealer and any potential purchaser of any such shares from Dealer (or any affiliate of Dealer designated by Dealer) identified by Dealer shall be afforded a commercially reasonable opportunity to conduct a due diligence investigation with respect to Counterparty customary in scope for private placements of equity securities of similar size (including, without limitation, the right to have made available to them for inspection all financial and other records, pertinent corporate documents and other information reasonably requested by them);</w:t>
      </w:r>
    </w:p>
    <w:p>
      <w:pPr>
        <w:spacing w:after="0" w:line="160" w:lineRule="exact"/>
        <w:rPr>
          <w:rFonts w:ascii="Times New Roman" w:cs="Times New Roman" w:eastAsia="Times New Roman" w:hAnsi="Times New Roman"/>
          <w:sz w:val="17"/>
          <w:szCs w:val="17"/>
          <w:color w:val="auto"/>
        </w:rPr>
      </w:pPr>
    </w:p>
    <w:p>
      <w:pPr>
        <w:ind w:right="20" w:firstLine="436"/>
        <w:spacing w:after="0" w:line="254"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Counterparty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shares by Counterparty to Dealer (or any such affiliate) and the private resale of such shares by Dealer (or any such affiliate), substantially similar to private placement purchase agreements customary for private placements of equity securities of similar size, in form and substance commercially reasonably satisfactory to Dealer, which Private Placement Agreement shall include, without limitation, provisions substantially similar to those contained in such private placement purchase agreements relating, without limitation, to the indemnification of, and contribution in connection with the liability of, Dealer and its affiliates and obligations to use best efforts to obtain customary opinions, accountants’ comfort letters and lawyers’ negative assurance letters, and shall provide for the payment by Counterparty of all commercially reasonable fees and expenses in connection with such resale, including all commercially reasonable fees and expenses of counsel for Dealer,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189"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Counterparty to Dealer (or any such affiliate) and the private resale of such shares by Dealer (or any such affiliate), Counterparty shall, if so requested by Dealer, prepare, in cooperation with Dealer, a private placement memorandum in form and substance reasonably satisfactory to Dealer.</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the case of a Private Placement Settlement, Dealer shall, in its good faith discretion, adjust the amount of Unregistered Settlement Shares to be delivered to Dealer hereunder in a commercially reasonable manner to reflect the fact that such Unregistered Settlement Shares may not be freely returned to securities lenders by Dealer and may only be saleable by Dealer at a discount to reflect the lack of liquidity in Unregistered Settlement Shares.</w:t>
      </w:r>
    </w:p>
    <w:p>
      <w:pPr>
        <w:sectPr>
          <w:pgSz w:w="11900" w:h="16838" w:orient="portrait"/>
          <w:cols w:equalWidth="0" w:num="1">
            <w:col w:w="11020"/>
          </w:cols>
          <w:pgMar w:left="440" w:top="266" w:right="439" w:bottom="1440" w:gutter="0" w:footer="0" w:header="0"/>
        </w:sectPr>
      </w:pPr>
    </w:p>
    <w:bookmarkStart w:id="73" w:name="page74"/>
    <w:bookmarkEnd w:id="7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Counterparty delivers any Unregistered Settlement Shares in respect of a Transaction, Counterparty agrees that (i) such Shares may be transferred by and among Dealer and its affiliates and (ii) after the minimum “holding period” within the meaning of Rule 144(d) under the Securities Act has elapsed after the applicable Settlement Date, Counterparty shall promptly remove, or cause the transfer agent for the Shares to remove, any legends referring to any transfer restrictions from such Shares upon delivery by Dealer (or such affiliate of Dealer) to Counterparty or such transfer agent of seller’s and broker’s representation letters customarily delivered by Dealer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ectPr>
          <w:pgSz w:w="11900" w:h="16838" w:orient="portrait"/>
          <w:cols w:equalWidth="0" w:num="1">
            <w:col w:w="10780"/>
          </w:cols>
          <w:pgMar w:left="440" w:top="270" w:right="679" w:bottom="1440" w:gutter="0" w:footer="0" w:header="0"/>
        </w:sectPr>
      </w:pPr>
    </w:p>
    <w:bookmarkStart w:id="74" w:name="page75"/>
    <w:bookmarkEnd w:id="7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SUPPLEMENTAL CONFIRMATION</w:t>
      </w:r>
    </w:p>
    <w:p>
      <w:pPr>
        <w:sectPr>
          <w:pgSz w:w="11900" w:h="16838" w:orient="portrait"/>
          <w:cols w:equalWidth="0" w:num="1">
            <w:col w:w="10984"/>
          </w:cols>
          <w:pgMar w:left="436" w:top="266" w:right="479" w:bottom="1440" w:gutter="0" w:footer="0" w:header="0"/>
        </w:sect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113" w:lineRule="exact"/>
        <w:rPr>
          <w:sz w:val="20"/>
          <w:szCs w:val="20"/>
          <w:color w:val="auto"/>
        </w:rPr>
      </w:pPr>
    </w:p>
    <w:p>
      <w:pPr>
        <w:sectPr>
          <w:pgSz w:w="11900" w:h="16838" w:orient="portrait"/>
          <w:cols w:equalWidth="0" w:num="2">
            <w:col w:w="384" w:space="720"/>
            <w:col w:w="988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ectPr>
          <w:pgSz w:w="11900" w:h="16838" w:orient="portrait"/>
          <w:cols w:equalWidth="0" w:num="3">
            <w:col w:w="384" w:space="720"/>
            <w:col w:w="100" w:space="140"/>
            <w:col w:w="964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ectPr>
          <w:pgSz w:w="11900" w:h="16838" w:orient="portrait"/>
          <w:cols w:equalWidth="0" w:num="2">
            <w:col w:w="484" w:space="620"/>
            <w:col w:w="988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Issuer Share Forward Sale Transaction</w:t>
      </w:r>
    </w:p>
    <w:p>
      <w:pPr>
        <w:spacing w:after="0" w:line="125" w:lineRule="exact"/>
        <w:rPr>
          <w:sz w:val="20"/>
          <w:szCs w:val="20"/>
          <w:color w:val="auto"/>
        </w:rPr>
      </w:pPr>
    </w:p>
    <w:p>
      <w:pPr>
        <w:sectPr>
          <w:pgSz w:w="11900" w:h="16838" w:orient="portrait"/>
          <w:cols w:equalWidth="0" w:num="2">
            <w:col w:w="384" w:space="720"/>
            <w:col w:w="988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Ref.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ectPr>
          <w:pgSz w:w="11900" w:h="16838" w:orient="portrait"/>
          <w:cols w:equalWidth="0" w:num="3">
            <w:col w:w="644" w:space="460"/>
            <w:col w:w="100" w:space="140"/>
            <w:col w:w="964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15, 2026</w:t>
      </w:r>
    </w:p>
    <w:p>
      <w:pPr>
        <w:spacing w:after="0" w:line="207" w:lineRule="exact"/>
        <w:rPr>
          <w:sz w:val="20"/>
          <w:szCs w:val="20"/>
          <w:color w:val="auto"/>
        </w:rPr>
      </w:pPr>
    </w:p>
    <w:p>
      <w:pPr>
        <w:sectPr>
          <w:pgSz w:w="11900" w:h="16838" w:orient="portrait"/>
          <w:cols w:equalWidth="0" w:num="2">
            <w:col w:w="424" w:space="680"/>
            <w:col w:w="9880"/>
          </w:cols>
          <w:pgMar w:left="436" w:top="266" w:right="479" w:bottom="1440" w:gutter="0" w:footer="0" w:header="0"/>
          <w:type w:val="continuous"/>
        </w:sectPr>
      </w:pP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jc w:val="both"/>
        <w:ind w:left="4" w:right="80"/>
        <w:spacing w:after="0" w:line="268" w:lineRule="auto"/>
        <w:rPr>
          <w:sz w:val="20"/>
          <w:szCs w:val="20"/>
          <w:color w:val="auto"/>
        </w:rPr>
      </w:pPr>
      <w:r>
        <w:rPr>
          <w:rFonts w:ascii="Times New Roman" w:cs="Times New Roman" w:eastAsia="Times New Roman" w:hAnsi="Times New Roman"/>
          <w:sz w:val="18"/>
          <w:szCs w:val="18"/>
          <w:color w:val="auto"/>
        </w:rPr>
        <w:t>The purpose of this Supplemental Confirmation is to confirm the terms and conditions of the Transaction entered into between [</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The Macerich Company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on the Trade Date specified below. This Supplemental Confirmation is a binding contract between Dealer and Counterparty as of the relevant Trade Date for the Transaction referenced below.</w:t>
      </w:r>
    </w:p>
    <w:p>
      <w:pPr>
        <w:spacing w:after="0" w:line="171" w:lineRule="exact"/>
        <w:rPr>
          <w:sz w:val="20"/>
          <w:szCs w:val="20"/>
          <w:color w:val="auto"/>
        </w:rPr>
      </w:pPr>
    </w:p>
    <w:p>
      <w:pPr>
        <w:ind w:left="4" w:hanging="4"/>
        <w:spacing w:after="0" w:line="268" w:lineRule="auto"/>
        <w:tabs>
          <w:tab w:leader="none" w:pos="1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Confirmation supplements, forms part of, and is subject to the Master Confirmation dated as of June 15, 2026 (the “</w:t>
      </w:r>
      <w:r>
        <w:rPr>
          <w:rFonts w:ascii="Times New Roman" w:cs="Times New Roman" w:eastAsia="Times New Roman" w:hAnsi="Times New Roman"/>
          <w:sz w:val="18"/>
          <w:szCs w:val="18"/>
          <w:b w:val="1"/>
          <w:bCs w:val="1"/>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between the Contracting Parties, as amended and supplemented from time to time. All provisions contained in the Master Confirmation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 this Supplemental Confirmation except as expressly modified below.</w:t>
      </w:r>
    </w:p>
    <w:p>
      <w:pPr>
        <w:spacing w:after="0" w:line="17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to which this Supplemental Confirmation relates are as follows:</w:t>
      </w:r>
    </w:p>
    <w:p>
      <w:pPr>
        <w:sectPr>
          <w:pgSz w:w="11900" w:h="16838" w:orient="portrait"/>
          <w:cols w:equalWidth="0" w:num="1">
            <w:col w:w="10984"/>
          </w:cols>
          <w:pgMar w:left="436" w:top="266" w:right="479" w:bottom="1440" w:gutter="0" w:footer="0" w:header="0"/>
          <w:type w:val="continuous"/>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Trade Date: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Maturity Date: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Shares: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Spread: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Threshold Price: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Initial Stock Loan Rate: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Maximum Stock Loan Rate: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$7.70775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basis points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basis points per annum</w:t>
      </w:r>
    </w:p>
    <w:p>
      <w:pPr>
        <w:sectPr>
          <w:pgSz w:w="11900" w:h="16838" w:orient="portrait"/>
          <w:cols w:equalWidth="0" w:num="2">
            <w:col w:w="2044" w:space="500"/>
            <w:col w:w="8440"/>
          </w:cols>
          <w:pgMar w:left="436" w:top="266" w:right="479" w:bottom="1440" w:gutter="0" w:footer="0" w:header="0"/>
          <w:type w:val="continuous"/>
        </w:sectPr>
      </w:pPr>
    </w:p>
    <w:bookmarkStart w:id="75" w:name="page76"/>
    <w:bookmarkEnd w:id="75"/>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our agreement by signing and returning this Supplemental Confirmation.</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Daniel E. Swanstrom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Senior Executive Vice President,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Chief Financial Officer and Treasurer</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to Base Supplemental Confirmation]</w:t>
      </w:r>
    </w:p>
    <w:p>
      <w:pPr>
        <w:sectPr>
          <w:pgSz w:w="11900" w:h="16838" w:orient="portrait"/>
          <w:cols w:equalWidth="0" w:num="1">
            <w:col w:w="10420"/>
          </w:cols>
          <w:pgMar w:left="440" w:top="270" w:right="10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FORWARD PRICE REDUCTION AMOUNTS</w:t>
            </w:r>
          </w:p>
        </w:tc>
        <w:tc>
          <w:tcPr>
            <w:tcW w:w="1580" w:type="dxa"/>
            <w:vAlign w:val="bottom"/>
          </w:tcPr>
          <w:p>
            <w:pPr>
              <w:spacing w:after="0"/>
              <w:rPr>
                <w:sz w:val="24"/>
                <w:szCs w:val="24"/>
                <w:color w:val="auto"/>
              </w:rPr>
            </w:pPr>
          </w:p>
        </w:tc>
      </w:tr>
      <w:tr>
        <w:trPr>
          <w:trHeight w:val="367"/>
        </w:trPr>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7"/>
        </w:trPr>
        <w:tc>
          <w:tcPr>
            <w:tcW w:w="2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Price Reduction Date:</w:t>
            </w:r>
          </w:p>
        </w:tc>
        <w:tc>
          <w:tcPr>
            <w:tcW w:w="8420" w:type="dxa"/>
            <w:vAlign w:val="bottom"/>
            <w:gridSpan w:val="2"/>
          </w:tcPr>
          <w:p>
            <w:pPr>
              <w:ind w:left="6260"/>
              <w:spacing w:after="0"/>
              <w:rPr>
                <w:sz w:val="20"/>
                <w:szCs w:val="20"/>
                <w:color w:val="auto"/>
              </w:rPr>
            </w:pPr>
            <w:r>
              <w:rPr>
                <w:rFonts w:ascii="Times New Roman" w:cs="Times New Roman" w:eastAsia="Times New Roman" w:hAnsi="Times New Roman"/>
                <w:sz w:val="14"/>
                <w:szCs w:val="14"/>
                <w:b w:val="1"/>
                <w:bCs w:val="1"/>
                <w:color w:val="auto"/>
              </w:rPr>
              <w:t>Forward Price Reduction Amount:</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40" w:type="dxa"/>
            <w:vAlign w:val="bottom"/>
            <w:shd w:val="clear" w:color="auto" w:fill="CCEEFF"/>
          </w:tcPr>
          <w:p>
            <w:pPr>
              <w:ind w:left="6260"/>
              <w:spacing w:after="0"/>
              <w:rPr>
                <w:sz w:val="20"/>
                <w:szCs w:val="20"/>
                <w:color w:val="auto"/>
              </w:rPr>
            </w:pPr>
            <w:r>
              <w:rPr>
                <w:rFonts w:ascii="Times New Roman" w:cs="Times New Roman" w:eastAsia="Times New Roman" w:hAnsi="Times New Roman"/>
                <w:sz w:val="18"/>
                <w:szCs w:val="18"/>
                <w:color w:val="auto"/>
                <w:w w:val="86"/>
              </w:rPr>
              <w:t>USD [ </w:t>
            </w:r>
          </w:p>
        </w:tc>
        <w:tc>
          <w:tcPr>
            <w:tcW w:w="15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40" w:type="dxa"/>
            <w:vAlign w:val="bottom"/>
          </w:tcPr>
          <w:p>
            <w:pPr>
              <w:ind w:left="6260"/>
              <w:spacing w:after="0"/>
              <w:rPr>
                <w:sz w:val="20"/>
                <w:szCs w:val="20"/>
                <w:color w:val="auto"/>
              </w:rPr>
            </w:pPr>
            <w:r>
              <w:rPr>
                <w:rFonts w:ascii="Times New Roman" w:cs="Times New Roman" w:eastAsia="Times New Roman" w:hAnsi="Times New Roman"/>
                <w:sz w:val="18"/>
                <w:szCs w:val="18"/>
                <w:color w:val="auto"/>
                <w:w w:val="86"/>
              </w:rPr>
              <w:t>USD [ </w:t>
            </w:r>
          </w:p>
        </w:tc>
        <w:tc>
          <w:tcPr>
            <w:tcW w:w="15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40" w:type="dxa"/>
            <w:vAlign w:val="bottom"/>
            <w:shd w:val="clear" w:color="auto" w:fill="CCEEFF"/>
          </w:tcPr>
          <w:p>
            <w:pPr>
              <w:ind w:left="6260"/>
              <w:spacing w:after="0"/>
              <w:rPr>
                <w:sz w:val="20"/>
                <w:szCs w:val="20"/>
                <w:color w:val="auto"/>
              </w:rPr>
            </w:pPr>
            <w:r>
              <w:rPr>
                <w:rFonts w:ascii="Times New Roman" w:cs="Times New Roman" w:eastAsia="Times New Roman" w:hAnsi="Times New Roman"/>
                <w:sz w:val="18"/>
                <w:szCs w:val="18"/>
                <w:color w:val="auto"/>
                <w:w w:val="86"/>
              </w:rPr>
              <w:t>USD [ </w:t>
            </w:r>
          </w:p>
        </w:tc>
        <w:tc>
          <w:tcPr>
            <w:tcW w:w="15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40" w:type="dxa"/>
            <w:vAlign w:val="bottom"/>
          </w:tcPr>
          <w:p>
            <w:pPr>
              <w:ind w:left="6260"/>
              <w:spacing w:after="0"/>
              <w:rPr>
                <w:sz w:val="20"/>
                <w:szCs w:val="20"/>
                <w:color w:val="auto"/>
              </w:rPr>
            </w:pPr>
            <w:r>
              <w:rPr>
                <w:rFonts w:ascii="Times New Roman" w:cs="Times New Roman" w:eastAsia="Times New Roman" w:hAnsi="Times New Roman"/>
                <w:sz w:val="18"/>
                <w:szCs w:val="18"/>
                <w:color w:val="auto"/>
                <w:w w:val="86"/>
              </w:rPr>
              <w:t>USD [ </w:t>
            </w:r>
          </w:p>
        </w:tc>
        <w:tc>
          <w:tcPr>
            <w:tcW w:w="15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40" w:type="dxa"/>
            <w:vAlign w:val="bottom"/>
            <w:shd w:val="clear" w:color="auto" w:fill="CCEEFF"/>
          </w:tcPr>
          <w:p>
            <w:pPr>
              <w:ind w:left="6260"/>
              <w:spacing w:after="0"/>
              <w:rPr>
                <w:sz w:val="20"/>
                <w:szCs w:val="20"/>
                <w:color w:val="auto"/>
              </w:rPr>
            </w:pPr>
            <w:r>
              <w:rPr>
                <w:rFonts w:ascii="Times New Roman" w:cs="Times New Roman" w:eastAsia="Times New Roman" w:hAnsi="Times New Roman"/>
                <w:sz w:val="18"/>
                <w:szCs w:val="18"/>
                <w:color w:val="auto"/>
                <w:w w:val="86"/>
              </w:rPr>
              <w:t>USD [ </w:t>
            </w:r>
          </w:p>
        </w:tc>
        <w:tc>
          <w:tcPr>
            <w:tcW w:w="15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20[ </w:t>
            </w:r>
          </w:p>
        </w:tc>
        <w:tc>
          <w:tcPr>
            <w:tcW w:w="1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840" w:type="dxa"/>
            <w:vAlign w:val="bottom"/>
          </w:tcPr>
          <w:p>
            <w:pPr>
              <w:ind w:left="6260"/>
              <w:spacing w:after="0"/>
              <w:rPr>
                <w:sz w:val="20"/>
                <w:szCs w:val="20"/>
                <w:color w:val="auto"/>
              </w:rPr>
            </w:pPr>
            <w:r>
              <w:rPr>
                <w:rFonts w:ascii="Times New Roman" w:cs="Times New Roman" w:eastAsia="Times New Roman" w:hAnsi="Times New Roman"/>
                <w:sz w:val="18"/>
                <w:szCs w:val="18"/>
                <w:color w:val="auto"/>
                <w:w w:val="86"/>
              </w:rPr>
              <w:t>USD [ </w:t>
            </w:r>
          </w:p>
        </w:tc>
        <w:tc>
          <w:tcPr>
            <w:tcW w:w="15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REGULAR DIVIDEND AMOUNTS</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any calendar quarter ending on or prior to [ 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calendar quarter ending after [ 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USD [ 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USD [   ]</w:t>
      </w:r>
    </w:p>
    <w:p>
      <w:pPr>
        <w:sectPr>
          <w:pgSz w:w="11900" w:h="16838" w:orient="portrait"/>
          <w:cols w:equalWidth="0" w:num="2">
            <w:col w:w="5020" w:space="720"/>
            <w:col w:w="5280"/>
          </w:cols>
          <w:pgMar w:left="440" w:top="266" w:right="4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17370" cy="402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17370" cy="402590"/>
                    </a:xfrm>
                    <a:prstGeom prst="rect">
                      <a:avLst/>
                    </a:prstGeom>
                    <a:noFill/>
                  </pic:spPr>
                </pic:pic>
              </a:graphicData>
            </a:graphic>
          </wp:anchor>
        </w:drawing>
      </w:r>
    </w:p>
    <w:p>
      <w:pPr>
        <w:spacing w:after="0" w:line="331" w:lineRule="exact"/>
        <w:rPr>
          <w:sz w:val="20"/>
          <w:szCs w:val="20"/>
          <w:color w:val="auto"/>
        </w:rPr>
      </w:pPr>
    </w:p>
    <w:p>
      <w:pPr>
        <w:jc w:val="both"/>
        <w:ind w:left="7260" w:hanging="838"/>
        <w:spacing w:after="0" w:line="312" w:lineRule="auto"/>
        <w:rPr>
          <w:sz w:val="20"/>
          <w:szCs w:val="20"/>
          <w:color w:val="auto"/>
        </w:rPr>
      </w:pPr>
      <w:r>
        <w:rPr>
          <w:rFonts w:ascii="Times New Roman" w:cs="Times New Roman" w:eastAsia="Times New Roman" w:hAnsi="Times New Roman"/>
          <w:sz w:val="17"/>
          <w:szCs w:val="17"/>
          <w:color w:val="auto"/>
        </w:rPr>
        <w:t xml:space="preserve">750 E. PRATT STREET SUITE 900 BALTIMORE, MD 21202 </w:t>
      </w:r>
      <w:r>
        <w:rPr>
          <w:rFonts w:ascii="Times New Roman" w:cs="Times New Roman" w:eastAsia="Times New Roman" w:hAnsi="Times New Roman"/>
          <w:sz w:val="17"/>
          <w:szCs w:val="17"/>
          <w:b w:val="1"/>
          <w:bCs w:val="1"/>
          <w:color w:val="auto"/>
        </w:rPr>
        <w:t xml:space="preserve">T </w:t>
      </w:r>
      <w:r>
        <w:rPr>
          <w:rFonts w:ascii="Times New Roman" w:cs="Times New Roman" w:eastAsia="Times New Roman" w:hAnsi="Times New Roman"/>
          <w:sz w:val="17"/>
          <w:szCs w:val="17"/>
          <w:color w:val="auto"/>
        </w:rPr>
        <w:t>410.244.7400</w:t>
      </w:r>
      <w:r>
        <w:rPr>
          <w:rFonts w:ascii="Times New Roman" w:cs="Times New Roman" w:eastAsia="Times New Roman" w:hAnsi="Times New Roman"/>
          <w:sz w:val="17"/>
          <w:szCs w:val="17"/>
          <w:b w:val="1"/>
          <w:bCs w:val="1"/>
          <w:color w:val="auto"/>
        </w:rPr>
        <w:t xml:space="preserve"> F </w:t>
      </w:r>
      <w:r>
        <w:rPr>
          <w:rFonts w:ascii="Times New Roman" w:cs="Times New Roman" w:eastAsia="Times New Roman" w:hAnsi="Times New Roman"/>
          <w:sz w:val="17"/>
          <w:szCs w:val="17"/>
          <w:color w:val="auto"/>
        </w:rPr>
        <w:t>410.244.7742 www.Venable.com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Wilshire Boulevard,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California 90401</w:t>
      </w:r>
    </w:p>
    <w:p>
      <w:pPr>
        <w:spacing w:after="0" w:line="23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 (File No. 333-273707)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We have served as Maryland counsel to The Macerich Company, a Maryland corporation (the “Company”), in connection with certain matters of Maryland law arising out of the offering and sale of up to 16,100,000 shares (the “Shares”) of common stock of the Company, par value $0.01 per share (the “Common Stock”), including up to 2,100,000 shares which the Underwriters (as defined below) have the option to purchase, pursuant to the Underwriting Agreement, dated June 15, 2026 (the “Underwriting Agreement”), by and among the Company, the Forward Sellers (as defined in the Underwriting Agreement), the Forward Purchasers (as defined in the Underwriting Agreement) and Goldman Sachs &amp; Co. LLC, Deutsche Bank Securities Inc., J. P. Morgan Securities LLC, Morgan Stanley &amp; Co. LLC, BMO Capital Markets Corp., TD Securities (USA) LLC and Scotia Capital (USA) Inc. (collectively, the “Underwriters”). Pursuant to the Underwriting Agreement, the Company will issue and sell any Shares (such Shares, if and to the extent so issued and sold by the Company, the “Company Shares”) that the Forward Sellers do not sell and deliver to the Underwriters. The Company will also issue, sell and/or deliver up to 20,125,000 shares of Common Stock (the “Confirmation Shares”), upon settlement of one or more Forward Sale Agreements (as defined below).</w:t>
      </w:r>
    </w:p>
    <w:p>
      <w:pPr>
        <w:spacing w:after="0" w:line="194"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2" w:lineRule="exact"/>
        <w:rPr>
          <w:sz w:val="20"/>
          <w:szCs w:val="20"/>
          <w:color w:val="auto"/>
        </w:rPr>
      </w:pPr>
    </w:p>
    <w:p>
      <w:pPr>
        <w:ind w:right="40" w:firstLine="987"/>
        <w:spacing w:after="0" w:line="312" w:lineRule="auto"/>
        <w:tabs>
          <w:tab w:leader="none" w:pos="117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above-referenced Registration Statement and the related form of prospectus included therein in the form in which it was transmitted to the United States Securities and Exchange Commission (the “Commission”) under the Securities Act of 1933, as amended (the “1933 Act”);</w:t>
      </w:r>
    </w:p>
    <w:p>
      <w:pPr>
        <w:spacing w:after="0" w:line="139" w:lineRule="exact"/>
        <w:rPr>
          <w:rFonts w:ascii="Times New Roman" w:cs="Times New Roman" w:eastAsia="Times New Roman" w:hAnsi="Times New Roman"/>
          <w:sz w:val="17"/>
          <w:szCs w:val="17"/>
          <w:color w:val="auto"/>
        </w:rPr>
      </w:pPr>
    </w:p>
    <w:p>
      <w:pPr>
        <w:jc w:val="both"/>
        <w:ind w:right="100" w:firstLine="987"/>
        <w:spacing w:after="0" w:line="261" w:lineRule="auto"/>
        <w:tabs>
          <w:tab w:leader="none" w:pos="117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dated August 4, 2023 (the “Base Prospectus”), as supplemented by a Prospectus Supplement, dated June 15, 2026 (the “Prospectus Supplement” and, together with the Base Prospectus, the “Prospectus”), with respect to the offering and sale of the Shares (the “Offering”), each in the form in which it was transmitted to the Commission, including, in the case of the Prospectus Supplement, pursuant to Rule 424(b) of the General Rules and Regulations promulgated under the 1933 Act;</w:t>
      </w:r>
    </w:p>
    <w:p>
      <w:pPr>
        <w:sectPr>
          <w:pgSz w:w="11900" w:h="16838" w:orient="portrait"/>
          <w:cols w:equalWidth="0" w:num="1">
            <w:col w:w="11020"/>
          </w:cols>
          <w:pgMar w:left="440" w:top="117" w:right="439" w:bottom="1440" w:gutter="0" w:footer="0" w:header="0"/>
        </w:sectPr>
      </w:pPr>
    </w:p>
    <w:bookmarkStart w:id="78" w:name="page79"/>
    <w:bookmarkEnd w:id="7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646430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17370" cy="403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03225"/>
                    </a:xfrm>
                    <a:prstGeom prst="rect">
                      <a:avLst/>
                    </a:prstGeom>
                    <a:noFill/>
                  </pic:spPr>
                </pic:pic>
              </a:graphicData>
            </a:graphic>
          </wp:anchor>
        </w:drawing>
        <w:t>The Macerich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17,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164" w:hanging="173"/>
        <w:spacing w:after="0"/>
        <w:tabs>
          <w:tab w:leader="none" w:pos="11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Company (the “Charter”), certified by the State Department of Assessments and Taxation of Maryland (the “SDAT”);</w:t>
      </w:r>
    </w:p>
    <w:p>
      <w:pPr>
        <w:spacing w:after="0" w:line="22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certified as of the date hereof by an officer of the Company;</w:t>
      </w:r>
    </w:p>
    <w:p>
      <w:pPr>
        <w:spacing w:after="0" w:line="22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SDAT as to the good standing of the Company, dated as of a recent date;</w:t>
      </w:r>
    </w:p>
    <w:p>
      <w:pPr>
        <w:spacing w:after="0" w:line="225" w:lineRule="exact"/>
        <w:rPr>
          <w:rFonts w:ascii="Times New Roman" w:cs="Times New Roman" w:eastAsia="Times New Roman" w:hAnsi="Times New Roman"/>
          <w:sz w:val="18"/>
          <w:szCs w:val="18"/>
          <w:color w:val="auto"/>
        </w:rPr>
      </w:pPr>
    </w:p>
    <w:p>
      <w:pPr>
        <w:jc w:val="center"/>
        <w:ind w:left="4" w:firstLine="987"/>
        <w:spacing w:after="0" w:line="276" w:lineRule="auto"/>
        <w:tabs>
          <w:tab w:leader="none" w:pos="1175"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adopted by the Board of Directors of the Company, and a duly authorized committee thereof (collectively, the “Resolutions”), relating to, among other matters, (a) the authorization of the execution and delivery by the Company of the Underwriting Agreement and</w:t>
      </w:r>
    </w:p>
    <w:p>
      <w:pPr>
        <w:ind w:left="4" w:right="80" w:hanging="4"/>
        <w:spacing w:after="0" w:line="260"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offering and sale of the Shares and the issuance, sale and/or delivery of any Company Shares and the Confirmation Shares, certified as of the date hereof by an officer of the Company;</w:t>
      </w:r>
    </w:p>
    <w:p>
      <w:pPr>
        <w:spacing w:after="0" w:line="181"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225"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17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letter agreements, each dated June 15, 2026 (the “Existing Forward Sale Agreements”), between the Company and one of the Forward Purchasers in relation to the offering and sale of the Shares;</w:t>
      </w:r>
    </w:p>
    <w:p>
      <w:pPr>
        <w:spacing w:after="0" w:line="162" w:lineRule="exact"/>
        <w:rPr>
          <w:sz w:val="20"/>
          <w:szCs w:val="20"/>
          <w:color w:val="auto"/>
        </w:rPr>
      </w:pPr>
    </w:p>
    <w:p>
      <w:pPr>
        <w:ind w:left="1164" w:hanging="173"/>
        <w:spacing w:after="0"/>
        <w:tabs>
          <w:tab w:leader="none" w:pos="11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and</w:t>
      </w:r>
    </w:p>
    <w:p>
      <w:pPr>
        <w:spacing w:after="0" w:line="225"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17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p>
      <w:pPr>
        <w:ind w:left="1164" w:hanging="173"/>
        <w:spacing w:after="0"/>
        <w:tabs>
          <w:tab w:leader="none" w:pos="11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another person, is legally competent to do so.</w:t>
      </w:r>
    </w:p>
    <w:p>
      <w:pPr>
        <w:spacing w:after="0" w:line="22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1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ectPr>
          <w:pgSz w:w="11900" w:h="16838" w:orient="portrait"/>
          <w:cols w:equalWidth="0" w:num="1">
            <w:col w:w="11004"/>
          </w:cols>
          <w:pgMar w:left="436" w:top="1093"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646430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17370" cy="403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03225"/>
                    </a:xfrm>
                    <a:prstGeom prst="rect">
                      <a:avLst/>
                    </a:prstGeom>
                    <a:noFill/>
                  </pic:spPr>
                </pic:pic>
              </a:graphicData>
            </a:graphic>
          </wp:anchor>
        </w:drawing>
        <w:t>The Macerich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80" w:firstLine="987"/>
        <w:spacing w:after="0" w:line="256" w:lineRule="auto"/>
        <w:tabs>
          <w:tab w:leader="none" w:pos="11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rFonts w:ascii="Times New Roman" w:cs="Times New Roman" w:eastAsia="Times New Roman" w:hAnsi="Times New Roman"/>
          <w:sz w:val="18"/>
          <w:szCs w:val="18"/>
          <w:color w:val="auto"/>
        </w:rPr>
      </w:pPr>
    </w:p>
    <w:p>
      <w:pPr>
        <w:ind w:right="140" w:firstLine="987"/>
        <w:spacing w:after="0" w:line="282" w:lineRule="auto"/>
        <w:tabs>
          <w:tab w:leader="none" w:pos="11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Confirmation Shares will not be issued or transferred in violation of the restrictions or limitations contained in Article EIGHTH of the Charter.</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1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Confirmation Shares, the total number of shares of Common Stock issued and outstanding will not exceed the total number of shares of Common Stock that the Company is then authorized to issue under the Charter.</w:t>
      </w:r>
    </w:p>
    <w:p>
      <w:pPr>
        <w:spacing w:after="0" w:line="161" w:lineRule="exact"/>
        <w:rPr>
          <w:rFonts w:ascii="Times New Roman" w:cs="Times New Roman" w:eastAsia="Times New Roman" w:hAnsi="Times New Roman"/>
          <w:sz w:val="18"/>
          <w:szCs w:val="18"/>
          <w:color w:val="auto"/>
        </w:rPr>
      </w:pPr>
    </w:p>
    <w:p>
      <w:pPr>
        <w:ind w:right="200" w:firstLine="987"/>
        <w:spacing w:after="0" w:line="261" w:lineRule="auto"/>
        <w:tabs>
          <w:tab w:leader="none" w:pos="117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agreement entered into between the Company and any Forward Purchaser in connection with the exercise by the Underwriters of an option to purchase additional shares of Common Stock (each, a “Future Forward Sale Agreement” and, together with the Existing Forward Sale Agreements, the “Forward Sale Agreements”) will not differ in any manner material to this opinion from the Existing Forward Sale Agreements.</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200" w:firstLine="987"/>
        <w:spacing w:after="0" w:line="282" w:lineRule="auto"/>
        <w:tabs>
          <w:tab w:leader="none" w:pos="117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Maryland and is in good standing with the SDAT.</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17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Company Shares has been duly authorized and, when issued and delivered by the Company against payment therefor in accordance with the Underwriting Agreement, the Resolutions, the Registration Statement and the Prospectus, the Company Shares will be validly issued, fully paid and nonassessable.</w:t>
      </w:r>
    </w:p>
    <w:p>
      <w:pPr>
        <w:sectPr>
          <w:pgSz w:w="11900" w:h="16838" w:orient="portrait"/>
          <w:cols w:equalWidth="0" w:num="1">
            <w:col w:w="10940"/>
          </w:cols>
          <w:pgMar w:left="440" w:top="1093"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646430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17370" cy="403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03225"/>
                    </a:xfrm>
                    <a:prstGeom prst="rect">
                      <a:avLst/>
                    </a:prstGeom>
                    <a:noFill/>
                  </pic:spPr>
                </pic:pic>
              </a:graphicData>
            </a:graphic>
          </wp:anchor>
        </w:drawing>
        <w:t>The Macerich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jc w:val="both"/>
        <w:ind w:right="520" w:firstLine="987"/>
        <w:spacing w:after="0" w:line="266" w:lineRule="auto"/>
        <w:tabs>
          <w:tab w:leader="none" w:pos="117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Confirmation Shares has been duly authorized and, when and if issued and delivered by the Company against payment therefor in accordance with the applicable Forward Sale Agreement, the Resolutions, the Registration Statement and the Prospectus, the Confirmation Shares will be validly issued, fully paid and nonassessable.</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federal or state laws regarding fraudulent transfers or the laws, codes or regulations or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8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Venable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42066-580062</w:t>
      </w:r>
    </w:p>
    <w:sectPr>
      <w:pgSz w:w="11900" w:h="16838" w:orient="portrait"/>
      <w:cols w:equalWidth="0" w:num="1">
        <w:col w:w="11000"/>
      </w:cols>
      <w:pgMar w:left="440" w:top="10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decimal"/>
      <w:start w:val="104"/>
    </w:lvl>
  </w:abstractNum>
  <w:abstractNum w:abstractNumId="2">
    <w:nsid w:val="1BA026FA"/>
    <w:multiLevelType w:val="hybridMultilevel"/>
    <w:lvl w:ilvl="0">
      <w:lvlJc w:val="left"/>
      <w:lvlText w:val="%1."/>
      <w:numFmt w:val="decimal"/>
      <w:start w:val="1"/>
    </w:lvl>
  </w:abstractNum>
  <w:abstractNum w:abstractNumId="3">
    <w:nsid w:val="79A1DEAA"/>
    <w:multiLevelType w:val="hybridMultilevel"/>
    <w:lvl w:ilvl="0">
      <w:lvlJc w:val="left"/>
      <w:lvlText w:val="(%1)"/>
      <w:numFmt w:val="lowerLetter"/>
      <w:start w:val="1"/>
    </w:lvl>
  </w:abstractNum>
  <w:abstractNum w:abstractNumId="4">
    <w:nsid w:val="75C6C33A"/>
    <w:multiLevelType w:val="hybridMultilevel"/>
    <w:lvl w:ilvl="0">
      <w:lvlJc w:val="left"/>
      <w:lvlText w:val="(%1)"/>
      <w:numFmt w:val="lowerLetter"/>
      <w:start w:val="3"/>
    </w:lvl>
  </w:abstractNum>
  <w:abstractNum w:abstractNumId="5">
    <w:nsid w:val="12E685FB"/>
    <w:multiLevelType w:val="hybridMultilevel"/>
    <w:lvl w:ilvl="0">
      <w:lvlJc w:val="left"/>
      <w:lvlText w:val="%1"/>
      <w:numFmt w:val="lowerLetter"/>
      <w:start w:val="1"/>
    </w:lvl>
    <w:lvl w:ilvl="1">
      <w:lvlJc w:val="left"/>
      <w:lvlText w:val="(%2)"/>
      <w:numFmt w:val="lowerLetter"/>
      <w:start w:val="5"/>
    </w:lvl>
  </w:abstractNum>
  <w:abstractNum w:abstractNumId="6">
    <w:nsid w:val="70C6A529"/>
    <w:multiLevelType w:val="hybridMultilevel"/>
    <w:lvl w:ilvl="0">
      <w:lvlJc w:val="left"/>
      <w:lvlText w:val="(%1)"/>
      <w:numFmt w:val="lowerLetter"/>
      <w:start w:val="35"/>
    </w:lvl>
    <w:lvl w:ilvl="1">
      <w:lvlJc w:val="left"/>
      <w:lvlText w:val="(%2)"/>
      <w:numFmt w:val="lowerLetter"/>
      <w:start w:val="6"/>
    </w:lvl>
  </w:abstractNum>
  <w:abstractNum w:abstractNumId="7">
    <w:nsid w:val="520EEDD1"/>
    <w:multiLevelType w:val="hybridMultilevel"/>
    <w:lvl w:ilvl="0">
      <w:lvlJc w:val="left"/>
      <w:lvlText w:val="%1"/>
      <w:numFmt w:val="lowerRoman"/>
      <w:start w:val="1"/>
    </w:lvl>
    <w:lvl w:ilvl="1">
      <w:lvlJc w:val="left"/>
      <w:lvlText w:val="(%2)"/>
      <w:numFmt w:val="lowerLetter"/>
      <w:start w:val="10"/>
    </w:lvl>
  </w:abstractNum>
  <w:abstractNum w:abstractNumId="8">
    <w:nsid w:val="374A3FE6"/>
    <w:multiLevelType w:val="hybridMultilevel"/>
    <w:lvl w:ilvl="0">
      <w:lvlJc w:val="left"/>
      <w:lvlText w:val="(%1)"/>
      <w:numFmt w:val="lowerRoman"/>
      <w:start w:val="4"/>
    </w:lvl>
    <w:lvl w:ilvl="1">
      <w:lvlJc w:val="left"/>
      <w:lvlText w:val="%2"/>
      <w:numFmt w:val="lowerLetter"/>
      <w:start w:val="1"/>
    </w:lvl>
  </w:abstractNum>
  <w:abstractNum w:abstractNumId="9">
    <w:nsid w:val="4F4EF005"/>
    <w:multiLevelType w:val="hybridMultilevel"/>
    <w:lvl w:ilvl="0">
      <w:lvlJc w:val="left"/>
      <w:lvlText w:val="(%1)"/>
      <w:numFmt w:val="lowerLetter"/>
      <w:start w:val="16"/>
    </w:lvl>
  </w:abstractNum>
  <w:abstractNum w:abstractNumId="10">
    <w:nsid w:val="23F9C13C"/>
    <w:multiLevelType w:val="hybridMultilevel"/>
    <w:lvl w:ilvl="0">
      <w:lvlJc w:val="left"/>
      <w:lvlText w:val="%1"/>
      <w:numFmt w:val="lowerLetter"/>
      <w:start w:val="1"/>
    </w:lvl>
    <w:lvl w:ilvl="1">
      <w:lvlJc w:val="left"/>
      <w:lvlText w:val="(%2)"/>
      <w:numFmt w:val="lowerLetter"/>
      <w:start w:val="20"/>
    </w:lvl>
  </w:abstractNum>
  <w:abstractNum w:abstractNumId="11">
    <w:nsid w:val="649BB77C"/>
    <w:multiLevelType w:val="hybridMultilevel"/>
    <w:lvl w:ilvl="0">
      <w:lvlJc w:val="left"/>
      <w:lvlText w:val="(%1)"/>
      <w:numFmt w:val="lowerLetter"/>
      <w:start w:val="35"/>
    </w:lvl>
    <w:lvl w:ilvl="1">
      <w:lvlJc w:val="left"/>
      <w:lvlText w:val="(%2)"/>
      <w:numFmt w:val="lowerLetter"/>
      <w:start w:val="22"/>
    </w:lvl>
  </w:abstractNum>
  <w:abstractNum w:abstractNumId="12">
    <w:nsid w:val="275AC794"/>
    <w:multiLevelType w:val="hybridMultilevel"/>
    <w:lvl w:ilvl="0">
      <w:lvlJc w:val="left"/>
      <w:lvlText w:val="(%1)"/>
      <w:numFmt w:val="lowerLetter"/>
      <w:start w:val="26"/>
    </w:lvl>
  </w:abstractNum>
  <w:abstractNum w:abstractNumId="13">
    <w:nsid w:val="39386575"/>
    <w:multiLevelType w:val="hybridMultilevel"/>
    <w:lvl w:ilvl="0">
      <w:lvlJc w:val="left"/>
      <w:lvlText w:val="(%1)"/>
      <w:numFmt w:val="lowerLetter"/>
      <w:start w:val="27"/>
    </w:lvl>
  </w:abstractNum>
  <w:abstractNum w:abstractNumId="14">
    <w:nsid w:val="1CF10FD8"/>
    <w:multiLevelType w:val="hybridMultilevel"/>
    <w:lvl w:ilvl="0">
      <w:lvlJc w:val="left"/>
      <w:lvlText w:val="(%1)"/>
      <w:numFmt w:val="lowerLetter"/>
      <w:start w:val="29"/>
    </w:lvl>
  </w:abstractNum>
  <w:abstractNum w:abstractNumId="15">
    <w:nsid w:val="180115BE"/>
    <w:multiLevelType w:val="hybridMultilevel"/>
    <w:lvl w:ilvl="0">
      <w:lvlJc w:val="left"/>
      <w:lvlText w:val="(%1)"/>
      <w:numFmt w:val="lowerLetter"/>
      <w:start w:val="34"/>
    </w:lvl>
  </w:abstractNum>
  <w:abstractNum w:abstractNumId="16">
    <w:nsid w:val="235BA861"/>
    <w:multiLevelType w:val="hybridMultilevel"/>
    <w:lvl w:ilvl="0">
      <w:lvlJc w:val="left"/>
      <w:lvlText w:val="%1."/>
      <w:numFmt w:val="decimal"/>
      <w:start w:val="2"/>
    </w:lvl>
  </w:abstractNum>
  <w:abstractNum w:abstractNumId="17">
    <w:nsid w:val="47398C89"/>
    <w:multiLevelType w:val="hybridMultilevel"/>
    <w:lvl w:ilvl="0">
      <w:lvlJc w:val="left"/>
      <w:lvlText w:val="%1"/>
      <w:numFmt w:val="decimal"/>
      <w:start w:val="1"/>
    </w:lvl>
    <w:lvl w:ilvl="1">
      <w:lvlJc w:val="left"/>
      <w:lvlText w:val="(%2)"/>
      <w:numFmt w:val="lowerLetter"/>
      <w:start w:val="1"/>
    </w:lvl>
  </w:abstractNum>
  <w:abstractNum w:abstractNumId="18">
    <w:nsid w:val="354FE9F9"/>
    <w:multiLevelType w:val="hybridMultilevel"/>
    <w:lvl w:ilvl="0">
      <w:lvlJc w:val="left"/>
      <w:lvlText w:val="%1."/>
      <w:numFmt w:val="decimal"/>
      <w:start w:val="3"/>
    </w:lvl>
    <w:lvl w:ilvl="1">
      <w:lvlJc w:val="left"/>
      <w:lvlText w:val="(%2)"/>
      <w:numFmt w:val="lowerLetter"/>
      <w:start w:val="1"/>
    </w:lvl>
  </w:abstractNum>
  <w:abstractNum w:abstractNumId="19">
    <w:nsid w:val="15B5AF5C"/>
    <w:multiLevelType w:val="hybridMultilevel"/>
    <w:lvl w:ilvl="0">
      <w:lvlJc w:val="left"/>
      <w:lvlText w:val="(%1)"/>
      <w:numFmt w:val="lowerLetter"/>
      <w:start w:val="2"/>
    </w:lvl>
  </w:abstractNum>
  <w:abstractNum w:abstractNumId="20">
    <w:nsid w:val="741226BB"/>
    <w:multiLevelType w:val="hybridMultilevel"/>
    <w:lvl w:ilvl="0">
      <w:lvlJc w:val="left"/>
      <w:lvlText w:val="%1"/>
      <w:numFmt w:val="decimal"/>
      <w:start w:val="1"/>
    </w:lvl>
    <w:lvl w:ilvl="1">
      <w:lvlJc w:val="left"/>
      <w:lvlText w:val="(%2)"/>
      <w:numFmt w:val="lowerLetter"/>
      <w:start w:val="5"/>
    </w:lvl>
  </w:abstractNum>
  <w:abstractNum w:abstractNumId="21">
    <w:nsid w:val="D34B6A8"/>
    <w:multiLevelType w:val="hybridMultilevel"/>
    <w:lvl w:ilvl="0">
      <w:lvlJc w:val="left"/>
      <w:lvlText w:val="%1."/>
      <w:numFmt w:val="decimal"/>
      <w:start w:val="4"/>
    </w:lvl>
    <w:lvl w:ilvl="1">
      <w:lvlJc w:val="left"/>
      <w:lvlText w:val="%2"/>
      <w:numFmt w:val="lowerLetter"/>
      <w:start w:val="1"/>
    </w:lvl>
  </w:abstractNum>
  <w:abstractNum w:abstractNumId="22">
    <w:nsid w:val="10233C99"/>
    <w:multiLevelType w:val="hybridMultilevel"/>
    <w:lvl w:ilvl="0">
      <w:lvlJc w:val="left"/>
      <w:lvlText w:val="%1."/>
      <w:numFmt w:val="decimal"/>
      <w:start w:val="5"/>
    </w:lvl>
    <w:lvl w:ilvl="1">
      <w:lvlJc w:val="left"/>
      <w:lvlText w:val="(%2)"/>
      <w:numFmt w:val="lowerLetter"/>
      <w:start w:val="1"/>
    </w:lvl>
  </w:abstractNum>
  <w:abstractNum w:abstractNumId="23">
    <w:nsid w:val="3F6AB60F"/>
    <w:multiLevelType w:val="hybridMultilevel"/>
    <w:lvl w:ilvl="0">
      <w:lvlJc w:val="left"/>
      <w:lvlText w:val="%1"/>
      <w:numFmt w:val="decimal"/>
      <w:start w:val="1"/>
    </w:lvl>
    <w:lvl w:ilvl="1">
      <w:lvlJc w:val="left"/>
      <w:lvlText w:val="(%2)"/>
      <w:numFmt w:val="lowerLetter"/>
      <w:start w:val="2"/>
    </w:lvl>
  </w:abstractNum>
  <w:abstractNum w:abstractNumId="24">
    <w:nsid w:val="61574095"/>
    <w:multiLevelType w:val="hybridMultilevel"/>
    <w:lvl w:ilvl="0">
      <w:lvlJc w:val="left"/>
      <w:lvlText w:val="(%1)"/>
      <w:numFmt w:val="decimal"/>
      <w:start w:val="1"/>
    </w:lvl>
    <w:lvl w:ilvl="1">
      <w:lvlJc w:val="left"/>
      <w:lvlText w:val="(%2)"/>
      <w:numFmt w:val="lowerLetter"/>
      <w:start w:val="6"/>
    </w:lvl>
  </w:abstractNum>
  <w:abstractNum w:abstractNumId="25">
    <w:nsid w:val="7E0C57B1"/>
    <w:multiLevelType w:val="hybridMultilevel"/>
    <w:lvl w:ilvl="0">
      <w:lvlJc w:val="left"/>
      <w:lvlText w:val="(%1)"/>
      <w:numFmt w:val="lowerLetter"/>
      <w:start w:val="7"/>
    </w:lvl>
  </w:abstractNum>
  <w:abstractNum w:abstractNumId="26">
    <w:nsid w:val="77AE35EB"/>
    <w:multiLevelType w:val="hybridMultilevel"/>
    <w:lvl w:ilvl="0">
      <w:lvlJc w:val="left"/>
      <w:lvlText w:val="(%1)"/>
      <w:numFmt w:val="lowerRoman"/>
      <w:start w:val="3"/>
    </w:lvl>
  </w:abstractNum>
  <w:abstractNum w:abstractNumId="27">
    <w:nsid w:val="579BE4F1"/>
    <w:multiLevelType w:val="hybridMultilevel"/>
    <w:lvl w:ilvl="0">
      <w:lvlJc w:val="left"/>
      <w:lvlText w:val="(%1)"/>
      <w:numFmt w:val="lowerLetter"/>
      <w:start w:val="14"/>
    </w:lvl>
  </w:abstractNum>
  <w:abstractNum w:abstractNumId="28">
    <w:nsid w:val="310C50B3"/>
    <w:multiLevelType w:val="hybridMultilevel"/>
    <w:lvl w:ilvl="0">
      <w:lvlJc w:val="left"/>
      <w:lvlText w:val="%1"/>
      <w:numFmt w:val="decimal"/>
      <w:start w:val="1"/>
    </w:lvl>
    <w:lvl w:ilvl="1">
      <w:lvlJc w:val="left"/>
      <w:lvlText w:val="(%2)"/>
      <w:numFmt w:val="lowerLetter"/>
      <w:start w:val="18"/>
    </w:lvl>
  </w:abstractNum>
  <w:abstractNum w:abstractNumId="29">
    <w:nsid w:val="5FF87E05"/>
    <w:multiLevelType w:val="hybridMultilevel"/>
    <w:lvl w:ilvl="0">
      <w:lvlJc w:val="left"/>
      <w:lvlText w:val="%1."/>
      <w:numFmt w:val="decimal"/>
      <w:start w:val="6"/>
    </w:lvl>
    <w:lvl w:ilvl="1">
      <w:lvlJc w:val="left"/>
      <w:lvlText w:val="%2"/>
      <w:numFmt w:val="lowerLetter"/>
      <w:start w:val="1"/>
    </w:lvl>
  </w:abstractNum>
  <w:abstractNum w:abstractNumId="30">
    <w:nsid w:val="2F305DEF"/>
    <w:multiLevelType w:val="hybridMultilevel"/>
    <w:lvl w:ilvl="0">
      <w:lvlJc w:val="left"/>
      <w:lvlText w:val="%1."/>
      <w:numFmt w:val="decimal"/>
      <w:start w:val="7"/>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2"/>
    </w:lvl>
  </w:abstractNum>
  <w:abstractNum w:abstractNumId="33">
    <w:nsid w:val="4AD084E9"/>
    <w:multiLevelType w:val="hybridMultilevel"/>
    <w:lvl w:ilvl="0">
      <w:lvlJc w:val="left"/>
      <w:lvlText w:val="(%1)"/>
      <w:numFmt w:val="lowerLetter"/>
      <w:start w:val="6"/>
    </w:lvl>
    <w:lvl w:ilvl="1">
      <w:lvlJc w:val="left"/>
      <w:lvlText w:val="(%2)"/>
      <w:numFmt w:val="lowerRoman"/>
      <w:start w:val="1"/>
    </w:lvl>
  </w:abstractNum>
  <w:abstractNum w:abstractNumId="34">
    <w:nsid w:val="1F48EAA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decimal"/>
      <w:start w:val="1"/>
    </w:lvl>
  </w:abstractNum>
  <w:abstractNum w:abstractNumId="35">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36">
    <w:nsid w:val="5DB70AE5"/>
    <w:multiLevelType w:val="hybridMultilevel"/>
    <w:lvl w:ilvl="0">
      <w:lvlJc w:val="left"/>
      <w:lvlText w:val="(%1)"/>
      <w:numFmt w:val="lowerLetter"/>
      <w:start w:val="3"/>
    </w:lvl>
  </w:abstractNum>
  <w:abstractNum w:abstractNumId="37">
    <w:nsid w:val="100F8FCA"/>
    <w:multiLevelType w:val="hybridMultilevel"/>
    <w:lvl w:ilvl="0">
      <w:lvlJc w:val="left"/>
      <w:lvlText w:val="%1"/>
      <w:numFmt w:val="decimal"/>
      <w:start w:val="1"/>
    </w:lvl>
    <w:lvl w:ilvl="1">
      <w:lvlJc w:val="left"/>
      <w:lvlText w:val="(%2)"/>
      <w:numFmt w:val="lowerLetter"/>
      <w:start w:val="5"/>
    </w:lvl>
  </w:abstractNum>
  <w:abstractNum w:abstractNumId="38">
    <w:nsid w:val="6590700B"/>
    <w:multiLevelType w:val="hybridMultilevel"/>
    <w:lvl w:ilvl="0">
      <w:lvlJc w:val="left"/>
      <w:lvlText w:val="%1."/>
      <w:numFmt w:val="decimal"/>
      <w:start w:val="9"/>
    </w:lvl>
    <w:lvl w:ilvl="1">
      <w:lvlJc w:val="left"/>
      <w:lvlText w:val="(%2)"/>
      <w:numFmt w:val="lowerLetter"/>
      <w:start w:val="1"/>
    </w:lvl>
  </w:abstractNum>
  <w:abstractNum w:abstractNumId="39">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0">
    <w:nsid w:val="5F5E7FD0"/>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1">
    <w:nsid w:val="98A3148"/>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2"/>
    </w:lvl>
  </w:abstractNum>
  <w:abstractNum w:abstractNumId="42">
    <w:nsid w:val="799D0247"/>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43">
    <w:nsid w:val="6B94764"/>
    <w:multiLevelType w:val="hybridMultilevel"/>
    <w:lvl w:ilvl="0">
      <w:lvlJc w:val="left"/>
      <w:lvlText w:val="(%1)"/>
      <w:numFmt w:val="lowerRoman"/>
      <w:start w:val="7"/>
    </w:lvl>
    <w:lvl w:ilvl="1">
      <w:lvlJc w:val="left"/>
      <w:lvlText w:val="%2."/>
      <w:numFmt w:val="decimal"/>
      <w:start w:val="12"/>
    </w:lvl>
    <w:lvl w:ilvl="2">
      <w:lvlJc w:val="left"/>
      <w:lvlText w:val="(%3)"/>
      <w:numFmt w:val="lowerLetter"/>
      <w:start w:val="2"/>
    </w:lvl>
  </w:abstractNum>
  <w:abstractNum w:abstractNumId="44">
    <w:nsid w:val="42C296BD"/>
    <w:multiLevelType w:val="hybridMultilevel"/>
    <w:lvl w:ilvl="0">
      <w:lvlJc w:val="left"/>
      <w:lvlText w:val="%1."/>
      <w:numFmt w:val="decimal"/>
      <w:start w:val="14"/>
    </w:lvl>
  </w:abstractNum>
  <w:abstractNum w:abstractNumId="45">
    <w:nsid w:val="168E121F"/>
    <w:multiLevelType w:val="hybridMultilevel"/>
    <w:lvl w:ilvl="0">
      <w:lvlJc w:val="left"/>
      <w:lvlText w:val="%1."/>
      <w:numFmt w:val="decimal"/>
      <w:start w:val="15"/>
    </w:lvl>
    <w:lvl w:ilvl="1">
      <w:lvlJc w:val="left"/>
      <w:lvlText w:val="(%2)"/>
      <w:numFmt w:val="lowerLetter"/>
      <w:start w:val="1"/>
    </w:lvl>
  </w:abstractNum>
  <w:abstractNum w:abstractNumId="46">
    <w:nsid w:val="1EBA5D23"/>
    <w:multiLevelType w:val="hybridMultilevel"/>
    <w:lvl w:ilvl="0">
      <w:lvlJc w:val="left"/>
      <w:lvlText w:val="(%1)"/>
      <w:numFmt w:val="lowerLetter"/>
      <w:start w:val="2"/>
    </w:lvl>
  </w:abstractNum>
  <w:abstractNum w:abstractNumId="47">
    <w:nsid w:val="661E3F1E"/>
    <w:multiLevelType w:val="hybridMultilevel"/>
    <w:lvl w:ilvl="0">
      <w:lvlJc w:val="left"/>
      <w:lvlText w:val="(%1)"/>
      <w:numFmt w:val="lowerRoman"/>
      <w:start w:val="1"/>
    </w:lvl>
  </w:abstractNum>
  <w:abstractNum w:abstractNumId="48">
    <w:nsid w:val="5DC79EA8"/>
    <w:multiLevelType w:val="hybridMultilevel"/>
    <w:lvl w:ilvl="0">
      <w:lvlJc w:val="left"/>
      <w:lvlText w:val="%1."/>
      <w:numFmt w:val="decimal"/>
      <w:start w:val="16"/>
    </w:lvl>
  </w:abstractNum>
  <w:abstractNum w:abstractNumId="49">
    <w:nsid w:val="540A471C"/>
    <w:multiLevelType w:val="hybridMultilevel"/>
    <w:lvl w:ilvl="0">
      <w:lvlJc w:val="left"/>
      <w:lvlText w:val="%1."/>
      <w:numFmt w:val="decimal"/>
      <w:start w:val="17"/>
    </w:lvl>
  </w:abstractNum>
  <w:abstractNum w:abstractNumId="50">
    <w:nsid w:val="7BD3EE7B"/>
    <w:multiLevelType w:val="hybridMultilevel"/>
    <w:lvl w:ilvl="0">
      <w:lvlJc w:val="left"/>
      <w:lvlText w:val="%1."/>
      <w:numFmt w:val="decimal"/>
      <w:start w:val="18"/>
    </w:lvl>
  </w:abstractNum>
  <w:abstractNum w:abstractNumId="51">
    <w:nsid w:val="51D9C564"/>
    <w:multiLevelType w:val="hybridMultilevel"/>
    <w:lvl w:ilvl="0">
      <w:lvlJc w:val="left"/>
      <w:lvlText w:val="%1."/>
      <w:numFmt w:val="decimal"/>
      <w:start w:val="19"/>
    </w:lvl>
  </w:abstractNum>
  <w:abstractNum w:abstractNumId="52">
    <w:nsid w:val="613EFDC5"/>
    <w:multiLevelType w:val="hybridMultilevel"/>
    <w:lvl w:ilvl="0">
      <w:lvlJc w:val="left"/>
      <w:lvlText w:val="%1."/>
      <w:numFmt w:val="decimal"/>
      <w:start w:val="20"/>
    </w:lvl>
  </w:abstractNum>
  <w:abstractNum w:abstractNumId="53">
    <w:nsid w:val="BF72B14"/>
    <w:multiLevelType w:val="hybridMultilevel"/>
    <w:lvl w:ilvl="0">
      <w:lvlJc w:val="left"/>
      <w:lvlText w:val="%1."/>
      <w:numFmt w:val="decimal"/>
      <w:start w:val="22"/>
    </w:lvl>
  </w:abstractNum>
  <w:abstractNum w:abstractNumId="54">
    <w:nsid w:val="11447B73"/>
    <w:multiLevelType w:val="hybridMultilevel"/>
    <w:lvl w:ilvl="0">
      <w:lvlJc w:val="left"/>
      <w:lvlText w:val="%1."/>
      <w:numFmt w:val="decimal"/>
      <w:start w:val="23"/>
    </w:lvl>
  </w:abstractNum>
  <w:abstractNum w:abstractNumId="55">
    <w:nsid w:val="42963E5A"/>
    <w:multiLevelType w:val="hybridMultilevel"/>
    <w:lvl w:ilvl="0">
      <w:lvlJc w:val="left"/>
      <w:lvlText w:val="%1."/>
      <w:numFmt w:val="decimal"/>
      <w:start w:val="24"/>
    </w:lvl>
  </w:abstractNum>
  <w:abstractNum w:abstractNumId="56">
    <w:nsid w:val="A0382C5"/>
    <w:multiLevelType w:val="hybridMultilevel"/>
    <w:lvl w:ilvl="0">
      <w:lvlJc w:val="left"/>
      <w:lvlText w:val="%1."/>
      <w:numFmt w:val="decimal"/>
      <w:start w:val="25"/>
    </w:lvl>
  </w:abstractNum>
  <w:abstractNum w:abstractNumId="57">
    <w:nsid w:val="8F2B15E"/>
    <w:multiLevelType w:val="hybridMultilevel"/>
    <w:lvl w:ilvl="0">
      <w:lvlJc w:val="left"/>
      <w:lvlText w:val="%1."/>
      <w:numFmt w:val="decimal"/>
      <w:start w:val="26"/>
    </w:lvl>
  </w:abstractNum>
  <w:abstractNum w:abstractNumId="58">
    <w:nsid w:val="1A32234B"/>
    <w:multiLevelType w:val="hybridMultilevel"/>
    <w:lvl w:ilvl="0">
      <w:lvlJc w:val="left"/>
      <w:lvlText w:val="%1."/>
      <w:numFmt w:val="decimal"/>
      <w:start w:val="27"/>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lowerRoman"/>
      <w:start w:val="3"/>
    </w:lvl>
  </w:abstractNum>
  <w:abstractNum w:abstractNumId="61">
    <w:nsid w:val="4962813B"/>
    <w:multiLevelType w:val="hybridMultilevel"/>
    <w:lvl w:ilvl="0">
      <w:lvlJc w:val="left"/>
      <w:lvlText w:val="(%1)"/>
      <w:numFmt w:val="lowerRoman"/>
      <w:start w:val="3"/>
    </w:lvl>
  </w:abstractNum>
  <w:abstractNum w:abstractNumId="62">
    <w:nsid w:val="60B6DF70"/>
    <w:multiLevelType w:val="hybridMultilevel"/>
    <w:lvl w:ilvl="0">
      <w:lvlJc w:val="left"/>
      <w:lvlText w:val="(%1)"/>
      <w:numFmt w:val="upperLetter"/>
      <w:start w:val="35"/>
    </w:lvl>
  </w:abstractNum>
  <w:abstractNum w:abstractNumId="63">
    <w:nsid w:val="6A5EE64"/>
    <w:multiLevelType w:val="hybridMultilevel"/>
    <w:lvl w:ilvl="0">
      <w:lvlJc w:val="left"/>
      <w:lvlText w:val="(%1)"/>
      <w:numFmt w:val="upperLetter"/>
      <w:start w:val="1"/>
    </w:lvl>
  </w:abstractNum>
  <w:abstractNum w:abstractNumId="64">
    <w:nsid w:val="14330624"/>
    <w:multiLevelType w:val="hybridMultilevel"/>
    <w:lvl w:ilvl="0">
      <w:lvlJc w:val="left"/>
      <w:lvlText w:val="(%1)"/>
      <w:numFmt w:val="lowerRoman"/>
      <w:start w:val="1"/>
    </w:lvl>
  </w:abstractNum>
  <w:abstractNum w:abstractNumId="65">
    <w:nsid w:val="7FFFCA11"/>
    <w:multiLevelType w:val="hybridMultilevel"/>
    <w:lvl w:ilvl="0">
      <w:lvlJc w:val="left"/>
      <w:lvlText w:val="(%1)"/>
      <w:numFmt w:val="lowerLetter"/>
      <w:start w:val="25"/>
    </w:lvl>
  </w:abstractNum>
  <w:abstractNum w:abstractNumId="66">
    <w:nsid w:val="1A27709E"/>
    <w:multiLevelType w:val="hybridMultilevel"/>
    <w:lvl w:ilvl="0">
      <w:lvlJc w:val="left"/>
      <w:lvlText w:val="%1."/>
      <w:numFmt w:val="decimal"/>
      <w:start w:val="3"/>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Roman"/>
      <w:start w:val="10"/>
    </w:lvl>
  </w:abstractNum>
  <w:abstractNum w:abstractNumId="69">
    <w:nsid w:val="7FB7E0AA"/>
    <w:multiLevelType w:val="hybridMultilevel"/>
    <w:lvl w:ilvl="0">
      <w:lvlJc w:val="left"/>
      <w:lvlText w:val="%1."/>
      <w:numFmt w:val="decimal"/>
      <w:start w:val="4"/>
    </w:lvl>
    <w:lvl w:ilvl="1">
      <w:lvlJc w:val="left"/>
      <w:lvlText w:val="(%2)"/>
      <w:numFmt w:val="lowerLetter"/>
      <w:start w:val="1"/>
    </w:lvl>
  </w:abstractNum>
  <w:abstractNum w:abstractNumId="70">
    <w:nsid w:val="6EB5BD4"/>
    <w:multiLevelType w:val="hybridMultilevel"/>
    <w:lvl w:ilvl="0">
      <w:lvlJc w:val="left"/>
      <w:lvlText w:val="%1"/>
      <w:numFmt w:val="decimal"/>
      <w:start w:val="1"/>
    </w:lvl>
    <w:lvl w:ilvl="1">
      <w:lvlJc w:val="left"/>
      <w:lvlText w:val="(%2)"/>
      <w:numFmt w:val="lowerLetter"/>
      <w:start w:val="5"/>
    </w:lvl>
  </w:abstractNum>
  <w:abstractNum w:abstractNumId="71">
    <w:nsid w:val="6F6DD9AC"/>
    <w:multiLevelType w:val="hybridMultilevel"/>
    <w:lvl w:ilvl="0">
      <w:lvlJc w:val="left"/>
      <w:lvlText w:val="%1."/>
      <w:numFmt w:val="decimal"/>
      <w:start w:val="6"/>
    </w:lvl>
    <w:lvl w:ilvl="1">
      <w:lvlJc w:val="left"/>
      <w:lvlText w:val="(%2)"/>
      <w:numFmt w:val="lowerLetter"/>
      <w:start w:val="1"/>
    </w:lvl>
  </w:abstractNum>
  <w:abstractNum w:abstractNumId="72">
    <w:nsid w:val="94211F2"/>
    <w:multiLevelType w:val="hybridMultilevel"/>
    <w:lvl w:ilvl="0">
      <w:lvlJc w:val="left"/>
      <w:lvlText w:val="(%1)"/>
      <w:numFmt w:val="lowerLetter"/>
      <w:start w:val="2"/>
    </w:lvl>
  </w:abstractNum>
  <w:abstractNum w:abstractNumId="73">
    <w:nsid w:val="885E1B"/>
    <w:multiLevelType w:val="hybridMultilevel"/>
    <w:lvl w:ilvl="0">
      <w:lvlJc w:val="left"/>
      <w:lvlText w:val="%1"/>
      <w:numFmt w:val="lowerLetter"/>
      <w:start w:val="1"/>
    </w:lvl>
    <w:lvl w:ilvl="1">
      <w:lvlJc w:val="left"/>
      <w:lvlText w:val="(%2)"/>
      <w:numFmt w:val="lowerLetter"/>
      <w:start w:val="7"/>
    </w:lvl>
  </w:abstractNum>
  <w:abstractNum w:abstractNumId="74">
    <w:nsid w:val="76272110"/>
    <w:multiLevelType w:val="hybridMultilevel"/>
    <w:lvl w:ilvl="0">
      <w:lvlJc w:val="left"/>
      <w:lvlText w:val="(%1)"/>
      <w:numFmt w:val="lowerLetter"/>
      <w:start w:val="35"/>
    </w:lvl>
    <w:lvl w:ilvl="1">
      <w:lvlJc w:val="left"/>
      <w:lvlText w:val="(%2)"/>
      <w:numFmt w:val="lowerLetter"/>
      <w:start w:val="8"/>
    </w:lvl>
  </w:abstractNum>
  <w:abstractNum w:abstractNumId="75">
    <w:nsid w:val="4C04A8AF"/>
    <w:multiLevelType w:val="hybridMultilevel"/>
    <w:lvl w:ilvl="0">
      <w:lvlJc w:val="left"/>
      <w:lvlText w:val="%1."/>
      <w:numFmt w:val="decimal"/>
      <w:start w:val="7"/>
    </w:lvl>
  </w:abstractNum>
  <w:abstractNum w:abstractNumId="76">
    <w:nsid w:val="1716703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7">
    <w:nsid w:val="14E17E33"/>
    <w:multiLevelType w:val="hybridMultilevel"/>
    <w:lvl w:ilvl="0">
      <w:lvlJc w:val="left"/>
      <w:lvlText w:val="(%1)"/>
      <w:numFmt w:val="lowerLetter"/>
      <w:start w:val="5"/>
    </w:lvl>
  </w:abstractNum>
  <w:abstractNum w:abstractNumId="78">
    <w:nsid w:val="3222E7C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79">
    <w:nsid w:val="74DE0EE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0">
    <w:nsid w:val="68EBC550"/>
    <w:multiLevelType w:val="hybridMultilevel"/>
    <w:lvl w:ilvl="0">
      <w:lvlJc w:val="left"/>
      <w:lvlText w:val="%1."/>
      <w:numFmt w:val="decimal"/>
      <w:start w:val="10"/>
    </w:lvl>
  </w:abstractNum>
  <w:abstractNum w:abstractNumId="81">
    <w:nsid w:val="2DF6D648"/>
    <w:multiLevelType w:val="hybridMultilevel"/>
    <w:lvl w:ilvl="0">
      <w:lvlJc w:val="left"/>
      <w:lvlText w:val="(%1)"/>
      <w:numFmt w:val="lowerLetter"/>
      <w:start w:val="25"/>
    </w:lvl>
  </w:abstractNum>
  <w:abstractNum w:abstractNumId="82">
    <w:nsid w:val="46B7D447"/>
    <w:multiLevelType w:val="hybridMultilevel"/>
    <w:lvl w:ilvl="0">
      <w:lvlJc w:val="left"/>
      <w:lvlText w:val="%1."/>
      <w:numFmt w:val="decimal"/>
      <w:start w:val="11"/>
    </w:lvl>
  </w:abstractNum>
  <w:abstractNum w:abstractNumId="83">
    <w:nsid w:val="4A2AC315"/>
    <w:multiLevelType w:val="hybridMultilevel"/>
    <w:lvl w:ilvl="0">
      <w:lvlJc w:val="left"/>
      <w:lvlText w:val="%1."/>
      <w:numFmt w:val="decimal"/>
      <w:start w:val="15"/>
    </w:lvl>
    <w:lvl w:ilvl="1">
      <w:lvlJc w:val="left"/>
      <w:lvlText w:val="(%2)"/>
      <w:numFmt w:val="lowerLetter"/>
      <w:start w:val="1"/>
    </w:lvl>
  </w:abstractNum>
  <w:abstractNum w:abstractNumId="84">
    <w:nsid w:val="39EE015C"/>
    <w:multiLevelType w:val="hybridMultilevel"/>
    <w:lvl w:ilvl="0">
      <w:lvlJc w:val="left"/>
      <w:lvlText w:val="%1"/>
      <w:numFmt w:val="decimal"/>
      <w:start w:val="1"/>
    </w:lvl>
    <w:lvl w:ilvl="1">
      <w:lvlJc w:val="left"/>
      <w:lvlText w:val="(%2)"/>
      <w:numFmt w:val="lowerLetter"/>
      <w:start w:val="2"/>
    </w:lvl>
  </w:abstractNum>
  <w:abstractNum w:abstractNumId="85">
    <w:nsid w:val="57FC4FBB"/>
    <w:multiLevelType w:val="hybridMultilevel"/>
    <w:lvl w:ilvl="0">
      <w:lvlJc w:val="left"/>
      <w:lvlText w:val="%1."/>
      <w:numFmt w:val="decimal"/>
      <w:start w:val="17"/>
    </w:lvl>
    <w:lvl w:ilvl="1">
      <w:lvlJc w:val="left"/>
      <w:lvlText w:val="%2"/>
      <w:numFmt w:val="lowerLetter"/>
      <w:start w:val="1"/>
    </w:lvl>
  </w:abstractNum>
  <w:abstractNum w:abstractNumId="86">
    <w:nsid w:val="CC1016F"/>
    <w:multiLevelType w:val="hybridMultilevel"/>
    <w:lvl w:ilvl="0">
      <w:lvlJc w:val="left"/>
      <w:lvlText w:val="%1."/>
      <w:numFmt w:val="decimal"/>
      <w:start w:val="18"/>
    </w:lvl>
    <w:lvl w:ilvl="1">
      <w:lvlJc w:val="left"/>
      <w:lvlText w:val="(%2)"/>
      <w:numFmt w:val="lowerLetter"/>
      <w:start w:val="1"/>
    </w:lvl>
  </w:abstractNum>
  <w:abstractNum w:abstractNumId="87">
    <w:nsid w:val="43F18422"/>
    <w:multiLevelType w:val="hybridMultilevel"/>
    <w:lvl w:ilvl="0">
      <w:lvlJc w:val="left"/>
      <w:lvlText w:val="%1."/>
      <w:numFmt w:val="decimal"/>
      <w:start w:val="20"/>
    </w:lvl>
  </w:abstractNum>
  <w:abstractNum w:abstractNumId="88">
    <w:nsid w:val="60EF0119"/>
    <w:multiLevelType w:val="hybridMultilevel"/>
    <w:lvl w:ilvl="0">
      <w:lvlJc w:val="left"/>
      <w:lvlText w:val="%1."/>
      <w:numFmt w:val="decimal"/>
      <w:start w:val="23"/>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lowerLetter"/>
      <w:start w:val="1"/>
    </w:lvl>
    <w:lvl w:ilvl="1">
      <w:lvlJc w:val="left"/>
      <w:lvlText w:val="%2."/>
      <w:numFmt w:val="decimal"/>
      <w:start w:val="3"/>
    </w:lvl>
  </w:abstractNum>
  <w:abstractNum w:abstractNumId="93">
    <w:nsid w:val="5FB8370B"/>
    <w:multiLevelType w:val="hybridMultilevel"/>
    <w:lvl w:ilvl="0">
      <w:lvlJc w:val="left"/>
      <w:lvlText w:val="(%1)"/>
      <w:numFmt w:val="lowerLetter"/>
      <w:start w:val="2"/>
    </w:lvl>
    <w:lvl w:ilvl="1">
      <w:lvlJc w:val="left"/>
      <w:lvlText w:val="%2."/>
      <w:numFmt w:val="decimal"/>
      <w:start w:val="7"/>
    </w:lvl>
  </w:abstractNum>
  <w:abstractNum w:abstractNumId="94">
    <w:nsid w:val="50801EE1"/>
    <w:multiLevelType w:val="hybridMultilevel"/>
    <w:lvl w:ilvl="0">
      <w:lvlJc w:val="left"/>
      <w:lvlText w:val="%1."/>
      <w:numFmt w:val="decimal"/>
      <w:start w:val="8"/>
    </w:lvl>
  </w:abstractNum>
  <w:abstractNum w:abstractNumId="95">
    <w:nsid w:val="488AC1A"/>
    <w:multiLevelType w:val="hybridMultilevel"/>
    <w:lvl w:ilvl="0">
      <w:lvlJc w:val="left"/>
      <w:lvlText w:val="%1."/>
      <w:numFmt w:val="decimal"/>
      <w:start w:val="1"/>
    </w:lvl>
  </w:abstractNum>
  <w:abstractNum w:abstractNumId="96">
    <w:nsid w:val="5FB8011C"/>
    <w:multiLevelType w:val="hybridMultilevel"/>
    <w:lvl w:ilvl="0">
      <w:lvlJc w:val="left"/>
      <w:lvlText w:val="%1."/>
      <w:numFmt w:val="decimal"/>
      <w:start w:val="4"/>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2026-06-17T15:23:59Z</dcterms:created>
  <dcterms:modified xsi:type="dcterms:W3CDTF">2026-06-17T15:23:59Z</dcterms:modified>
</cp:coreProperties>
</file>