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1392555</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9"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44" w:lineRule="exact"/>
        <w:rPr>
          <w:rFonts w:ascii="MS PGothic" w:cs="MS PGothic" w:eastAsia="MS PGothic" w:hAnsi="MS PGothic"/>
          <w:sz w:val="20"/>
          <w:szCs w:val="20"/>
          <w:color w:val="auto"/>
        </w:rPr>
      </w:pPr>
    </w:p>
    <w:p>
      <w:pPr>
        <w:ind w:left="64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90" w:lineRule="exact"/>
        <w:rPr>
          <w:sz w:val="24"/>
          <w:szCs w:val="24"/>
          <w:color w:val="auto"/>
        </w:rPr>
      </w:pPr>
    </w:p>
    <w:p>
      <w:pPr>
        <w:ind w:left="360" w:hanging="355"/>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4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For the transition period from ___________ to </w:t>
      </w:r>
      <w:r>
        <w:rPr>
          <w:rFonts w:ascii="Times New Roman" w:cs="Times New Roman" w:eastAsia="Times New Roman" w:hAnsi="Times New Roman"/>
          <w:sz w:val="18"/>
          <w:szCs w:val="18"/>
          <w:b w:val="1"/>
          <w:bCs w:val="1"/>
          <w:color w:val="auto"/>
        </w:rPr>
        <w:t>___________</w:t>
      </w:r>
    </w:p>
    <w:p>
      <w:pPr>
        <w:spacing w:after="0" w:line="13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Commission File No.: 1-12504</w:t>
      </w:r>
    </w:p>
    <w:p>
      <w:pPr>
        <w:spacing w:after="0" w:line="1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20"/>
          </w:cols>
          <w:pgMar w:left="320" w:top="1440" w:right="459" w:bottom="1440" w:gutter="0" w:footer="0" w:header="0"/>
        </w:sectPr>
      </w:pPr>
    </w:p>
    <w:p>
      <w:pPr>
        <w:spacing w:after="0" w:line="3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5"/>
          <w:szCs w:val="15"/>
          <w:color w:val="auto"/>
        </w:rPr>
        <w:t>Maryland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95-4448705</w:t>
      </w:r>
    </w:p>
    <w:p>
      <w:pPr>
        <w:spacing w:after="0" w:line="30" w:lineRule="exact"/>
        <w:rPr>
          <w:sz w:val="24"/>
          <w:szCs w:val="24"/>
          <w:color w:val="auto"/>
        </w:rPr>
      </w:pPr>
    </w:p>
    <w:p>
      <w:pPr>
        <w:sectPr>
          <w:pgSz w:w="11900" w:h="16838" w:orient="portrait"/>
          <w:cols w:equalWidth="0" w:num="2">
            <w:col w:w="7320" w:space="720"/>
            <w:col w:w="3080"/>
          </w:cols>
          <w:pgMar w:left="320" w:top="1440" w:right="45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92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Number)</w:t>
      </w:r>
    </w:p>
    <w:p>
      <w:pPr>
        <w:spacing w:after="0" w:line="195" w:lineRule="exact"/>
        <w:rPr>
          <w:sz w:val="24"/>
          <w:szCs w:val="24"/>
          <w:color w:val="auto"/>
        </w:rPr>
      </w:pPr>
    </w:p>
    <w:p>
      <w:pPr>
        <w:sectPr>
          <w:pgSz w:w="11900" w:h="16838" w:orient="portrait"/>
          <w:cols w:equalWidth="0" w:num="2">
            <w:col w:w="6420" w:space="720"/>
            <w:col w:w="3980"/>
          </w:cols>
          <w:pgMar w:left="320" w:top="1440" w:right="459" w:bottom="1440" w:gutter="0" w:footer="0" w:header="0"/>
          <w:type w:val="continuous"/>
        </w:sectPr>
      </w:pPr>
    </w:p>
    <w:p>
      <w:pPr>
        <w:jc w:val="center"/>
        <w:ind w:left="420"/>
        <w:spacing w:after="0"/>
        <w:rPr>
          <w:sz w:val="20"/>
          <w:szCs w:val="20"/>
          <w:color w:val="auto"/>
        </w:rPr>
      </w:pPr>
      <w:r>
        <w:rPr>
          <w:rFonts w:ascii="Times New Roman" w:cs="Times New Roman" w:eastAsia="Times New Roman" w:hAnsi="Times New Roman"/>
          <w:sz w:val="15"/>
          <w:szCs w:val="15"/>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90401</w:t>
      </w:r>
    </w:p>
    <w:p>
      <w:pPr>
        <w:spacing w:after="0" w:line="27" w:lineRule="exact"/>
        <w:rPr>
          <w:sz w:val="24"/>
          <w:szCs w:val="24"/>
          <w:color w:val="auto"/>
        </w:rPr>
      </w:pPr>
    </w:p>
    <w:p>
      <w:pPr>
        <w:sectPr>
          <w:pgSz w:w="11900" w:h="16838" w:orient="portrait"/>
          <w:cols w:equalWidth="0" w:num="5">
            <w:col w:w="1980" w:space="440"/>
            <w:col w:w="640" w:space="360"/>
            <w:col w:w="920" w:space="420"/>
            <w:col w:w="2740" w:space="720"/>
            <w:col w:w="2900"/>
          </w:cols>
          <w:pgMar w:left="320" w:top="1440" w:right="4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38" w:lineRule="exact"/>
        <w:rPr>
          <w:sz w:val="24"/>
          <w:szCs w:val="24"/>
          <w:color w:val="auto"/>
        </w:rPr>
      </w:pPr>
    </w:p>
    <w:p>
      <w:pPr>
        <w:sectPr>
          <w:pgSz w:w="11900" w:h="16838" w:orient="portrait"/>
          <w:cols w:equalWidth="0" w:num="2">
            <w:col w:w="7360" w:space="720"/>
            <w:col w:w="3040"/>
          </w:cols>
          <w:pgMar w:left="320" w:top="1440" w:right="45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120"/>
          </w:cols>
          <w:pgMar w:left="320" w:top="1440" w:right="459" w:bottom="1440" w:gutter="0" w:footer="0" w:header="0"/>
          <w:type w:val="continuous"/>
        </w:sectPr>
      </w:pP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color w:val="auto"/>
        </w:rPr>
        <w:t>N/A</w:t>
      </w:r>
    </w:p>
    <w:p>
      <w:pPr>
        <w:ind w:left="3060"/>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2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ectPr>
          <w:pgSz w:w="11900" w:h="16838" w:orient="portrait"/>
          <w:cols w:equalWidth="0" w:num="1">
            <w:col w:w="11120"/>
          </w:cols>
          <w:pgMar w:left="320" w:top="1440" w:right="459" w:bottom="1440" w:gutter="0" w:footer="0" w:header="0"/>
          <w:type w:val="continuous"/>
        </w:sectPr>
      </w:pPr>
    </w:p>
    <w:p>
      <w:pPr>
        <w:spacing w:after="0" w:line="4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color w:val="auto"/>
        </w:rPr>
        <w:t>Trading symbol</w:t>
      </w:r>
    </w:p>
    <w:p>
      <w:pPr>
        <w:spacing w:after="0" w:line="44"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MAC</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60" w:space="720"/>
            <w:col w:w="2040" w:space="720"/>
            <w:col w:w="3580"/>
          </w:cols>
          <w:pgMar w:left="320" w:top="1440" w:right="459" w:bottom="1440" w:gutter="0" w:footer="0" w:header="0"/>
          <w:type w:val="continuous"/>
        </w:sectPr>
      </w:pPr>
    </w:p>
    <w:p>
      <w:pPr>
        <w:spacing w:after="0" w:line="40" w:lineRule="exact"/>
        <w:rPr>
          <w:sz w:val="24"/>
          <w:szCs w:val="24"/>
          <w:color w:val="auto"/>
        </w:rPr>
      </w:pPr>
    </w:p>
    <w:p>
      <w:pPr>
        <w:ind w:right="160" w:firstLine="434"/>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firstLine="434"/>
        <w:spacing w:after="0" w:line="22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ind w:firstLine="434"/>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20"/>
          </w:cols>
          <w:pgMar w:left="320" w:top="1440" w:right="459" w:bottom="1440" w:gutter="0" w:footer="0" w:header="0"/>
          <w:type w:val="continuous"/>
        </w:sectPr>
      </w:pPr>
    </w:p>
    <w:p>
      <w:pPr>
        <w:spacing w:after="0" w:line="1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both"/>
        <w:ind w:hanging="19"/>
        <w:spacing w:after="0" w:line="340" w:lineRule="auto"/>
        <w:rPr>
          <w:sz w:val="20"/>
          <w:szCs w:val="20"/>
          <w:color w:val="auto"/>
        </w:rPr>
      </w:pPr>
      <w:r>
        <w:rPr>
          <w:rFonts w:ascii="Times New Roman" w:cs="Times New Roman" w:eastAsia="Times New Roman" w:hAnsi="Times New Roman"/>
          <w:sz w:val="15"/>
          <w:szCs w:val="15"/>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2" w:lineRule="exact"/>
        <w:rPr>
          <w:sz w:val="24"/>
          <w:szCs w:val="24"/>
          <w:color w:val="auto"/>
        </w:rPr>
      </w:pPr>
    </w:p>
    <w:p>
      <w:pPr>
        <w:sectPr>
          <w:pgSz w:w="11900" w:h="16838" w:orient="portrait"/>
          <w:cols w:equalWidth="0" w:num="8">
            <w:col w:w="1900" w:space="440"/>
            <w:col w:w="180" w:space="480"/>
            <w:col w:w="1100" w:space="460"/>
            <w:col w:w="140" w:space="580"/>
            <w:col w:w="1400" w:space="580"/>
            <w:col w:w="600" w:space="720"/>
            <w:col w:w="1800" w:space="140"/>
            <w:col w:w="600"/>
          </w:cols>
          <w:pgMar w:left="320" w:top="1440" w:right="459" w:bottom="1440" w:gutter="0" w:footer="0" w:header="0"/>
          <w:type w:val="continuous"/>
        </w:sectPr>
      </w:pPr>
    </w:p>
    <w:p>
      <w:pPr>
        <w:ind w:right="300" w:firstLine="434"/>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2" w:lineRule="exact"/>
        <w:rPr>
          <w:sz w:val="24"/>
          <w:szCs w:val="24"/>
          <w:color w:val="auto"/>
        </w:rPr>
      </w:pPr>
    </w:p>
    <w:p>
      <w:pPr>
        <w:ind w:left="440" w:right="2160"/>
        <w:spacing w:after="0" w:line="30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Number of shares outstanding as of November 3, 2025 of the registrant's common stock, par value $0.01 per share: 256,118,084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725805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19685</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360" w:type="dxa"/>
            <w:vAlign w:val="bottom"/>
            <w:gridSpan w:val="9"/>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7"/>
              </w:rPr>
              <w:t>THE MACERICH COMPANY</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360" w:type="dxa"/>
            <w:vAlign w:val="bottom"/>
            <w:gridSpan w:val="9"/>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7"/>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20" w:type="dxa"/>
            <w:vAlign w:val="bottom"/>
            <w:gridSpan w:val="3"/>
          </w:tcPr>
          <w:p>
            <w:pPr>
              <w:spacing w:after="0"/>
              <w:rPr>
                <w:sz w:val="20"/>
                <w:szCs w:val="20"/>
                <w:color w:val="auto"/>
              </w:rPr>
            </w:pPr>
          </w:p>
        </w:tc>
        <w:tc>
          <w:tcPr>
            <w:tcW w:w="2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 (Unaudited)</w:t>
            </w:r>
          </w:p>
        </w:tc>
        <w:tc>
          <w:tcPr>
            <w:tcW w:w="7060" w:type="dxa"/>
            <w:vAlign w:val="bottom"/>
            <w:gridSpan w:val="10"/>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2025 and December 31, 2024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2025 and 2024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 for the three and nine months ended September 30, 2025 and 2024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three and nine months ended September 30, 2025 and 2024</w:t>
            </w:r>
          </w:p>
        </w:tc>
        <w:tc>
          <w:tcPr>
            <w:tcW w:w="58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 for the nine months ended September 30, 2025 and 2024</w:t>
            </w:r>
          </w:p>
        </w:tc>
        <w:tc>
          <w:tcPr>
            <w:tcW w:w="320" w:type="dxa"/>
            <w:vAlign w:val="bottom"/>
          </w:tcPr>
          <w:p>
            <w:pPr>
              <w:spacing w:after="0"/>
              <w:rPr>
                <w:sz w:val="22"/>
                <w:szCs w:val="22"/>
                <w:color w:val="auto"/>
              </w:rPr>
            </w:pPr>
          </w:p>
        </w:tc>
        <w:tc>
          <w:tcPr>
            <w:tcW w:w="2280" w:type="dxa"/>
            <w:vAlign w:val="bottom"/>
            <w:gridSpan w:val="3"/>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00" w:type="dxa"/>
            <w:vAlign w:val="bottom"/>
            <w:gridSpan w:val="4"/>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520" w:type="dxa"/>
            <w:vAlign w:val="bottom"/>
            <w:gridSpan w:val="3"/>
          </w:tcPr>
          <w:p>
            <w:pPr>
              <w:spacing w:after="0"/>
              <w:rPr>
                <w:sz w:val="22"/>
                <w:szCs w:val="22"/>
                <w:color w:val="auto"/>
              </w:rPr>
            </w:pPr>
          </w:p>
        </w:tc>
        <w:tc>
          <w:tcPr>
            <w:tcW w:w="62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140" w:type="dxa"/>
            <w:vAlign w:val="bottom"/>
            <w:gridSpan w:val="5"/>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56"/>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20" w:type="dxa"/>
            <w:vAlign w:val="bottom"/>
            <w:gridSpan w:val="3"/>
          </w:tcPr>
          <w:p>
            <w:pPr>
              <w:spacing w:after="0"/>
              <w:rPr>
                <w:sz w:val="22"/>
                <w:szCs w:val="22"/>
                <w:color w:val="auto"/>
              </w:rPr>
            </w:pPr>
          </w:p>
        </w:tc>
        <w:tc>
          <w:tcPr>
            <w:tcW w:w="4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5160" w:type="dxa"/>
            <w:vAlign w:val="bottom"/>
            <w:gridSpan w:val="7"/>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520" w:type="dxa"/>
            <w:vAlign w:val="bottom"/>
            <w:gridSpan w:val="3"/>
          </w:tcPr>
          <w:p>
            <w:pPr>
              <w:spacing w:after="0"/>
              <w:rPr>
                <w:sz w:val="22"/>
                <w:szCs w:val="22"/>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20" w:type="dxa"/>
            <w:vAlign w:val="bottom"/>
            <w:gridSpan w:val="3"/>
          </w:tcPr>
          <w:p>
            <w:pPr>
              <w:spacing w:after="0"/>
              <w:rPr>
                <w:sz w:val="20"/>
                <w:szCs w:val="20"/>
                <w:color w:val="auto"/>
              </w:rPr>
            </w:pP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120" w:type="dxa"/>
            <w:vAlign w:val="bottom"/>
            <w:gridSpan w:val="13"/>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56"/>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5180" w:type="dxa"/>
            <w:vAlign w:val="bottom"/>
            <w:gridSpan w:val="8"/>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20" w:type="dxa"/>
            <w:vAlign w:val="bottom"/>
            <w:gridSpan w:val="3"/>
          </w:tcPr>
          <w:p>
            <w:pPr>
              <w:spacing w:after="0"/>
              <w:rPr>
                <w:sz w:val="22"/>
                <w:szCs w:val="22"/>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56"/>
        </w:trPr>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60" w:type="dxa"/>
            <w:vAlign w:val="bottom"/>
            <w:gridSpan w:val="11"/>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56"/>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tcBorders>
              <w:top w:val="single" w:sz="8" w:color="0000FF"/>
            </w:tcBorders>
            <w:gridSpan w:val="2"/>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Borders>
              <w:top w:val="single" w:sz="8" w:color="0000FF"/>
            </w:tcBorders>
            <w:gridSpan w:val="2"/>
          </w:tcPr>
          <w:p>
            <w:pPr>
              <w:spacing w:after="0"/>
              <w:rPr>
                <w:sz w:val="22"/>
                <w:szCs w:val="22"/>
                <w:color w:val="auto"/>
              </w:rPr>
            </w:pPr>
          </w:p>
        </w:tc>
        <w:tc>
          <w:tcPr>
            <w:tcW w:w="7700" w:type="dxa"/>
            <w:vAlign w:val="bottom"/>
            <w:gridSpan w:val="12"/>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520" w:type="dxa"/>
            <w:vAlign w:val="bottom"/>
            <w:gridSpan w:val="3"/>
          </w:tcPr>
          <w:p>
            <w:pPr>
              <w:spacing w:after="0"/>
              <w:rPr>
                <w:sz w:val="22"/>
                <w:szCs w:val="22"/>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Signature</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6,730,869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7,097,113</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89,858</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87,621</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155,350</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111,037</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369,553</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654,667</w:t>
            </w:r>
          </w:p>
        </w:tc>
      </w:tr>
      <w:tr>
        <w:trPr>
          <w:trHeight w:val="217"/>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8,423,928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8,567,039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5,076,908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4,894,525</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98,323</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71,683</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379,863</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192,680</w:t>
            </w:r>
          </w:p>
        </w:tc>
      </w:tr>
      <w:tr>
        <w:trPr>
          <w:trHeight w:val="217"/>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5,842,380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5,724,614</w:t>
            </w:r>
          </w:p>
        </w:tc>
      </w:tr>
      <w:tr>
        <w:trPr>
          <w:trHeight w:val="204"/>
        </w:trPr>
        <w:tc>
          <w:tcPr>
            <w:tcW w:w="82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1"/>
        </w:trPr>
        <w:tc>
          <w:tcPr>
            <w:tcW w:w="82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7"/>
              </w:rPr>
              <w:t>Common stock, $0.01 par value, 500,000,000 shares authorized at September 30, 2025 and December 31, 2024,</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82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and 256,296,193 and 252,925,496 shares issued and outstanding at September 30, 2025 and December 31,</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respectively</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6,160,780</w:t>
            </w: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(3,406,786)</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7"/>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2,511,004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2,756,487</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85,938</w:t>
            </w:r>
          </w:p>
        </w:tc>
      </w:tr>
      <w:tr>
        <w:trPr>
          <w:trHeight w:val="217"/>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2,581,548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2,842,425</w:t>
            </w:r>
          </w:p>
        </w:tc>
      </w:tr>
      <w:tr>
        <w:trPr>
          <w:trHeight w:val="242"/>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8,423,928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140" w:type="dxa"/>
            <w:vAlign w:val="bottom"/>
          </w:tcPr>
          <w:p>
            <w:pPr>
              <w:spacing w:after="0"/>
              <w:rPr>
                <w:sz w:val="13"/>
                <w:szCs w:val="13"/>
                <w:color w:val="auto"/>
              </w:rPr>
            </w:pPr>
          </w:p>
        </w:tc>
        <w:tc>
          <w:tcPr>
            <w:tcW w:w="194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940" w:type="dxa"/>
            <w:vAlign w:val="bottom"/>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237,232</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203,448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705,604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593,061</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29,372</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7,087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22,095</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253,262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220,224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752,279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644,528</w:t>
            </w:r>
          </w:p>
        </w:tc>
        <w:tc>
          <w:tcPr>
            <w:tcW w:w="0" w:type="dxa"/>
            <w:vAlign w:val="bottom"/>
          </w:tcPr>
          <w:p>
            <w:pPr>
              <w:spacing w:after="0"/>
              <w:rPr>
                <w:sz w:val="1"/>
                <w:szCs w:val="1"/>
                <w:color w:val="auto"/>
              </w:rPr>
            </w:pPr>
          </w:p>
        </w:tc>
      </w:tr>
      <w:tr>
        <w:trPr>
          <w:trHeight w:val="16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75,128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219,761</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9,862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29,974</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18,843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57,492</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20,649</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90,904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73,299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271,966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213,326</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208,393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183,142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634,373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541,202</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parties</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72,699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57,099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213,698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160,318</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72,699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57,099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149,054</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240,241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848,071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690,256</w:t>
            </w:r>
          </w:p>
        </w:tc>
        <w:tc>
          <w:tcPr>
            <w:tcW w:w="0" w:type="dxa"/>
            <w:vAlign w:val="bottom"/>
          </w:tcPr>
          <w:p>
            <w:pPr>
              <w:spacing w:after="0"/>
              <w:rPr>
                <w:sz w:val="1"/>
                <w:szCs w:val="1"/>
                <w:color w:val="auto"/>
              </w:rPr>
            </w:pPr>
          </w:p>
        </w:tc>
      </w:tr>
      <w:tr>
        <w:trPr>
          <w:trHeight w:val="19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(loss) of unconsolidated joint ventures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(205,044)</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gain on sale or write down of assets, net</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(16,605)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(97,106)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272,306</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21,955</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4,865</w:t>
            </w:r>
          </w:p>
        </w:tc>
        <w:tc>
          <w:tcPr>
            <w:tcW w:w="0" w:type="dxa"/>
            <w:vAlign w:val="bottom"/>
          </w:tcPr>
          <w:p>
            <w:pPr>
              <w:spacing w:after="0"/>
              <w:rPr>
                <w:sz w:val="1"/>
                <w:szCs w:val="1"/>
                <w:color w:val="auto"/>
              </w:rPr>
            </w:pPr>
          </w:p>
        </w:tc>
      </w:tr>
      <w:tr>
        <w:trPr>
          <w:trHeight w:val="22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the Company</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(87,360)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17,090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common share—attributable to common stockholders: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254,130,000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218,420,000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253,407,000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216,884,000</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254,130,000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218,420,000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253,407,000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216,884,000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94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1"/>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57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21,955</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r>
      <w:tr>
        <w:trPr>
          <w:trHeight w:val="18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(89,993)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22,728</w:t>
            </w:r>
          </w:p>
        </w:tc>
      </w:tr>
      <w:tr>
        <w:trPr>
          <w:trHeight w:val="19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w:t>
            </w:r>
          </w:p>
        </w:tc>
      </w:tr>
      <w:tr>
        <w:trPr>
          <w:trHeight w:val="19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income attributable to the Company</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(87,358)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(108,336)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17,863</w:t>
            </w: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and 2024</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3"/>
                <w:szCs w:val="3"/>
                <w:color w:val="auto"/>
              </w:rPr>
            </w:pPr>
          </w:p>
        </w:tc>
        <w:tc>
          <w:tcPr>
            <w:tcW w:w="7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July 1, 2025</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253,199,243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6,167,547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(3,584,742)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2,585,322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77,493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2,662,815</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(89,995)</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6,704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4,857</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2,783,330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49,740</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paid ($0.17 per share)</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(43,350)</w:t>
            </w:r>
          </w:p>
        </w:tc>
        <w:tc>
          <w:tcPr>
            <w:tcW w:w="0" w:type="dxa"/>
            <w:vAlign w:val="bottom"/>
          </w:tcPr>
          <w:p>
            <w:pPr>
              <w:spacing w:after="0"/>
              <w:rPr>
                <w:sz w:val="1"/>
                <w:szCs w:val="1"/>
                <w:color w:val="auto"/>
              </w:rPr>
            </w:pPr>
          </w:p>
        </w:tc>
      </w:tr>
      <w:tr>
        <w:trPr>
          <w:trHeight w:val="124"/>
        </w:trPr>
        <w:tc>
          <w:tcPr>
            <w:tcW w:w="19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(2,517)</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306,916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Redemption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3,851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September 30, 2025</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256,296,193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6,223,906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(3,715,452)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2,511,004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70,544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2,581,548</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9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jc w:val="center"/>
              <w:ind w:right="260"/>
              <w:spacing w:after="0" w:line="73"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tcPr>
          <w:p>
            <w:pPr>
              <w:jc w:val="center"/>
              <w:ind w:right="300"/>
              <w:spacing w:after="0" w:line="73" w:lineRule="exact"/>
              <w:rPr>
                <w:sz w:val="20"/>
                <w:szCs w:val="20"/>
                <w:color w:val="auto"/>
              </w:rPr>
            </w:pPr>
            <w:r>
              <w:rPr>
                <w:rFonts w:ascii="Times New Roman" w:cs="Times New Roman" w:eastAsia="Times New Roman" w:hAnsi="Times New Roman"/>
                <w:sz w:val="8"/>
                <w:szCs w:val="8"/>
                <w:b w:val="1"/>
                <w:bCs w:val="1"/>
                <w:color w:val="auto"/>
              </w:rPr>
              <w:t>Other</w:t>
            </w:r>
          </w:p>
        </w:tc>
        <w:tc>
          <w:tcPr>
            <w:tcW w:w="140" w:type="dxa"/>
            <w:vAlign w:val="bottom"/>
          </w:tcPr>
          <w:p>
            <w:pPr>
              <w:spacing w:after="0"/>
              <w:rPr>
                <w:sz w:val="6"/>
                <w:szCs w:val="6"/>
                <w:color w:val="auto"/>
              </w:rPr>
            </w:pPr>
          </w:p>
        </w:tc>
        <w:tc>
          <w:tcPr>
            <w:tcW w:w="1140" w:type="dxa"/>
            <w:vAlign w:val="bottom"/>
            <w:gridSpan w:val="2"/>
          </w:tcPr>
          <w:p>
            <w:pPr>
              <w:jc w:val="center"/>
              <w:ind w:right="280"/>
              <w:spacing w:after="0" w:line="73"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line="132"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July 1, 2024</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216,403,221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5,515,333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(3,012,029)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2,505,434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83,306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2,588,740</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(108,189)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(108,189)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(112,098)</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7,942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3,836</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9,401,596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148,530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148,624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148,624</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paid ($0.17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(36,846)</w:t>
            </w:r>
          </w:p>
        </w:tc>
        <w:tc>
          <w:tcPr>
            <w:tcW w:w="0" w:type="dxa"/>
            <w:vAlign w:val="bottom"/>
          </w:tcPr>
          <w:p>
            <w:pPr>
              <w:spacing w:after="0"/>
              <w:rPr>
                <w:sz w:val="1"/>
                <w:szCs w:val="1"/>
                <w:color w:val="auto"/>
              </w:rPr>
            </w:pPr>
          </w:p>
        </w:tc>
      </w:tr>
      <w:tr>
        <w:trPr>
          <w:trHeight w:val="124"/>
        </w:trPr>
        <w:tc>
          <w:tcPr>
            <w:tcW w:w="19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(2,993)</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134,547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6,300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September 30, 2024</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225,947,306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5,666,636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(3,157,064)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2,511,650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77,466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2,589,116</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and 2024</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21"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3"/>
        </w:trPr>
        <w:tc>
          <w:tcPr>
            <w:tcW w:w="190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2025</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252,925,496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6,160,780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(3,406,786)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2,756,487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85,938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2,842,425</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(182,693)</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182,361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13,477</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91,990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2,783,330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49,101</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($0.51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(130,277)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(130,277)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(130,277)</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(11,755)</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313,016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Redemption of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6,431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September 30, 2025</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256,296,193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6,223,906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(3,715,452)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2,511,004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70,544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2,581,548</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tcPr>
          <w:p>
            <w:pPr>
              <w:jc w:val="center"/>
              <w:ind w:right="30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140" w:type="dxa"/>
            <w:vAlign w:val="bottom"/>
          </w:tcPr>
          <w:p>
            <w:pPr>
              <w:spacing w:after="0"/>
              <w:rPr>
                <w:sz w:val="4"/>
                <w:szCs w:val="4"/>
                <w:color w:val="auto"/>
              </w:rPr>
            </w:pPr>
          </w:p>
        </w:tc>
        <w:tc>
          <w:tcPr>
            <w:tcW w:w="1140" w:type="dxa"/>
            <w:vAlign w:val="bottom"/>
            <w:gridSpan w:val="2"/>
          </w:tcPr>
          <w:p>
            <w:pPr>
              <w:jc w:val="center"/>
              <w:ind w:right="280"/>
              <w:spacing w:after="0" w:line="53" w:lineRule="exact"/>
              <w:rPr>
                <w:sz w:val="20"/>
                <w:szCs w:val="20"/>
                <w:color w:val="auto"/>
              </w:rPr>
            </w:pPr>
            <w:r>
              <w:rPr>
                <w:rFonts w:ascii="Times New Roman" w:cs="Times New Roman" w:eastAsia="Times New Roman" w:hAnsi="Times New Roman"/>
                <w:sz w:val="6"/>
                <w:szCs w:val="6"/>
                <w:b w:val="1"/>
                <w:bCs w:val="1"/>
                <w:color w:val="auto"/>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2024</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215,976,614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5,509,603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(3,063,789)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2,447,020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80,581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2,527,601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17,090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4,865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21,955</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236,786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9,279</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105,240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9,401,596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148,464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148,558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148,558</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($0.51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(110,365)</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(9,706)</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227,070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12,934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September 30, 2024</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225,947,306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5,666,636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(3,157,064)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2,511,650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77,466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2,589,116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8440" w:type="dxa"/>
            <w:vAlign w:val="bottom"/>
          </w:tcPr>
          <w:p>
            <w:pPr>
              <w:jc w:val="center"/>
              <w:ind w:left="241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16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5"/>
          </w:tcPr>
          <w:p>
            <w:pPr>
              <w:jc w:val="center"/>
              <w:ind w:right="300"/>
              <w:spacing w:after="0" w:line="198" w:lineRule="exact"/>
              <w:rPr>
                <w:sz w:val="20"/>
                <w:szCs w:val="20"/>
                <w:color w:val="auto"/>
              </w:rPr>
            </w:pPr>
            <w:r>
              <w:rPr>
                <w:rFonts w:ascii="Times New Roman" w:cs="Times New Roman" w:eastAsia="Times New Roman" w:hAnsi="Times New Roman"/>
                <w:sz w:val="18"/>
                <w:szCs w:val="18"/>
                <w:b w:val="1"/>
                <w:bCs w:val="1"/>
                <w:color w:val="auto"/>
                <w:w w:val="96"/>
              </w:rPr>
              <w:t>For the Nine Months Ended</w:t>
            </w:r>
          </w:p>
        </w:tc>
      </w:tr>
      <w:tr>
        <w:trPr>
          <w:trHeight w:val="234"/>
        </w:trPr>
        <w:tc>
          <w:tcPr>
            <w:tcW w:w="16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20"/>
        </w:trPr>
        <w:tc>
          <w:tcPr>
            <w:tcW w:w="16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r>
      <w:tr>
        <w:trPr>
          <w:trHeight w:val="217"/>
        </w:trPr>
        <w:tc>
          <w:tcPr>
            <w:tcW w:w="16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sale or write down of assets,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(272,306)</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221,716</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discount on mortgage notes payable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(income) loss of unconsolidated joint ventures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205,044</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from affiliates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140" w:type="dxa"/>
            <w:vAlign w:val="bottom"/>
          </w:tcPr>
          <w:p>
            <w:pPr>
              <w:spacing w:after="0"/>
              <w:rPr>
                <w:sz w:val="19"/>
                <w:szCs w:val="19"/>
                <w:color w:val="auto"/>
              </w:rPr>
            </w:pPr>
          </w:p>
        </w:tc>
      </w:tr>
      <w:tr>
        <w:trPr>
          <w:trHeight w:val="217"/>
        </w:trPr>
        <w:tc>
          <w:tcPr>
            <w:tcW w:w="16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228,573</w:t>
            </w:r>
          </w:p>
        </w:tc>
        <w:tc>
          <w:tcPr>
            <w:tcW w:w="140" w:type="dxa"/>
            <w:vAlign w:val="bottom"/>
          </w:tcPr>
          <w:p>
            <w:pPr>
              <w:spacing w:after="0"/>
              <w:rPr>
                <w:sz w:val="18"/>
                <w:szCs w:val="18"/>
                <w:color w:val="auto"/>
              </w:rPr>
            </w:pPr>
          </w:p>
        </w:tc>
      </w:tr>
      <w:tr>
        <w:trPr>
          <w:trHeight w:val="217"/>
        </w:trPr>
        <w:tc>
          <w:tcPr>
            <w:tcW w:w="16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of property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(78,342)</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improvements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leasing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(37,008)</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acquired from acquisition of unconsolidated joint ventures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Derecognition of cash previously held by a consolidated joint venture to an unconsolidated joint venture</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122,358</w:t>
            </w:r>
          </w:p>
        </w:tc>
        <w:tc>
          <w:tcPr>
            <w:tcW w:w="140" w:type="dxa"/>
            <w:vAlign w:val="bottom"/>
          </w:tcPr>
          <w:p>
            <w:pPr>
              <w:spacing w:after="0"/>
              <w:rPr>
                <w:sz w:val="19"/>
                <w:szCs w:val="19"/>
                <w:color w:val="auto"/>
              </w:rPr>
            </w:pPr>
          </w:p>
        </w:tc>
      </w:tr>
      <w:tr>
        <w:trPr>
          <w:trHeight w:val="217"/>
        </w:trPr>
        <w:tc>
          <w:tcPr>
            <w:tcW w:w="16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(318,166)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40" w:type="dxa"/>
            <w:vAlign w:val="bottom"/>
          </w:tcPr>
          <w:p>
            <w:pPr>
              <w:spacing w:after="0"/>
              <w:rPr>
                <w:sz w:val="18"/>
                <w:szCs w:val="18"/>
                <w:color w:val="auto"/>
              </w:rPr>
            </w:pPr>
          </w:p>
        </w:tc>
      </w:tr>
      <w:tr>
        <w:trPr>
          <w:trHeight w:val="874"/>
        </w:trPr>
        <w:tc>
          <w:tcPr>
            <w:tcW w:w="8600" w:type="dxa"/>
            <w:vAlign w:val="bottom"/>
            <w:gridSpan w:val="2"/>
          </w:tcPr>
          <w:p>
            <w:pPr>
              <w:jc w:val="right"/>
              <w:ind w:right="285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2"/>
        </w:trPr>
        <w:tc>
          <w:tcPr>
            <w:tcW w:w="16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440" w:type="dxa"/>
            <w:vAlign w:val="bottom"/>
          </w:tcPr>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132"/>
              <w:spacing w:after="0" w:line="185" w:lineRule="exact"/>
              <w:rPr>
                <w:sz w:val="20"/>
                <w:szCs w:val="20"/>
                <w:color w:val="auto"/>
              </w:rPr>
            </w:pPr>
            <w:r>
              <w:rPr>
                <w:rFonts w:ascii="Times New Roman" w:cs="Times New Roman" w:eastAsia="Times New Roman" w:hAnsi="Times New Roman"/>
                <w:sz w:val="18"/>
                <w:szCs w:val="18"/>
                <w:b w:val="1"/>
                <w:bCs w:val="1"/>
                <w:color w:val="auto"/>
                <w:w w:val="98"/>
              </w:rPr>
              <w:t>For the Nine Months Ended</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0"/>
        </w:trPr>
        <w:tc>
          <w:tcPr>
            <w:tcW w:w="8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mortgages, bank and other notes payable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(588,636)</w:t>
            </w:r>
          </w:p>
        </w:tc>
        <w:tc>
          <w:tcPr>
            <w:tcW w:w="0" w:type="dxa"/>
            <w:vAlign w:val="bottom"/>
          </w:tcPr>
          <w:p>
            <w:pPr>
              <w:spacing w:after="0"/>
              <w:rPr>
                <w:sz w:val="1"/>
                <w:szCs w:val="1"/>
                <w:color w:val="auto"/>
              </w:rPr>
            </w:pP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0" w:type="dxa"/>
            <w:vAlign w:val="bottom"/>
          </w:tcPr>
          <w:p>
            <w:pPr>
              <w:spacing w:after="0"/>
              <w:rPr>
                <w:sz w:val="1"/>
                <w:szCs w:val="1"/>
                <w:color w:val="auto"/>
              </w:rPr>
            </w:pP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stock offerings,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148,558</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noncontrolling interests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(120,071)</w:t>
            </w:r>
          </w:p>
        </w:tc>
        <w:tc>
          <w:tcPr>
            <w:tcW w:w="0" w:type="dxa"/>
            <w:vAlign w:val="bottom"/>
          </w:tcPr>
          <w:p>
            <w:pPr>
              <w:spacing w:after="0"/>
              <w:rPr>
                <w:sz w:val="1"/>
                <w:szCs w:val="1"/>
                <w:color w:val="auto"/>
              </w:rPr>
            </w:pPr>
          </w:p>
        </w:tc>
      </w:tr>
      <w:tr>
        <w:trPr>
          <w:trHeight w:val="217"/>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(171,518)</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39,684</w:t>
            </w:r>
          </w:p>
        </w:tc>
        <w:tc>
          <w:tcPr>
            <w:tcW w:w="0" w:type="dxa"/>
            <w:vAlign w:val="bottom"/>
          </w:tcPr>
          <w:p>
            <w:pPr>
              <w:spacing w:after="0"/>
              <w:rPr>
                <w:sz w:val="1"/>
                <w:szCs w:val="1"/>
                <w:color w:val="auto"/>
              </w:rPr>
            </w:pPr>
          </w:p>
        </w:tc>
      </w:tr>
      <w:tr>
        <w:trPr>
          <w:trHeight w:val="22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190,294</w:t>
            </w: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229,978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 accrued liabilities</w:t>
            </w:r>
          </w:p>
        </w:tc>
        <w:tc>
          <w:tcPr>
            <w:tcW w:w="140" w:type="dxa"/>
            <w:vAlign w:val="bottom"/>
            <w:tcBorders>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49,996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36,453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4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auto"/>
                <w:w w:val="97"/>
              </w:rPr>
              <w:t>Derecognition of previously consolidated property and related liabilities to investment in unconsolidated joint venture</w:t>
            </w: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72"/>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347,290</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Operating Partnership Units to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Assets acquired from unconsolidated joint venture</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621,701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assumed from unconsolidated joint venture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558,439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50"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retail centers and community/power shopping centers (the "Centers") located throughout the United States.</w:t>
      </w:r>
    </w:p>
    <w:p>
      <w:pPr>
        <w:spacing w:after="0" w:line="90" w:lineRule="exact"/>
        <w:rPr>
          <w:sz w:val="20"/>
          <w:szCs w:val="20"/>
          <w:color w:val="auto"/>
        </w:rPr>
      </w:pPr>
    </w:p>
    <w:p>
      <w:pPr>
        <w:ind w:right="260" w:firstLine="434"/>
        <w:spacing w:after="0" w:line="25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September 30, 2025,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14"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19"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88" w:lineRule="exact"/>
        <w:rPr>
          <w:sz w:val="20"/>
          <w:szCs w:val="20"/>
          <w:color w:val="auto"/>
        </w:rPr>
      </w:pPr>
    </w:p>
    <w:p>
      <w:pPr>
        <w:ind w:left="400" w:right="7660" w:hanging="395"/>
        <w:spacing w:after="0" w:line="413" w:lineRule="auto"/>
        <w:tabs>
          <w:tab w:leader="none" w:pos="1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10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SanTan Village Regional Center.</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1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122,102</w:t>
            </w: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w:t>
            </w:r>
          </w:p>
        </w:tc>
      </w:tr>
      <w:tr>
        <w:trPr>
          <w:trHeight w:val="217"/>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219,666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219,595</w:t>
            </w: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71,268</w:t>
            </w:r>
          </w:p>
        </w:tc>
      </w:tr>
      <w:tr>
        <w:trPr>
          <w:trHeight w:val="217"/>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290,863</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632"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42" w:lineRule="exact"/>
        <w:rPr>
          <w:sz w:val="20"/>
          <w:szCs w:val="20"/>
          <w:color w:val="auto"/>
        </w:rPr>
      </w:pPr>
    </w:p>
    <w:p>
      <w:pPr>
        <w:ind w:right="80" w:firstLine="434"/>
        <w:spacing w:after="0" w:line="284" w:lineRule="auto"/>
        <w:rPr>
          <w:sz w:val="20"/>
          <w:szCs w:val="20"/>
          <w:color w:val="auto"/>
        </w:rPr>
      </w:pPr>
      <w:r>
        <w:rPr>
          <w:rFonts w:ascii="Times New Roman" w:cs="Times New Roman" w:eastAsia="Times New Roman" w:hAnsi="Times New Roman"/>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2024.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2024 has been derived from the audited financial statements but does not include all disclosures required by GAAP.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of period and end of period cash, cash equivalents and restricted cash reported 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to the totals shown on its consolidated statements of cash flows:</w:t>
      </w:r>
    </w:p>
    <w:p>
      <w:pPr>
        <w:spacing w:after="0" w:line="256"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p>
      <w:pPr>
        <w:spacing w:after="0" w:line="2"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94,936</w:t>
            </w:r>
          </w:p>
        </w:tc>
      </w:tr>
      <w:tr>
        <w:trPr>
          <w:trHeight w:val="22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95,358</w:t>
            </w:r>
          </w:p>
        </w:tc>
      </w:tr>
      <w:tr>
        <w:trPr>
          <w:trHeight w:val="217"/>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190,294</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85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End of period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290,162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116,475</w:t>
            </w:r>
          </w:p>
        </w:tc>
      </w:tr>
      <w:tr>
        <w:trPr>
          <w:trHeight w:val="22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113,503</w:t>
            </w:r>
          </w:p>
        </w:tc>
      </w:tr>
      <w:tr>
        <w:trPr>
          <w:trHeight w:val="217"/>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380,603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229,978</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37" w:lineRule="exact"/>
        <w:rPr>
          <w:sz w:val="20"/>
          <w:szCs w:val="20"/>
          <w:color w:val="auto"/>
        </w:rPr>
      </w:pPr>
    </w:p>
    <w:p>
      <w:pPr>
        <w:ind w:right="120" w:firstLine="434"/>
        <w:spacing w:after="0" w:line="250"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Improvements to Income Tax Disclosures. This ASU requires disaggregated information about a reporting entity's effective tax rate reconciliation as well as information on income taxes paid and will be effective for annual periods beginning after December 15, 2024. The new requirements should be applied on a prospective basis with an option to apply them retrospectively. Early adoption is permitted. The Company has determined that ASU 2023-09 will not have a material impact on its consolidated financial statements and related disclosures.</w:t>
      </w:r>
    </w:p>
    <w:p>
      <w:pPr>
        <w:spacing w:after="0" w:line="212"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in ASU 2024-03 apply to all public business entities and require disclosure of specified information about certain costs and expenses. ASU 2024-03 is effective for annual reporting periods beginning after December 15, 2026, and interim periods within fiscal years beginning after December 15, 2027, with early adoption permitted. The Company is currently evaluating the potential impact of adopting ASU 2024-03.</w:t>
      </w:r>
    </w:p>
    <w:p>
      <w:pPr>
        <w:spacing w:after="0" w:line="212"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 and Other Options (Subtopic 470-20): Induced Conversions of Convertible Debt Instruments. The amendments in ASU 2024-04 clarify the requirements for determining whether certain settlements of convertible debt instruments should be accounted for as an induced conversion. The new guidance is effective for annual reporting periods beginning after December 15, 2025, and interim periods within those annual periods. The Company is currently evaluating the potential impact of adopting ASU 2024-04.</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50" w:lineRule="exact"/>
        <w:rPr>
          <w:sz w:val="20"/>
          <w:szCs w:val="20"/>
          <w:color w:val="auto"/>
        </w:rPr>
      </w:pPr>
    </w:p>
    <w:p>
      <w:pPr>
        <w:ind w:right="140" w:firstLine="434"/>
        <w:spacing w:after="0" w:line="263"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and nine months ended September 30, 2025 and 2024 (shares in thousands):</w:t>
      </w:r>
    </w:p>
    <w:tbl>
      <w:tblPr>
        <w:tblLayout w:type="fixed"/>
        <w:tblInd w:w="0" w:type="dxa"/>
        <w:tblCellMar>
          <w:top w:w="0" w:type="dxa"/>
          <w:left w:w="0" w:type="dxa"/>
          <w:bottom w:w="0" w:type="dxa"/>
          <w:right w:w="0" w:type="dxa"/>
        </w:tblCellMar>
      </w:tblPr>
      <w:tr>
        <w:trPr>
          <w:trHeight w:val="145"/>
        </w:trPr>
        <w:tc>
          <w:tcPr>
            <w:tcW w:w="6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5"/>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6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(89,995)</w:t>
            </w:r>
          </w:p>
        </w:tc>
        <w:tc>
          <w:tcPr>
            <w:tcW w:w="1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(112,098)</w:t>
            </w:r>
          </w:p>
        </w:tc>
        <w:tc>
          <w:tcPr>
            <w:tcW w:w="10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21,955</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1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the Company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151"/>
        </w:trPr>
        <w:tc>
          <w:tcPr>
            <w:tcW w:w="628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Numerator for basic and diluted EPS—net (loss) income attributable to common</w:t>
            </w: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180" w:type="dxa"/>
            <w:vAlign w:val="bottom"/>
          </w:tcPr>
          <w:p>
            <w:pPr>
              <w:spacing w:after="0"/>
              <w:rPr>
                <w:sz w:val="13"/>
                <w:szCs w:val="13"/>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(108,441)</w:t>
            </w:r>
          </w:p>
        </w:tc>
        <w:tc>
          <w:tcPr>
            <w:tcW w:w="100" w:type="dxa"/>
            <w:vAlign w:val="bottom"/>
          </w:tcPr>
          <w:p>
            <w:pPr>
              <w:spacing w:after="0"/>
              <w:rPr>
                <w:sz w:val="13"/>
                <w:szCs w:val="13"/>
                <w:color w:val="auto"/>
              </w:rPr>
            </w:pPr>
          </w:p>
        </w:tc>
        <w:tc>
          <w:tcPr>
            <w:tcW w:w="260" w:type="dxa"/>
            <w:vAlign w:val="bottom"/>
            <w:vMerge w:val="restart"/>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(178,970)</w:t>
            </w: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0" w:type="dxa"/>
            <w:vAlign w:val="bottom"/>
          </w:tcPr>
          <w:p>
            <w:pPr>
              <w:spacing w:after="0"/>
              <w:rPr>
                <w:sz w:val="1"/>
                <w:szCs w:val="1"/>
                <w:color w:val="auto"/>
              </w:rPr>
            </w:pPr>
          </w:p>
        </w:tc>
      </w:tr>
      <w:tr>
        <w:trPr>
          <w:trHeight w:val="21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2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Denominator for basic and diluted EPS—weighted average number of common shares</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254,130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218,420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253,407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216,884</w:t>
            </w:r>
          </w:p>
        </w:tc>
        <w:tc>
          <w:tcPr>
            <w:tcW w:w="0" w:type="dxa"/>
            <w:vAlign w:val="bottom"/>
          </w:tcPr>
          <w:p>
            <w:pPr>
              <w:spacing w:after="0"/>
              <w:rPr>
                <w:sz w:val="1"/>
                <w:szCs w:val="1"/>
                <w:color w:val="auto"/>
              </w:rPr>
            </w:pPr>
          </w:p>
        </w:tc>
      </w:tr>
      <w:tr>
        <w:trPr>
          <w:trHeight w:val="21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outstanding(1)</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(loss) income attributable to common stockholders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40" w:right="260" w:hanging="319"/>
        <w:spacing w:after="0" w:line="271" w:lineRule="auto"/>
        <w:tabs>
          <w:tab w:leader="none" w:pos="628"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99,565 convertible preferred partnership units for each of the three and nine months ended September 30, 2025 and 2024, as their impact was antidilutive. Diluted EPS also excludes 10,714,464 and 9,987,209 Operating Partnership units ("OP Units") for the three months ended September 30, 2025 and 2024, respectively, and 10,817,668 and 10,060,498 OP Units for the nine months ended September 30, 2025 and 2024, respectively, as their impact was antidilutive.</w:t>
      </w:r>
    </w:p>
    <w:p>
      <w:pPr>
        <w:spacing w:after="0" w:line="312"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made the following recent financings or other events within its unconsolidated joint ventures:</w:t>
      </w:r>
    </w:p>
    <w:p>
      <w:pPr>
        <w:spacing w:after="0" w:line="148" w:lineRule="exact"/>
        <w:rPr>
          <w:sz w:val="20"/>
          <w:szCs w:val="20"/>
          <w:color w:val="auto"/>
        </w:rPr>
      </w:pPr>
    </w:p>
    <w:p>
      <w:pPr>
        <w:jc w:val="both"/>
        <w:ind w:right="100" w:firstLine="434"/>
        <w:spacing w:after="0" w:line="256" w:lineRule="auto"/>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$23,000 mortgage loan on the property with a new $24,000 loan that bears interest at a variable rate of SOFR plus 2.50%, is interest only during the entire loan term, and matures on December 5, 2028. The new loan has a required interest rate cap throughout the term of the loan at a strike rate of 7.5%.</w:t>
      </w:r>
    </w:p>
    <w:p>
      <w:pPr>
        <w:spacing w:after="0" w:line="114" w:lineRule="exact"/>
        <w:rPr>
          <w:sz w:val="20"/>
          <w:szCs w:val="20"/>
          <w:color w:val="auto"/>
        </w:rPr>
      </w:pPr>
    </w:p>
    <w:p>
      <w:pPr>
        <w:ind w:right="180" w:firstLine="434"/>
        <w:spacing w:after="0" w:line="250"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During the three months ended March 31, 2024, the Company evaluated its investment and concluded that due to certain conditions, the Company should not continue to invest capital in this development project. As a result, the Company determined the investment was impaired on an other-than-temporary basis and wrote-off its entire investment of $57,686 in the first quarter of 2024 through equity in loss of unconsolidated joint ventures.</w:t>
      </w:r>
    </w:p>
    <w:p>
      <w:pPr>
        <w:spacing w:after="0" w:line="106" w:lineRule="exact"/>
        <w:rPr>
          <w:sz w:val="20"/>
          <w:szCs w:val="20"/>
          <w:color w:val="auto"/>
        </w:rPr>
      </w:pPr>
    </w:p>
    <w:p>
      <w:pPr>
        <w:ind w:right="360" w:firstLine="434"/>
        <w:spacing w:after="0" w:line="303" w:lineRule="auto"/>
        <w:rPr>
          <w:sz w:val="20"/>
          <w:szCs w:val="20"/>
          <w:color w:val="auto"/>
        </w:rPr>
      </w:pPr>
      <w:r>
        <w:rPr>
          <w:rFonts w:ascii="Times New Roman" w:cs="Times New Roman" w:eastAsia="Times New Roman" w:hAnsi="Times New Roman"/>
          <w:sz w:val="16"/>
          <w:szCs w:val="16"/>
          <w:color w:val="auto"/>
        </w:rPr>
        <w:t>On May 14, 2024, the Company acquired the remaining 40% ownership interest in Arrowhead Towne Center in the New River Associates LLC joint venture that it did not previously own for a total purchase price of $36,447 and the assumption of its joint venture partner's share of debt on the property. Effective as of May 14, 2024, the Company now owns and has consolidated its 100% interest in Arrowhead Towne Center (See Note 15—Acquisitions).</w:t>
      </w:r>
    </w:p>
    <w:p>
      <w:pPr>
        <w:spacing w:after="0" w:line="80" w:lineRule="exact"/>
        <w:rPr>
          <w:sz w:val="20"/>
          <w:szCs w:val="20"/>
          <w:color w:val="auto"/>
        </w:rPr>
      </w:pPr>
    </w:p>
    <w:p>
      <w:pPr>
        <w:jc w:val="both"/>
        <w:ind w:right="40" w:firstLine="434"/>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in the Pacific Premier Retail LLC joint venture that it did not previously own for no cash consideration and the assumption of its joint venture partner's share of debt on the property. Effective as of May 14, 2024, the Company now owns and has consolidated its 100% interest in South Plains Mall (See Note 15—Acquisitions).</w:t>
      </w:r>
    </w:p>
    <w:p>
      <w:pPr>
        <w:spacing w:after="0" w:line="114"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150" w:lineRule="exact"/>
        <w:rPr>
          <w:sz w:val="20"/>
          <w:szCs w:val="20"/>
          <w:color w:val="auto"/>
        </w:rPr>
      </w:pPr>
    </w:p>
    <w:p>
      <w:pPr>
        <w:ind w:right="720"/>
        <w:spacing w:after="0" w:line="268" w:lineRule="auto"/>
        <w:rPr>
          <w:sz w:val="20"/>
          <w:szCs w:val="20"/>
          <w:color w:val="auto"/>
        </w:rPr>
      </w:pPr>
      <w:r>
        <w:rPr>
          <w:rFonts w:ascii="Times New Roman" w:cs="Times New Roman" w:eastAsia="Times New Roman" w:hAnsi="Times New Roman"/>
          <w:sz w:val="18"/>
          <w:szCs w:val="18"/>
          <w:color w:val="auto"/>
        </w:rPr>
        <w:t>June 13, 2024, the Company accounts for its investment in Chandler Fashion Center under the equity method of accounting (See Note 12—Financing Arrangement and Note 16—Dispositions).</w:t>
      </w:r>
    </w:p>
    <w:p>
      <w:pPr>
        <w:spacing w:after="0" w:line="104"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refinanced the existing $256,000 loan on the property with a $275,000 loan that bears interest at a fixed rate of 7.06%, is interest only during the entire loan term and matures on July 1, 2029. The Company received a distribution of $17,700 in connection with this transaction.</w:t>
      </w:r>
    </w:p>
    <w:p>
      <w:pPr>
        <w:spacing w:after="0" w:line="101"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On June 28, 2024, the Company's joint venture in Country Club Plaza sold the property for $175,600. Concurrent with the transaction, the remaining amount owed by the joint venture under the $295,470 loan ($147,735 at the Company's pro rata share) was forgiven by the lender.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July 31, 2024, the Company sold its 50% interest in Biltmore Fashion Park, a 611,000 square foot regional retail center in Phoenix, Arizona, for</w:t>
      </w:r>
    </w:p>
    <w:p>
      <w:pPr>
        <w:spacing w:after="0" w:line="2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$110,000. The Company used the net proceeds to pay down debt. The Company recognized a gain of approximately $42,815 in connection with this transaction (See Note 6—Property, net).</w:t>
      </w:r>
    </w:p>
    <w:p>
      <w:pPr>
        <w:spacing w:after="0" w:line="120"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On October 24, 2024, the Company acquired its joint venture partner's 40% interest in the Pacific Premier Retail Trust portfolio, which includes Los Cerritos Center, Washington Square and Lakewood Center, for a net purchase price of approximately $122,132, which includes the assumption of the partner's share of property level indebtedness. As a result of this transaction and the shortening of holding periods, an impairment loss was recorded by the joint venture. The Company's share of the impairment loss was $117,031. The Company now owns and consolidates its 100% interests in these properties (See Note 15— Acquisitions). On August 18, 2025, the Company sold Lakewood Center (See Note 16—Dispositions).</w:t>
      </w:r>
    </w:p>
    <w:p>
      <w:pPr>
        <w:spacing w:after="0" w:line="106"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On February 7, 2025, the Company's joint venture in Flatiron Crossing repaid in full the $14,532 mezzanine loan and $14,532 of the first mortgage, and obtained a 90-day extension for the remaining $140,479 of the first mortgage. The mezzanine loan had an interest rate of SOFR plus 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$140,479 ($71,644 at the Company's pro rata share) of the first mortgage.</w:t>
      </w:r>
    </w:p>
    <w:p>
      <w:pPr>
        <w:spacing w:after="0" w:line="119" w:lineRule="exact"/>
        <w:rPr>
          <w:sz w:val="20"/>
          <w:szCs w:val="20"/>
          <w:color w:val="auto"/>
        </w:rPr>
      </w:pPr>
    </w:p>
    <w:p>
      <w:pPr>
        <w:jc w:val="both"/>
        <w:ind w:right="120" w:firstLine="434"/>
        <w:spacing w:after="0" w:line="256" w:lineRule="auto"/>
        <w:rPr>
          <w:sz w:val="20"/>
          <w:szCs w:val="20"/>
          <w:color w:val="auto"/>
        </w:rPr>
      </w:pPr>
      <w:r>
        <w:rPr>
          <w:rFonts w:ascii="Times New Roman" w:cs="Times New Roman" w:eastAsia="Times New Roman" w:hAnsi="Times New Roman"/>
          <w:sz w:val="18"/>
          <w:szCs w:val="18"/>
          <w:color w:val="auto"/>
        </w:rPr>
        <w:t>On June 30, 2025, the Company sold its remaining 5% effective interest in Paradise Valley Mall in Phoenix, Arizona for $5,532. The Company used the proceeds for general corporate purposes. The Company recognized a loss of approximately $1,157 in connection with this transaction (See Note 6 – Property, net).</w:t>
      </w:r>
    </w:p>
    <w:p>
      <w:pPr>
        <w:spacing w:after="0" w:line="114" w:lineRule="exact"/>
        <w:rPr>
          <w:sz w:val="20"/>
          <w:szCs w:val="20"/>
          <w:color w:val="auto"/>
        </w:rPr>
      </w:pPr>
    </w:p>
    <w:p>
      <w:pPr>
        <w:jc w:val="both"/>
        <w:ind w:right="200" w:firstLine="434"/>
        <w:spacing w:after="0" w:line="256" w:lineRule="auto"/>
        <w:rPr>
          <w:sz w:val="20"/>
          <w:szCs w:val="20"/>
          <w:color w:val="auto"/>
        </w:rPr>
      </w:pPr>
      <w:r>
        <w:rPr>
          <w:rFonts w:ascii="Times New Roman" w:cs="Times New Roman" w:eastAsia="Times New Roman" w:hAnsi="Times New Roman"/>
          <w:sz w:val="18"/>
          <w:szCs w:val="18"/>
          <w:color w:val="auto"/>
        </w:rPr>
        <w:t>On July 30, 2025, the Company’s joint venture closed on the sale of Atlas Park for $72,000. Concurrent with the sale, the $65,000 loan ($32,500 at the Company’s share) owed by the joint venture was paid off in full. The Company used its share of net proceeds for general corporate purposes. The Company's share of the gain from this transaction was $11,953.</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ectPr>
          <w:pgSz w:w="11900" w:h="16838" w:orient="portrait"/>
          <w:cols w:equalWidth="0" w:num="1">
            <w:col w:w="11240"/>
          </w:cols>
          <w:pgMar w:left="320" w:top="2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3,276,606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3,519,602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459,468</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3,687,969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partners' capital: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3,152,304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3,461,032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324,799</w:t>
            </w: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100,684</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92,555</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3,687,969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100,684</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adjustment(1)</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361,303</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461,987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727,139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654,667</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(192,680)</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461,987</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560" w:type="dxa"/>
            <w:vAlign w:val="bottom"/>
            <w:tcBorders>
              <w:bottom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41" w:lineRule="exact"/>
        <w:rPr>
          <w:sz w:val="20"/>
          <w:szCs w:val="20"/>
          <w:color w:val="auto"/>
        </w:rPr>
      </w:pPr>
    </w:p>
    <w:p>
      <w:pPr>
        <w:ind w:left="340" w:hanging="335"/>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and adjusts the basis adjustment for</w:t>
      </w:r>
    </w:p>
    <w:p>
      <w:pPr>
        <w:spacing w:after="0" w:line="22" w:lineRule="exact"/>
        <w:rPr>
          <w:sz w:val="20"/>
          <w:szCs w:val="20"/>
          <w:color w:val="auto"/>
        </w:rPr>
      </w:pPr>
    </w:p>
    <w:p>
      <w:pPr>
        <w:ind w:left="400"/>
        <w:spacing w:after="0" w:line="277" w:lineRule="auto"/>
        <w:rPr>
          <w:sz w:val="20"/>
          <w:szCs w:val="20"/>
          <w:color w:val="auto"/>
        </w:rPr>
      </w:pPr>
      <w:r>
        <w:rPr>
          <w:rFonts w:ascii="Times New Roman" w:cs="Times New Roman" w:eastAsia="Times New Roman" w:hAnsi="Times New Roman"/>
          <w:sz w:val="14"/>
          <w:szCs w:val="14"/>
          <w:color w:val="auto"/>
        </w:rPr>
        <w:t xml:space="preserve">impairment and disposition transactions that may occur, into the Company's share of net (loss) income. The amortization of this difference was $6,172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$178,179 for the three months ended September 30, 2025 and 2024, respectively, and $16,834 and $360,740 for the nine months ended September 30, 2025 and 2024, respectively.</w:t>
      </w:r>
    </w:p>
    <w:p>
      <w:pPr>
        <w:sectPr>
          <w:pgSz w:w="11900" w:h="16838" w:orient="portrait"/>
          <w:cols w:equalWidth="0" w:num="1">
            <w:col w:w="11240"/>
          </w:cols>
          <w:pgMar w:left="320" w:top="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76"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equity in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PPR Portfolio(1)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rPr>
              <w:t>Joint</w:t>
            </w:r>
          </w:p>
        </w:tc>
        <w:tc>
          <w:tcPr>
            <w:tcW w:w="3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Ventures</w:t>
            </w: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40,781</w:t>
            </w:r>
          </w:p>
        </w:tc>
        <w:tc>
          <w:tcPr>
            <w:tcW w:w="3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188,605</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194,479</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66,972</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68,523</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200,710</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sale or write down of assets, net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(412,991)</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(567,610)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(419,222)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equity in net loss(2)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1020" w:hanging="38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its joint venture partner's 40% interest in the PPR Portfolio as described above.</w:t>
      </w:r>
    </w:p>
    <w:p>
      <w:pPr>
        <w:spacing w:after="0" w:line="154" w:lineRule="exact"/>
        <w:rPr>
          <w:rFonts w:ascii="Times New Roman" w:cs="Times New Roman" w:eastAsia="Times New Roman" w:hAnsi="Times New Roman"/>
          <w:sz w:val="14"/>
          <w:szCs w:val="14"/>
          <w:color w:val="auto"/>
        </w:rPr>
      </w:pPr>
    </w:p>
    <w:p>
      <w:pPr>
        <w:ind w:left="940" w:hanging="303"/>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impairment losses at the Company's share of $66,952 for the three months ended September 30, 2024.</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320" w:top="262" w:right="879" w:bottom="1440" w:gutter="0" w:footer="0" w:header="0"/>
        </w:sectPr>
      </w:pPr>
    </w:p>
    <w:bookmarkStart w:id="15" w:name="page16"/>
    <w:bookmarkEnd w:id="15"/>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8"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76"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2025</w:t>
            </w: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Company's equity in net income</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PPR Portfolio(1)</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rPr>
              <w:t>Joint</w:t>
            </w: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Ventures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2024</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573,939</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587,951</w:t>
            </w: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199,429</w:t>
            </w:r>
          </w:p>
        </w:tc>
        <w:tc>
          <w:tcPr>
            <w:tcW w:w="0" w:type="dxa"/>
            <w:vAlign w:val="bottom"/>
          </w:tcPr>
          <w:p>
            <w:pPr>
              <w:spacing w:after="0"/>
              <w:rPr>
                <w:sz w:val="1"/>
                <w:szCs w:val="1"/>
                <w:color w:val="auto"/>
              </w:rPr>
            </w:pPr>
          </w:p>
        </w:tc>
      </w:tr>
      <w:tr>
        <w:trPr>
          <w:trHeight w:val="22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211,182</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219,887</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635,459</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(852,689)</w:t>
            </w:r>
          </w:p>
        </w:tc>
        <w:tc>
          <w:tcPr>
            <w:tcW w:w="0" w:type="dxa"/>
            <w:vAlign w:val="bottom"/>
          </w:tcPr>
          <w:p>
            <w:pPr>
              <w:spacing w:after="0"/>
              <w:rPr>
                <w:sz w:val="1"/>
                <w:szCs w:val="1"/>
                <w:color w:val="auto"/>
              </w:rPr>
            </w:pPr>
          </w:p>
        </w:tc>
      </w:tr>
      <w:tr>
        <w:trPr>
          <w:trHeight w:val="24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(900,197)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Company's equity in net loss(2)</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(130,713)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(74,331)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(205,044)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1020" w:hanging="383"/>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its joint venture partner's 40% interest in the PPR Portfolio as described above.</w:t>
      </w:r>
    </w:p>
    <w:p>
      <w:pPr>
        <w:spacing w:after="0" w:line="154" w:lineRule="exact"/>
        <w:rPr>
          <w:rFonts w:ascii="Times New Roman" w:cs="Times New Roman" w:eastAsia="Times New Roman" w:hAnsi="Times New Roman"/>
          <w:sz w:val="14"/>
          <w:szCs w:val="14"/>
          <w:color w:val="auto"/>
        </w:rPr>
      </w:pPr>
    </w:p>
    <w:p>
      <w:pPr>
        <w:ind w:left="940" w:hanging="303"/>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impairment losses at the Company's share of $178,328 for the nine months ended September 30, 2024.</w:t>
      </w:r>
    </w:p>
    <w:p>
      <w:pPr>
        <w:sectPr>
          <w:pgSz w:w="11900" w:h="16838" w:orient="portrait"/>
          <w:cols w:equalWidth="0" w:num="1">
            <w:col w:w="10140"/>
          </w:cols>
          <w:pgMar w:left="320" w:top="264"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40"/>
          </w:cols>
          <w:pgMar w:left="320" w:top="264" w:right="1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50"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The Company uses interest rate cap agreements to manage the interest rate risk on certain floating rate debt. The Company recorded other comprehensive income related to the marking-to-market of derivative instruments of $2 and $(147) for the three months ended September 30, 2025 and 2024, respectively, and $23 and $773 for the nine months ended September 30, 2025 and 2024, respectively. The amounts in other comprehensive income represent the Company's pro rata share of hedged derivative instruments from certain unconsolidated joint ventures. The following derivative was outstanding at September 30, 2025:</w:t>
      </w:r>
    </w:p>
    <w:p>
      <w:pPr>
        <w:spacing w:after="0" w:line="12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0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5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SOFR Rate</w:t>
            </w:r>
          </w:p>
        </w:tc>
        <w:tc>
          <w:tcPr>
            <w:tcW w:w="1180" w:type="dxa"/>
            <w:vAlign w:val="bottom"/>
            <w:gridSpan w:val="3"/>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0" w:type="dxa"/>
            <w:vAlign w:val="bottom"/>
          </w:tcPr>
          <w:p>
            <w:pPr>
              <w:jc w:val="center"/>
              <w:ind w:right="188"/>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1"/>
        </w:trPr>
        <w:tc>
          <w:tcPr>
            <w:tcW w:w="260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Crabtree Mall</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159,100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8/7/2027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The above derivative was valued with an aggregate fair value (Level 2 measurement) and was included in deferred charges and other assets, net. The fair value of the Company's interest rate derivative was determined using discounted cash flow analysis on the expected cash flows of the derivative. This analysis reflects the contractual terms of the derivative,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w:t>
      </w:r>
    </w:p>
    <w:p>
      <w:pPr>
        <w:spacing w:after="0" w:line="119"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 falls within Level 2 of the fair value hierarchy, the credit valuation adjustments associated with its derivative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 As a result, the Company determined that its interest rate cap valuation in its entirety is classified in Level 2 of the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6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1,713,296</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6,608,217</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617,007</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170,570</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335,890</w:t>
            </w:r>
          </w:p>
        </w:tc>
      </w:tr>
      <w:tr>
        <w:trPr>
          <w:trHeight w:val="217"/>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9,190,781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9,444,980</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(2,347,867)</w:t>
            </w:r>
          </w:p>
        </w:tc>
      </w:tr>
      <w:tr>
        <w:trPr>
          <w:trHeight w:val="217"/>
        </w:trPr>
        <w:tc>
          <w:tcPr>
            <w:tcW w:w="66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6,730,869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7,097,113</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1120" w:right="520" w:hanging="483"/>
        <w:spacing w:after="0" w:line="287"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and furnishings and accumulated depreciation include the cost and accumulated amortization of right-of-use (" ROU") assets in connection with finance leases at December 31, 2024 (See Note 8—Leases). The Company's finance leases matured during the three months ended March 31, 2025.</w:t>
      </w:r>
    </w:p>
    <w:p>
      <w:pPr>
        <w:spacing w:after="0" w:line="93"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Depreciation expense was $75,253 and $65,352 for the three months ended September 30, 2025 and 2024, respectively, and $221,949 and $197,530 for the nine months ended September 30, 2025 and 2024, respectively.</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(Loss) gain on sale or write-down of assets, net for the three and nine months ended September 30, 2025 and 2024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214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0"/>
        </w:trPr>
        <w:tc>
          <w:tcPr>
            <w:tcW w:w="5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property sales, net(1)</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379,918</w:t>
            </w:r>
          </w:p>
        </w:tc>
      </w:tr>
      <w:tr>
        <w:trPr>
          <w:trHeight w:val="2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write-down of assets(2)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(108,123)</w:t>
            </w: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land sales, net(3)</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17"/>
        </w:trPr>
        <w:tc>
          <w:tcPr>
            <w:tcW w:w="53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(72,634)</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(97,106)</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272,306</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1120" w:right="120" w:hanging="483"/>
        <w:spacing w:after="0" w:line="231" w:lineRule="auto"/>
        <w:tabs>
          <w:tab w:leader="none" w:pos="95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gain of $334,285 for the nine months ended September 30, 2024, as a result of the Company no longer recognizing its investment in Chandler Fashion Center as a financing arrangement. Effective June 13, 2024, the Company accounts for its investment under the equity method of accounting (See Note 12—Financing Arrangement and Note 16— Dispositions). For the three months ended September 30, 2025, includes gains related to the sale of Lakewood Center and Valley Mall. For the three months ended September 30, 2024, includes a gain related to the sale of the Company's 50% interest in Biltmore Fashion Park. For the nine months ended September 30, 2025, includes gains related to the sale of Lakewood Center, Valley Mall, 1010-1016 Market Street parcels and a former department store parcel located in Petaluma, California offset in part by losses related to the sale of Wilton Mall and the Company's partnership's interest in Paradise Valley Mall (See Note 4—Investments in Unconsolidated Joint Ventures and Note 16—Dispositions).</w:t>
      </w:r>
    </w:p>
    <w:p>
      <w:pPr>
        <w:spacing w:after="0" w:line="215" w:lineRule="exact"/>
        <w:rPr>
          <w:rFonts w:ascii="Times New Roman" w:cs="Times New Roman" w:eastAsia="Times New Roman" w:hAnsi="Times New Roman"/>
          <w:sz w:val="14"/>
          <w:szCs w:val="14"/>
          <w:color w:val="auto"/>
        </w:rPr>
      </w:pPr>
    </w:p>
    <w:p>
      <w:pPr>
        <w:ind w:left="1120" w:right="240" w:hanging="483"/>
        <w:spacing w:after="0" w:line="234" w:lineRule="auto"/>
        <w:tabs>
          <w:tab w:leader="none" w:pos="95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losses of $95,385 and $121,670 for the three and nine months ended September 30, 2025, respectively, due to the reduction of the estimated holding periods of certain properties, including South Park Mall, Valley Mall and Santa Monica Place. Includes impairment losses of $59,340 and $108,016 for the three and nine months ended September 30, 2024, respectively, due to the reduction of the estimated holding periods of certain properties, including The Oaks, Wilton Mall and Santa Monica Place (See Note 10—Mortgage Notes Payable).</w:t>
      </w:r>
    </w:p>
    <w:p>
      <w:pPr>
        <w:spacing w:after="0" w:line="109" w:lineRule="exact"/>
        <w:rPr>
          <w:rFonts w:ascii="Times New Roman" w:cs="Times New Roman" w:eastAsia="Times New Roman" w:hAnsi="Times New Roman"/>
          <w:sz w:val="14"/>
          <w:szCs w:val="14"/>
          <w:color w:val="auto"/>
        </w:rPr>
      </w:pPr>
    </w:p>
    <w:p>
      <w:pPr>
        <w:ind w:left="940" w:hanging="303"/>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16—Dispositions.</w:t>
      </w:r>
    </w:p>
    <w:p>
      <w:pPr>
        <w:spacing w:after="0" w:line="200" w:lineRule="exact"/>
        <w:rPr>
          <w:sz w:val="20"/>
          <w:szCs w:val="20"/>
          <w:color w:val="auto"/>
        </w:rPr>
      </w:pPr>
    </w:p>
    <w:p>
      <w:pPr>
        <w:spacing w:after="0" w:line="32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three and nine months ended September 30, 2025 and 2024, as described above:</w:t>
      </w:r>
    </w:p>
    <w:p>
      <w:pPr>
        <w:spacing w:after="0" w:line="310"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160" w:type="dxa"/>
            <w:vAlign w:val="bottom"/>
          </w:tcPr>
          <w:p>
            <w:pPr>
              <w:spacing w:after="0"/>
              <w:rPr>
                <w:sz w:val="18"/>
                <w:szCs w:val="18"/>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Significant Other</w:t>
            </w:r>
          </w:p>
        </w:tc>
        <w:tc>
          <w:tcPr>
            <w:tcW w:w="280" w:type="dxa"/>
            <w:vAlign w:val="bottom"/>
          </w:tcPr>
          <w:p>
            <w:pPr>
              <w:spacing w:after="0"/>
              <w:rPr>
                <w:sz w:val="18"/>
                <w:szCs w:val="18"/>
                <w:color w:val="auto"/>
              </w:rPr>
            </w:pPr>
          </w:p>
        </w:tc>
        <w:tc>
          <w:tcPr>
            <w:tcW w:w="144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Significant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8"/>
                <w:szCs w:val="18"/>
                <w:b w:val="1"/>
                <w:bCs w:val="1"/>
                <w:color w:val="auto"/>
                <w:w w:val="97"/>
              </w:rPr>
              <w:t>Active Markets for</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Total Fair Value</w:t>
            </w:r>
          </w:p>
        </w:tc>
        <w:tc>
          <w:tcPr>
            <w:tcW w:w="120" w:type="dxa"/>
            <w:vAlign w:val="bottom"/>
          </w:tcPr>
          <w:p>
            <w:pPr>
              <w:spacing w:after="0"/>
              <w:rPr>
                <w:sz w:val="22"/>
                <w:szCs w:val="22"/>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Identical Assets</w:t>
            </w:r>
          </w:p>
        </w:tc>
        <w:tc>
          <w:tcPr>
            <w:tcW w:w="1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Unobservable Inputs</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12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144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4"/>
              </w:rPr>
              <w:t>(Level 3)</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434"/>
        <w:spacing w:after="0" w:line="252" w:lineRule="auto"/>
        <w:rPr>
          <w:sz w:val="20"/>
          <w:szCs w:val="20"/>
          <w:color w:val="auto"/>
        </w:rPr>
      </w:pPr>
      <w:r>
        <w:rPr>
          <w:rFonts w:ascii="Times New Roman" w:cs="Times New Roman" w:eastAsia="Times New Roman" w:hAnsi="Times New Roman"/>
          <w:sz w:val="18"/>
          <w:szCs w:val="18"/>
          <w:color w:val="auto"/>
        </w:rPr>
        <w:t>The fair value (Level 2 measurement) relating to a portion of the 2025 and 2024 impairments was based on sales contracts and is classified within Level 2 of the hierarchy. The fair value (Level 3 measurement) related to the remaining 2025 and 2024 impairments was based upon an income approach, using an estimated terminal capitalization rate in the range of 7.3% to 9.0%, a discount rate of 9.0% to 11.0% and market rents per square foot of $15 to $200. The fair value is sensitive to these significant unobservable inputs.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37" w:lineRule="exact"/>
        <w:rPr>
          <w:sz w:val="20"/>
          <w:szCs w:val="20"/>
          <w:color w:val="auto"/>
        </w:rPr>
      </w:pPr>
    </w:p>
    <w:p>
      <w:pPr>
        <w:ind w:right="180" w:firstLine="434"/>
        <w:spacing w:after="0" w:line="252"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$8,280 and $7,146 at September 30, 2025 and December 31, 2024, respectively. Also included in tenant and other receivables, net are accrued percentage rents of $3,291 and $17,214 at September 30, 2025 and December 31, 2024, respectively, and a deferred rent receivable due to straight-line rent adjustments of $92,992 and $94,445 at September 30, 2025 and December 31, 2024,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37"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w:t>
      </w:r>
    </w:p>
    <w:p>
      <w:pPr>
        <w:sectPr>
          <w:pgSz w:w="11900" w:h="16838" w:orient="portrait"/>
          <w:cols w:equalWidth="0" w:num="1">
            <w:col w:w="11320"/>
          </w:cols>
          <w:pgMar w:left="320" w:top="26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262" w:right="2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three and nine months ended September 30, 2025 and 2024:</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44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6"/>
                <w:szCs w:val="16"/>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revenue—fixed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152,357</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536,349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449,948</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revenue—variable payments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172,566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147,685</w:t>
            </w: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(3,311)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(4,572)</w:t>
            </w:r>
          </w:p>
        </w:tc>
      </w:tr>
      <w:tr>
        <w:trPr>
          <w:trHeight w:val="217"/>
        </w:trPr>
        <w:tc>
          <w:tcPr>
            <w:tcW w:w="4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203,448</w:t>
            </w:r>
          </w:p>
        </w:tc>
        <w:tc>
          <w:tcPr>
            <w:tcW w:w="14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705,604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593,061</w:t>
            </w:r>
          </w:p>
        </w:tc>
      </w:tr>
      <w:tr>
        <w:trPr>
          <w:trHeight w:val="20"/>
        </w:trPr>
        <w:tc>
          <w:tcPr>
            <w:tcW w:w="44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808"/>
        </w:trPr>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5"/>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ending September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591,552</w:t>
            </w:r>
          </w:p>
        </w:tc>
        <w:tc>
          <w:tcPr>
            <w:tcW w:w="160" w:type="dxa"/>
            <w:vAlign w:val="bottom"/>
          </w:tcPr>
          <w:p>
            <w:pPr>
              <w:spacing w:after="0"/>
              <w:rPr>
                <w:sz w:val="18"/>
                <w:szCs w:val="18"/>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512,374</w:t>
            </w:r>
          </w:p>
        </w:tc>
        <w:tc>
          <w:tcPr>
            <w:tcW w:w="160" w:type="dxa"/>
            <w:vAlign w:val="bottom"/>
          </w:tcPr>
          <w:p>
            <w:pPr>
              <w:spacing w:after="0"/>
              <w:rPr>
                <w:sz w:val="19"/>
                <w:szCs w:val="19"/>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435,767</w:t>
            </w:r>
          </w:p>
        </w:tc>
        <w:tc>
          <w:tcPr>
            <w:tcW w:w="160" w:type="dxa"/>
            <w:vAlign w:val="bottom"/>
          </w:tcPr>
          <w:p>
            <w:pPr>
              <w:spacing w:after="0"/>
              <w:rPr>
                <w:sz w:val="19"/>
                <w:szCs w:val="19"/>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359,776</w:t>
            </w:r>
          </w:p>
        </w:tc>
        <w:tc>
          <w:tcPr>
            <w:tcW w:w="160" w:type="dxa"/>
            <w:vAlign w:val="bottom"/>
          </w:tcPr>
          <w:p>
            <w:pPr>
              <w:spacing w:after="0"/>
              <w:rPr>
                <w:sz w:val="19"/>
                <w:szCs w:val="19"/>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278,437</w:t>
            </w:r>
          </w:p>
        </w:tc>
        <w:tc>
          <w:tcPr>
            <w:tcW w:w="160" w:type="dxa"/>
            <w:vAlign w:val="bottom"/>
          </w:tcPr>
          <w:p>
            <w:pPr>
              <w:spacing w:after="0"/>
              <w:rPr>
                <w:sz w:val="19"/>
                <w:szCs w:val="19"/>
                <w:color w:val="auto"/>
              </w:rPr>
            </w:pPr>
          </w:p>
        </w:tc>
      </w:tr>
      <w:tr>
        <w:trPr>
          <w:trHeight w:val="224"/>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1,007,828</w:t>
            </w:r>
          </w:p>
        </w:tc>
        <w:tc>
          <w:tcPr>
            <w:tcW w:w="160" w:type="dxa"/>
            <w:vAlign w:val="bottom"/>
          </w:tcPr>
          <w:p>
            <w:pPr>
              <w:spacing w:after="0"/>
              <w:rPr>
                <w:sz w:val="19"/>
                <w:szCs w:val="19"/>
                <w:color w:val="auto"/>
              </w:rPr>
            </w:pPr>
          </w:p>
        </w:tc>
      </w:tr>
      <w:tr>
        <w:trPr>
          <w:trHeight w:val="242"/>
        </w:trPr>
        <w:tc>
          <w:tcPr>
            <w:tcW w:w="4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3,185,734</w:t>
            </w:r>
          </w:p>
        </w:tc>
        <w:tc>
          <w:tcPr>
            <w:tcW w:w="160" w:type="dxa"/>
            <w:vAlign w:val="bottom"/>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5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and nine months ended September 30, 2025 and 2024:</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98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4"/>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4"/>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2"/>
        </w:trPr>
        <w:tc>
          <w:tcPr>
            <w:tcW w:w="4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2"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4"/>
        </w:trPr>
        <w:tc>
          <w:tcPr>
            <w:tcW w:w="20" w:type="dxa"/>
            <w:vAlign w:val="bottom"/>
          </w:tcPr>
          <w:p>
            <w:pPr>
              <w:spacing w:after="0"/>
              <w:rPr>
                <w:sz w:val="24"/>
                <w:szCs w:val="24"/>
                <w:color w:val="auto"/>
              </w:rPr>
            </w:pPr>
          </w:p>
        </w:tc>
        <w:tc>
          <w:tcPr>
            <w:tcW w:w="688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3"/>
          </w:tcPr>
          <w:p>
            <w:pPr>
              <w:jc w:val="center"/>
              <w:ind w:right="105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96"/>
              <w:spacing w:after="0" w:line="12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3"/>
          </w:tcPr>
          <w:p>
            <w:pPr>
              <w:jc w:val="center"/>
              <w:ind w:right="107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3,224</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12,123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12,224</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9,106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6,908</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76,408</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160" w:type="dxa"/>
            <w:vAlign w:val="bottom"/>
          </w:tcPr>
          <w:p>
            <w:pPr>
              <w:spacing w:after="0"/>
              <w:rPr>
                <w:sz w:val="18"/>
                <w:szCs w:val="18"/>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119,993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(50,261)</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69,732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years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6.9 %</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3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88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35"/>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w:t>
            </w:r>
          </w:p>
        </w:tc>
        <w:tc>
          <w:tcPr>
            <w:tcW w:w="1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In-place lease values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Above-market leases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457,570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  Accumulated amortization includes $58,827 and $33,883 relating to in-place lease values, leasing commissions and legal costs at September 30, 2025 and December 31, 2024,</w:t>
      </w:r>
    </w:p>
    <w:p>
      <w:pPr>
        <w:spacing w:after="0" w:line="22" w:lineRule="exact"/>
        <w:rPr>
          <w:sz w:val="20"/>
          <w:szCs w:val="20"/>
          <w:color w:val="auto"/>
        </w:rPr>
      </w:pPr>
    </w:p>
    <w:p>
      <w:pPr>
        <w:ind w:left="960"/>
        <w:spacing w:after="0" w:line="277" w:lineRule="auto"/>
        <w:rPr>
          <w:sz w:val="20"/>
          <w:szCs w:val="20"/>
          <w:color w:val="auto"/>
        </w:rPr>
      </w:pPr>
      <w:r>
        <w:rPr>
          <w:rFonts w:ascii="Times New Roman" w:cs="Times New Roman" w:eastAsia="Times New Roman" w:hAnsi="Times New Roman"/>
          <w:sz w:val="14"/>
          <w:szCs w:val="14"/>
          <w:color w:val="auto"/>
        </w:rPr>
        <w:t xml:space="preserve">respectively. Amortization expense of in-place lease values, leasing commissions and legal costs was $14,244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$6,290 for the three months ended September 30, 2025 and 2024, respectively, and $45,691 and $10,450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26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gridSpan w:val="3"/>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60" w:type="dxa"/>
            <w:vAlign w:val="bottom"/>
            <w:gridSpan w:val="5"/>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gridSpan w:val="3"/>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77,638</w:t>
            </w:r>
          </w:p>
        </w:tc>
        <w:tc>
          <w:tcPr>
            <w:tcW w:w="480" w:type="dxa"/>
            <w:vAlign w:val="bottom"/>
            <w:gridSpan w:val="3"/>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gridSpan w:val="3"/>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108,645</w:t>
            </w:r>
          </w:p>
        </w:tc>
        <w:tc>
          <w:tcPr>
            <w:tcW w:w="480" w:type="dxa"/>
            <w:vAlign w:val="bottom"/>
            <w:gridSpan w:val="3"/>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67,449</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color w:val="auto"/>
              </w:rPr>
              <w:t>(1)  Below-market leases are included in other accrued liabilities.</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1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Mortgage Notes Payable:</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Mortgage notes payable at September 30, 2025 and December 31, 2024 consist of the following:</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120" w:type="dxa"/>
            <w:vAlign w:val="bottom"/>
          </w:tcPr>
          <w:p>
            <w:pPr>
              <w:spacing w:after="0"/>
              <w:rPr>
                <w:sz w:val="2"/>
                <w:szCs w:val="2"/>
                <w:color w:val="auto"/>
              </w:rPr>
            </w:pPr>
          </w:p>
        </w:tc>
        <w:tc>
          <w:tcPr>
            <w:tcW w:w="1100" w:type="dxa"/>
            <w:vAlign w:val="bottom"/>
            <w:gridSpan w:val="5"/>
            <w:vMerge w:val="restart"/>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84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Rate(2)</w:t>
            </w:r>
          </w:p>
        </w:tc>
        <w:tc>
          <w:tcPr>
            <w:tcW w:w="120" w:type="dxa"/>
            <w:vAlign w:val="bottom"/>
          </w:tcPr>
          <w:p>
            <w:pPr>
              <w:spacing w:after="0"/>
              <w:rPr>
                <w:sz w:val="16"/>
                <w:szCs w:val="16"/>
                <w:color w:val="auto"/>
              </w:rPr>
            </w:pP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Arrowhead Towne Center(5)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351,905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Crabtree Mall(6)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Danbury Fair Mall(7)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152,149</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299,465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1,145</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Freehold Raceway Mall</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399,210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1,300</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 Acres Mall</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361,948</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1,819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537,471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2,436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Lakewood Center(9)</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 Cerritos Center(10)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472,745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2,506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 Center(11)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522,945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2,349</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Monica Place(12)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298,791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1,418</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Plains Mall(13)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193,870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 Valley, Mall of(14)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83,928</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219,959</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1,256</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 Square(15)</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1,580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5,076,908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4,894,525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both"/>
        <w:ind w:left="800" w:hanging="400"/>
        <w:spacing w:after="0" w:line="261"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as of September 30, 2025 and December 31, 2024 consisted of the following:</w:t>
      </w:r>
    </w:p>
    <w:p>
      <w:pPr>
        <w:sectPr>
          <w:pgSz w:w="11900" w:h="16838" w:orient="portrait"/>
          <w:cols w:equalWidth="0" w:num="1">
            <w:col w:w="11140"/>
          </w:cols>
          <w:pgMar w:left="320" w:top="26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262"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 (Continued)</w:t>
      </w:r>
    </w:p>
    <w:p>
      <w:pPr>
        <w:spacing w:after="0" w:line="200" w:lineRule="exact"/>
        <w:rPr>
          <w:sz w:val="20"/>
          <w:szCs w:val="20"/>
          <w:color w:val="auto"/>
        </w:rPr>
      </w:pPr>
    </w:p>
    <w:p>
      <w:pPr>
        <w:spacing w:after="0" w:line="32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Arrowhead Towne Center</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27,552</w:t>
            </w:r>
          </w:p>
        </w:tc>
        <w:tc>
          <w:tcPr>
            <w:tcW w:w="0" w:type="dxa"/>
            <w:vAlign w:val="bottom"/>
          </w:tcPr>
          <w:p>
            <w:pPr>
              <w:spacing w:after="0"/>
              <w:rPr>
                <w:sz w:val="1"/>
                <w:szCs w:val="1"/>
                <w:color w:val="auto"/>
              </w:rPr>
            </w:pPr>
          </w:p>
        </w:tc>
      </w:tr>
      <w:tr>
        <w:trPr>
          <w:trHeight w:val="19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Lakewood Center(9)</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19,723</w:t>
            </w:r>
          </w:p>
        </w:tc>
        <w:tc>
          <w:tcPr>
            <w:tcW w:w="0" w:type="dxa"/>
            <w:vAlign w:val="bottom"/>
          </w:tcPr>
          <w:p>
            <w:pPr>
              <w:spacing w:after="0"/>
              <w:rPr>
                <w:sz w:val="1"/>
                <w:szCs w:val="1"/>
                <w:color w:val="auto"/>
              </w:rPr>
            </w:pPr>
          </w:p>
        </w:tc>
      </w:tr>
      <w:tr>
        <w:trPr>
          <w:trHeight w:val="20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 Cerritos Center</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191"/>
        </w:trPr>
        <w:tc>
          <w:tcPr>
            <w:tcW w:w="6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South Plains Mall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0" w:type="dxa"/>
            <w:vAlign w:val="bottom"/>
          </w:tcPr>
          <w:p>
            <w:pPr>
              <w:spacing w:after="0"/>
              <w:rPr>
                <w:sz w:val="1"/>
                <w:szCs w:val="1"/>
                <w:color w:val="auto"/>
              </w:rPr>
            </w:pPr>
          </w:p>
        </w:tc>
      </w:tr>
      <w:tr>
        <w:trPr>
          <w:trHeight w:val="222"/>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800" w:right="620" w:hanging="78"/>
        <w:spacing w:after="0" w:line="287" w:lineRule="auto"/>
        <w:rPr>
          <w:sz w:val="20"/>
          <w:szCs w:val="20"/>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$21,843 and $22,042 at September 30, 2025 and December 31, 2024, respectively.</w:t>
      </w:r>
    </w:p>
    <w:p>
      <w:pPr>
        <w:spacing w:after="0" w:line="102" w:lineRule="exact"/>
        <w:rPr>
          <w:sz w:val="20"/>
          <w:szCs w:val="20"/>
          <w:color w:val="auto"/>
        </w:rPr>
      </w:pPr>
    </w:p>
    <w:p>
      <w:pPr>
        <w:ind w:left="780" w:hanging="380"/>
        <w:spacing w:after="0"/>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discounts and deferred finance costs.</w:t>
      </w:r>
    </w:p>
    <w:p>
      <w:pPr>
        <w:spacing w:after="0" w:line="141" w:lineRule="exact"/>
        <w:rPr>
          <w:rFonts w:ascii="Times New Roman" w:cs="Times New Roman" w:eastAsia="Times New Roman" w:hAnsi="Times New Roman"/>
          <w:sz w:val="14"/>
          <w:szCs w:val="14"/>
          <w:color w:val="auto"/>
        </w:rPr>
      </w:pPr>
    </w:p>
    <w:p>
      <w:pPr>
        <w:ind w:left="780" w:hanging="380"/>
        <w:spacing w:after="0"/>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41" w:lineRule="exact"/>
        <w:rPr>
          <w:rFonts w:ascii="Times New Roman" w:cs="Times New Roman" w:eastAsia="Times New Roman" w:hAnsi="Times New Roman"/>
          <w:sz w:val="14"/>
          <w:szCs w:val="14"/>
          <w:color w:val="auto"/>
        </w:rPr>
      </w:pPr>
    </w:p>
    <w:p>
      <w:pPr>
        <w:ind w:left="800" w:right="200" w:hanging="400"/>
        <w:spacing w:after="0" w:line="287" w:lineRule="auto"/>
        <w:tabs>
          <w:tab w:leader="none" w:pos="7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1" w:lineRule="exact"/>
        <w:rPr>
          <w:rFonts w:ascii="Times New Roman" w:cs="Times New Roman" w:eastAsia="Times New Roman" w:hAnsi="Times New Roman"/>
          <w:sz w:val="14"/>
          <w:szCs w:val="14"/>
          <w:color w:val="auto"/>
        </w:rPr>
      </w:pPr>
    </w:p>
    <w:p>
      <w:pPr>
        <w:ind w:left="800" w:right="160" w:hanging="400"/>
        <w:spacing w:after="0" w:line="268" w:lineRule="auto"/>
        <w:tabs>
          <w:tab w:leader="none" w:pos="7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Arrowhead Towne Center that it did not previously own and has consolidated its 100% interest (See Note 15—Acquisitions). In connection with the acquisition, the Company assumed the partner's share of the loan on the property.</w:t>
      </w:r>
    </w:p>
    <w:p>
      <w:pPr>
        <w:spacing w:after="0" w:line="114" w:lineRule="exact"/>
        <w:rPr>
          <w:rFonts w:ascii="Times New Roman" w:cs="Times New Roman" w:eastAsia="Times New Roman" w:hAnsi="Times New Roman"/>
          <w:sz w:val="14"/>
          <w:szCs w:val="14"/>
          <w:color w:val="auto"/>
        </w:rPr>
      </w:pPr>
    </w:p>
    <w:p>
      <w:pPr>
        <w:ind w:left="800" w:right="120" w:hanging="400"/>
        <w:spacing w:after="0" w:line="259" w:lineRule="auto"/>
        <w:tabs>
          <w:tab w:leader="none" w:pos="7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7, 2025, the Company closed on an initial $159,100 two-year term loan with two one-year extension options on Crabtree Mall. The term loan also allows for additional requested advances of up to $51,180 based on defined conditions for capital expenditures and leasing costs for a maximum total term loan of $210,280.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15—Acquisitions).</w:t>
      </w:r>
    </w:p>
    <w:p>
      <w:pPr>
        <w:spacing w:after="0" w:line="120" w:lineRule="exact"/>
        <w:rPr>
          <w:rFonts w:ascii="Times New Roman" w:cs="Times New Roman" w:eastAsia="Times New Roman" w:hAnsi="Times New Roman"/>
          <w:sz w:val="14"/>
          <w:szCs w:val="14"/>
          <w:color w:val="auto"/>
        </w:rPr>
      </w:pPr>
    </w:p>
    <w:p>
      <w:pPr>
        <w:ind w:left="800" w:right="220" w:hanging="400"/>
        <w:spacing w:after="0" w:line="287" w:lineRule="auto"/>
        <w:tabs>
          <w:tab w:leader="none" w:pos="7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loan with a $155,000 loan that bears interest at a fixed rate of 6.39%, is interest only during the majority of the loan term and matures on February 6, 2034.</w:t>
      </w:r>
    </w:p>
    <w:p>
      <w:pPr>
        <w:spacing w:after="0" w:line="88" w:lineRule="exact"/>
        <w:rPr>
          <w:rFonts w:ascii="Times New Roman" w:cs="Times New Roman" w:eastAsia="Times New Roman" w:hAnsi="Times New Roman"/>
          <w:sz w:val="14"/>
          <w:szCs w:val="14"/>
          <w:color w:val="auto"/>
        </w:rPr>
      </w:pPr>
    </w:p>
    <w:p>
      <w:pPr>
        <w:ind w:left="780" w:hanging="380"/>
        <w:spacing w:after="0"/>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2024, the Company closed on a three-year extension of the loan to October 6, 2026. The interest rate remained unchanged at 5.90%.</w:t>
      </w:r>
    </w:p>
    <w:p>
      <w:pPr>
        <w:spacing w:after="0" w:line="141" w:lineRule="exact"/>
        <w:rPr>
          <w:rFonts w:ascii="Times New Roman" w:cs="Times New Roman" w:eastAsia="Times New Roman" w:hAnsi="Times New Roman"/>
          <w:sz w:val="14"/>
          <w:szCs w:val="14"/>
          <w:color w:val="auto"/>
        </w:rPr>
      </w:pPr>
    </w:p>
    <w:p>
      <w:pPr>
        <w:ind w:left="800" w:right="120" w:hanging="400"/>
        <w:spacing w:after="0" w:line="271" w:lineRule="auto"/>
        <w:tabs>
          <w:tab w:leader="none" w:pos="7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Lakewood Center that it did not previously own and has consolidated its 100% interest (See Note 15—Acquisitions). In connection with the acquisition, the Company assumed the partner's share of the loan on the property. On August 18, 2025, the Company sold Lakewood Center and the buyer assumed the mortgage loan (See Note 16—Dispositions).</w:t>
      </w:r>
    </w:p>
    <w:p>
      <w:pPr>
        <w:spacing w:after="0" w:line="112" w:lineRule="exact"/>
        <w:rPr>
          <w:rFonts w:ascii="Times New Roman" w:cs="Times New Roman" w:eastAsia="Times New Roman" w:hAnsi="Times New Roman"/>
          <w:sz w:val="14"/>
          <w:szCs w:val="14"/>
          <w:color w:val="auto"/>
        </w:rPr>
      </w:pPr>
    </w:p>
    <w:p>
      <w:pPr>
        <w:ind w:left="800" w:right="100" w:hanging="400"/>
        <w:spacing w:after="0" w:line="268" w:lineRule="auto"/>
        <w:tabs>
          <w:tab w:leader="none" w:pos="7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Los Cerritos that it did not previously own and has consolidated its 100% interest (See Note 15— Acquisitions). In connection with the acquisition, the Company assumed the partner's share of the loan on the property.</w:t>
      </w:r>
    </w:p>
    <w:p>
      <w:pPr>
        <w:spacing w:after="0" w:line="114" w:lineRule="exact"/>
        <w:rPr>
          <w:rFonts w:ascii="Times New Roman" w:cs="Times New Roman" w:eastAsia="Times New Roman" w:hAnsi="Times New Roman"/>
          <w:sz w:val="14"/>
          <w:szCs w:val="14"/>
          <w:color w:val="auto"/>
        </w:rPr>
      </w:pPr>
    </w:p>
    <w:p>
      <w:pPr>
        <w:ind w:left="800" w:right="140" w:hanging="400"/>
        <w:spacing w:after="0" w:line="287" w:lineRule="auto"/>
        <w:tabs>
          <w:tab w:leader="none" w:pos="79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closed a $525,000, five-year refinance of the loan on Queens Center. The new loan bears interest at a fixed rate of 5.37%, is interest only during the entire loan term and matures November 6, 2029.</w:t>
      </w:r>
    </w:p>
    <w:p>
      <w:pPr>
        <w:spacing w:after="0" w:line="88" w:lineRule="exact"/>
        <w:rPr>
          <w:rFonts w:ascii="Times New Roman" w:cs="Times New Roman" w:eastAsia="Times New Roman" w:hAnsi="Times New Roman"/>
          <w:sz w:val="14"/>
          <w:szCs w:val="14"/>
          <w:color w:val="auto"/>
        </w:rPr>
      </w:pPr>
    </w:p>
    <w:p>
      <w:pPr>
        <w:ind w:left="800" w:hanging="400"/>
        <w:spacing w:after="0" w:line="258" w:lineRule="auto"/>
        <w:tabs>
          <w:tab w:leader="none" w:pos="7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9, 2024, the loan is in default and accrues incremental default interest of 4%. On March 18, 2025, a court appointed receiver assumed operational control and managerial responsibility for Santa Monica Place. The Company anticipates the disposition of the asset, which is under the control of the receiver, will be executed through foreclosure, deed-in-lieu of foreclosure, or by some other means, and is expected to be completed in the near future. Although the Company is no longer funding any cash shortfall, it will continue to record the operations of the property until the title for the Center is transferred and its obligation for the loan is discharged. Once title to the property is transferred, the Company will remove the net assets and liabilities from the Company's consolidated balance sheets. The loan is non-recourse to the Company.</w:t>
      </w:r>
    </w:p>
    <w:p>
      <w:pPr>
        <w:spacing w:after="0" w:line="121" w:lineRule="exact"/>
        <w:rPr>
          <w:rFonts w:ascii="Times New Roman" w:cs="Times New Roman" w:eastAsia="Times New Roman" w:hAnsi="Times New Roman"/>
          <w:sz w:val="14"/>
          <w:szCs w:val="14"/>
          <w:color w:val="auto"/>
        </w:rPr>
      </w:pPr>
    </w:p>
    <w:p>
      <w:pPr>
        <w:ind w:left="800" w:right="60" w:hanging="400"/>
        <w:spacing w:after="0" w:line="261" w:lineRule="auto"/>
        <w:tabs>
          <w:tab w:leader="none" w:pos="7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South Plains Mall that it did not previously own and has consolidated its 100% interest (See Note 15 —Acquisitions). In connection with the acquisition, the Company assumed the partner's share of the loan on the property. The Company expects that this loan will be in technical default as of November 6, 2025, as the Company continues negotiations with the lender on the terms of the loan.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301" w:lineRule="exact"/>
        <w:rPr>
          <w:rFonts w:ascii="Times New Roman" w:cs="Times New Roman" w:eastAsia="Times New Roman" w:hAnsi="Times New Roman"/>
          <w:sz w:val="18"/>
          <w:szCs w:val="18"/>
          <w:b w:val="1"/>
          <w:bCs w:val="1"/>
          <w:color w:val="auto"/>
        </w:rPr>
      </w:pPr>
    </w:p>
    <w:p>
      <w:pPr>
        <w:ind w:left="800" w:right="100" w:hanging="400"/>
        <w:spacing w:after="0" w:line="287" w:lineRule="auto"/>
        <w:tabs>
          <w:tab w:leader="none" w:pos="79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22, 2024, the Company replaced the existing loan with an $85,000 loan that bears interest at a fixed rate of 6.72%, is interest only during the entire loan term and matures on September 6, 2034.</w:t>
      </w:r>
    </w:p>
    <w:p>
      <w:pPr>
        <w:spacing w:after="0" w:line="101" w:lineRule="exact"/>
        <w:rPr>
          <w:rFonts w:ascii="Times New Roman" w:cs="Times New Roman" w:eastAsia="Times New Roman" w:hAnsi="Times New Roman"/>
          <w:sz w:val="14"/>
          <w:szCs w:val="14"/>
          <w:color w:val="auto"/>
        </w:rPr>
      </w:pPr>
    </w:p>
    <w:p>
      <w:pPr>
        <w:ind w:left="800" w:hanging="400"/>
        <w:spacing w:after="0" w:line="268" w:lineRule="auto"/>
        <w:tabs>
          <w:tab w:leader="none" w:pos="79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27, 2025, the Company closed a $340,000, ten-year loan on Washington Square, which matures on April 6, 2035. The loan bears interest at a fixed rate of 5.58% and is interest only during the entire loan term.</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are non-recourse to the Company.</w:t>
      </w:r>
    </w:p>
    <w:p>
      <w:pPr>
        <w:spacing w:after="0" w:line="148" w:lineRule="exact"/>
        <w:rPr>
          <w:sz w:val="20"/>
          <w:szCs w:val="20"/>
          <w:color w:val="auto"/>
        </w:rPr>
      </w:pPr>
    </w:p>
    <w:p>
      <w:pPr>
        <w:ind w:right="760" w:firstLine="434"/>
        <w:spacing w:after="0" w:line="268"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revolving loan facility or with cash on hand, with the exception of Santa Monica Place as noted above.</w:t>
      </w:r>
    </w:p>
    <w:p>
      <w:pPr>
        <w:spacing w:after="0" w:line="104" w:lineRule="exact"/>
        <w:rPr>
          <w:sz w:val="20"/>
          <w:szCs w:val="20"/>
          <w:color w:val="auto"/>
        </w:rPr>
      </w:pPr>
    </w:p>
    <w:p>
      <w:pPr>
        <w:ind w:right="560" w:firstLine="434"/>
        <w:spacing w:after="0" w:line="268" w:lineRule="auto"/>
        <w:rPr>
          <w:sz w:val="20"/>
          <w:szCs w:val="20"/>
          <w:color w:val="auto"/>
        </w:rPr>
      </w:pPr>
      <w:r>
        <w:rPr>
          <w:rFonts w:ascii="Times New Roman" w:cs="Times New Roman" w:eastAsia="Times New Roman" w:hAnsi="Times New Roman"/>
          <w:sz w:val="18"/>
          <w:szCs w:val="18"/>
          <w:color w:val="auto"/>
        </w:rPr>
        <w:t>Total interest expense capitalized was $3,899 and $5,834 for the three months ended September 30, 2025 and 2024, respectively, and $13,363 and $16,224 for the nine months ended September 30, 2025 and 2024, respectively.</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September 30, 2025 and December 31, 2024 was $4,954,233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$4,726,227, respectively, based on current interest rates for comparable loans. Fair value was determined using a present value model and an interest rate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a credit value adjustment based on the estimated value of the property that serves as collateral for the underlying debt.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50" w:lineRule="exact"/>
        <w:rPr>
          <w:sz w:val="20"/>
          <w:szCs w:val="20"/>
          <w:color w:val="auto"/>
        </w:rPr>
      </w:pPr>
    </w:p>
    <w:p>
      <w:pPr>
        <w:ind w:right="20" w:firstLine="434"/>
        <w:spacing w:after="0" w:line="247" w:lineRule="auto"/>
        <w:rPr>
          <w:sz w:val="20"/>
          <w:szCs w:val="20"/>
          <w:color w:val="auto"/>
        </w:rPr>
      </w:pPr>
      <w:r>
        <w:rPr>
          <w:rFonts w:ascii="Times New Roman" w:cs="Times New Roman" w:eastAsia="Times New Roman" w:hAnsi="Times New Roman"/>
          <w:sz w:val="18"/>
          <w:szCs w:val="18"/>
          <w:color w:val="auto"/>
        </w:rPr>
        <w:t>On September 11, 2023, the Company and the Operating Partnership entered into an amended and restated credit agreement, which amended and restated their prior credit agreement, and provides for an aggregate $650,000 revolving credit facility that matures on February 1, 2027, with a one-year extension option. The revolving credit facility can be expanded up to $950,000, subject to receipt of lender commitments and other conditions. All obligations under the revolving credit facility are guaranteed unconditionally by the Company and are secured in the form of mortgages on certain wholly-owned assets and pledges of equity interests held by certain of the Company’s subsidiaries. The revolving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w:t>
      </w:r>
    </w:p>
    <w:p>
      <w:pPr>
        <w:spacing w:after="0" w:line="125"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As of September 30, 2025, the borrowing rate was SOFR plus a spread of 2.10%. As of September 30, 2025, there were no borrowings outstanding under the revolving credit facility. Unamortized deferred finance costs were $8,837 as of September 30, 2025, which are netted against balances outstanding or within deferred charges and other assets, net when no borrowings are outstanding on the revolving credit facility which was the case as of September 30, 2025. As of September 30, 2025, the Company’s availability under the revolving credit facility for additional borrowings was $649,409.</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was in compliance with all applicable financial loan covenants.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50" w:lineRule="exact"/>
        <w:rPr>
          <w:sz w:val="20"/>
          <w:szCs w:val="20"/>
          <w:color w:val="auto"/>
        </w:rPr>
      </w:pPr>
    </w:p>
    <w:p>
      <w:pPr>
        <w:ind w:right="20" w:firstLine="434"/>
        <w:spacing w:after="0" w:line="250"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1,401,000 square foot regional shopping center in Chandler, Arizona, and Freehold Raceway Mall, a 1,537,000 square foot regional shopping center in Freehold, New Jersey (collectively referred to herein as "Chandler Freehold"). As a result of the Company having certain rights under the agreement to repurchase the assets of Chandler Freehold, the transaction did not qualify for sale treatment. The Company, however, was not obligated to repurchase the assets. The Company accounted for its investment in Chandler Freehold as a financing arrangement.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 (Continued)</w:t>
      </w:r>
    </w:p>
    <w:p>
      <w:pPr>
        <w:spacing w:after="0" w:line="200" w:lineRule="exact"/>
        <w:rPr>
          <w:sz w:val="20"/>
          <w:szCs w:val="20"/>
          <w:color w:val="auto"/>
        </w:rPr>
      </w:pPr>
    </w:p>
    <w:p>
      <w:pPr>
        <w:spacing w:after="0" w:line="306" w:lineRule="exact"/>
        <w:rPr>
          <w:sz w:val="20"/>
          <w:szCs w:val="20"/>
          <w:color w:val="auto"/>
        </w:rPr>
      </w:pPr>
    </w:p>
    <w:p>
      <w:pPr>
        <w:jc w:val="both"/>
        <w:ind w:right="160" w:firstLine="434"/>
        <w:spacing w:after="0" w:line="256" w:lineRule="auto"/>
        <w:rPr>
          <w:sz w:val="20"/>
          <w:szCs w:val="20"/>
          <w:color w:val="auto"/>
        </w:rPr>
      </w:pPr>
      <w:r>
        <w:rPr>
          <w:rFonts w:ascii="Times New Roman" w:cs="Times New Roman" w:eastAsia="Times New Roman" w:hAnsi="Times New Roman"/>
          <w:sz w:val="18"/>
          <w:szCs w:val="18"/>
          <w:color w:val="auto"/>
        </w:rPr>
        <w:t>On November 16, 2023, the Company acquired the remaining 49.9% ownership interest in Freehold Raceway Mall that it previously did not own. As a result, Freehold Raceway Mall is no longer part of the financing arrangement and is 100% owned by the Company. In connection with the acquisition of the 49.9% ownership interest, the Company recorded the $5,587 purchase amount as a reduction to the financing arrangement obligation.</w:t>
      </w:r>
    </w:p>
    <w:p>
      <w:pPr>
        <w:spacing w:after="0" w:line="114" w:lineRule="exact"/>
        <w:rPr>
          <w:sz w:val="20"/>
          <w:szCs w:val="20"/>
          <w:color w:val="auto"/>
        </w:rPr>
      </w:pPr>
    </w:p>
    <w:p>
      <w:pPr>
        <w:ind w:right="140" w:firstLine="434"/>
        <w:spacing w:after="0" w:line="250"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partner was amended, removing the specific rights that prohibited the transaction's qualification for sale treatment. As a result, the transaction qualified for sale treatment and the Company no longer accounts for its investment in Chandler Fashion Center as a financing arrangement. The financing arrangement obligation was $88,721 on June 13, 2024 and was reversed and included in gain on sale of assets (See Note 16—Dispositions). References to Chandler Freehold for the period after November 16, 2023 through June 13, 2024 shall be deemed to only refer to Chandler Fashion Center.</w:t>
      </w:r>
    </w:p>
    <w:p>
      <w:pPr>
        <w:spacing w:after="0" w:line="119"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The fair value (Level 3 measurement) of the financing arrangement obligation at June 13, 2024 was based upon a terminal capitalization rate of 7.00%, a discount rate of 8.25% and market rents per square foot of $45 to $240.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related party interest expense on the Company's consolidated statements of operations.</w:t>
      </w:r>
    </w:p>
    <w:p>
      <w:pPr>
        <w:spacing w:after="0" w:line="106"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recognized related party interest expense in the Company's consolidated statements of operations in connection with the financing arrangement as follows:</w:t>
      </w:r>
    </w:p>
    <w:p>
      <w:pPr>
        <w:spacing w:after="0" w:line="13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10795</wp:posOffset>
            </wp:positionV>
            <wp:extent cx="894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ind w:left="72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30480</wp:posOffset>
            </wp:positionV>
            <wp:extent cx="4804410" cy="150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04410" cy="150495"/>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Distributions equal to the partner's share of net income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Adjustment to fair value of financing arrangement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-115570</wp:posOffset>
            </wp:positionV>
            <wp:extent cx="4804410" cy="142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04410"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806" w:hanging="806"/>
        <w:spacing w:after="0"/>
        <w:tabs>
          <w:tab w:leader="none" w:pos="8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w:t>
      </w:r>
    </w:p>
    <w:p>
      <w:pPr>
        <w:spacing w:after="0" w:line="21" w:lineRule="exact"/>
        <w:rPr>
          <w:rFonts w:ascii="Times New Roman" w:cs="Times New Roman" w:eastAsia="Times New Roman" w:hAnsi="Times New Roman"/>
          <w:sz w:val="18"/>
          <w:szCs w:val="18"/>
          <w:color w:val="auto"/>
        </w:rPr>
      </w:pPr>
    </w:p>
    <w:p>
      <w:pPr>
        <w:ind w:left="9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966</w:t>
      </w:r>
    </w:p>
    <w:p>
      <w:pPr>
        <w:spacing w:after="0" w:line="17"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color w:val="auto"/>
        </w:rPr>
        <w:t>(13,795)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10795</wp:posOffset>
            </wp:positionV>
            <wp:extent cx="819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5" w:lineRule="exact"/>
        <w:rPr>
          <w:sz w:val="20"/>
          <w:szCs w:val="20"/>
          <w:color w:val="auto"/>
        </w:rPr>
      </w:pPr>
    </w:p>
    <w:p>
      <w:pPr>
        <w:ind w:left="646" w:hanging="646"/>
        <w:spacing w:after="0"/>
        <w:tabs>
          <w:tab w:leader="none" w:pos="64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819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915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53340</wp:posOffset>
            </wp:positionV>
            <wp:extent cx="819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14" w:space="720"/>
            <w:col w:w="4466"/>
          </w:cols>
          <w:pgMar w:left="320" w:top="262" w:right="37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50"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The Company allocates net loss of the Operating Partnership based on the weighted average ownership interest during the period. The net loss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September 30, 2025 and December 31, 2024. The remaining 4% limited partnership interest as of September 30, 2025 and December 31, 2024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September 30, 2025 and December 31, 2024, the aggregate redemption value of the then-outstanding OP Units not owned by the Company was $184,310 and $218,988, respectively.</w:t>
      </w:r>
    </w:p>
    <w:p>
      <w:pPr>
        <w:spacing w:after="0" w:line="129"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01"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right="9340" w:hanging="435"/>
        <w:spacing w:after="0" w:line="464" w:lineRule="auto"/>
        <w:tabs>
          <w:tab w:leader="none" w:pos="269"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Stockholders' Equity: </w:t>
      </w:r>
      <w:r>
        <w:rPr>
          <w:rFonts w:ascii="Times New Roman" w:cs="Times New Roman" w:eastAsia="Times New Roman" w:hAnsi="Times New Roman"/>
          <w:sz w:val="16"/>
          <w:szCs w:val="16"/>
          <w:i w:val="1"/>
          <w:iCs w:val="1"/>
          <w:color w:val="auto"/>
        </w:rPr>
        <w:t>Stock Offerings</w:t>
      </w:r>
    </w:p>
    <w:p>
      <w:pPr>
        <w:spacing w:after="0" w:line="1"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$500,000 under the 2021 ATM Program. During the three and nine months ended September 30, 2024, the Company issued 9,401,596 shares of common stock under the 2021 ATM Program for aggregate gross proceeds of $151,699 and net proceeds of $148,624 after commissions and other transaction costs. As of December 31, 2024, the 2021 ATM Program was fully utilized and is no longer active.</w:t>
      </w:r>
    </w:p>
    <w:p>
      <w:pPr>
        <w:spacing w:after="0" w:line="106" w:lineRule="exact"/>
        <w:rPr>
          <w:sz w:val="20"/>
          <w:szCs w:val="20"/>
          <w:color w:val="auto"/>
        </w:rPr>
      </w:pPr>
    </w:p>
    <w:p>
      <w:pPr>
        <w:ind w:right="40" w:firstLine="434"/>
        <w:spacing w:after="0" w:line="246"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$500,000 under the 2024 ATM Program. During the three and nine months ended September 30, 2025, the Company issued 2,783,330 shares of common stock under the 2024 ATM Program for aggregate gross proceeds of $50,187 and net proceeds of $49,044 after commissions and other transaction costs. In addition, the Company sold additional common stock under the 2024 ATM Program at the end of the quarter ended September 30, 2025 for aggregate gross proceeds of $710 and net proceeds of $696 after commissions, of which the shares settled and the proceeds were received in October 2025. As of September 30, 2025, including sales of shares that did not settle until October 2025, $378,398 remained available to be sold under the 2024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2024 ATM Program.</w:t>
      </w:r>
    </w:p>
    <w:p>
      <w:pPr>
        <w:spacing w:after="0" w:line="129" w:lineRule="exact"/>
        <w:rPr>
          <w:sz w:val="20"/>
          <w:szCs w:val="20"/>
          <w:color w:val="auto"/>
        </w:rPr>
      </w:pPr>
    </w:p>
    <w:p>
      <w:pPr>
        <w:ind w:right="220" w:firstLine="434"/>
        <w:spacing w:after="0" w:line="252" w:lineRule="auto"/>
        <w:rPr>
          <w:sz w:val="20"/>
          <w:szCs w:val="20"/>
          <w:color w:val="auto"/>
        </w:rPr>
      </w:pPr>
      <w:r>
        <w:rPr>
          <w:rFonts w:ascii="Times New Roman" w:cs="Times New Roman" w:eastAsia="Times New Roman" w:hAnsi="Times New Roman"/>
          <w:sz w:val="18"/>
          <w:szCs w:val="18"/>
          <w:color w:val="auto"/>
        </w:rPr>
        <w:t>On November 27, 2024, the Company completed a public offering of 23,000,000 shares of its common stock at a price per share of $19.75, which includes the underwriters' full exercise of their option to purchase an additional 3,000,000 shares, for gross proceeds of approximately $454,250. The net proceeds of the offering were approximately $439,410 after deducting the underwriting discount and offering costs of approximately $14,840. The Company used the proceeds from the offering, together with cash on hand, to repay the mortgage loan secured by its Washington Square property.</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37" w:lineRule="exact"/>
        <w:rPr>
          <w:sz w:val="20"/>
          <w:szCs w:val="20"/>
          <w:color w:val="auto"/>
        </w:rPr>
      </w:pPr>
    </w:p>
    <w:p>
      <w:pPr>
        <w:ind w:right="160" w:firstLine="434"/>
        <w:spacing w:after="0" w:line="252"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nine months ended September 30, 2025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Arrowhead Towne Center:</w:t>
      </w:r>
    </w:p>
    <w:p>
      <w:pPr>
        <w:spacing w:after="0" w:line="150" w:lineRule="exact"/>
        <w:rPr>
          <w:sz w:val="20"/>
          <w:szCs w:val="20"/>
          <w:color w:val="auto"/>
        </w:rPr>
      </w:pPr>
    </w:p>
    <w:p>
      <w:pPr>
        <w:jc w:val="both"/>
        <w:ind w:right="100" w:firstLine="434"/>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Arrowhead Towne Center that it did not previously own for a total purchase price of $36,447 and the assumption of its joint venture partner's share of the debt on the property. Effective as of May 14, 2024, the Company now owns and has consolidated its 100% interest in Arrowhead Towne Center.</w:t>
      </w:r>
    </w:p>
    <w:p>
      <w:pPr>
        <w:spacing w:after="0" w:line="101"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Arrowhead Towne Center:</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2"/>
        </w:trPr>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426,097</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451,377</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383,881</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360,258</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left="400" w:right="120"/>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Arrowhead Towne Center were initially recorded at their relative fair values as shown in the table above. The carrying value of the property was then reduced by the remaining negative basis of $58,683 from the equity method investment previously held by the Company.</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South Plains Mall:</w:t>
      </w:r>
    </w:p>
    <w:p>
      <w:pPr>
        <w:spacing w:after="0" w:line="150"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that it did not previously own for no cash consideration and the assumption of its joint venture partner's share of the debt on the property. Effective as of May 14, 2024, the Company now owns and has consolidated its 100% interest in South Plains Mall.</w:t>
      </w:r>
    </w:p>
    <w:p>
      <w:pPr>
        <w:spacing w:after="0" w:line="101"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South Plains Mall:</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2"/>
        </w:trPr>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183,434</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206,771</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198,181</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00" w:right="180"/>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South Plains Mall were initially recorded at their relative fair values as shown in the table above. The carrying value of the property was then reduced by the remaining negative basis of $80,750 from the equity method investment previously held by the Company.</w:t>
      </w:r>
    </w:p>
    <w:p>
      <w:pPr>
        <w:sectPr>
          <w:pgSz w:w="11900" w:h="16838" w:orient="portrait"/>
          <w:cols w:equalWidth="0" w:num="1">
            <w:col w:w="11120"/>
          </w:cols>
          <w:pgMar w:left="320" w:top="26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262" w:right="4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0" w:right="8680" w:hanging="395"/>
        <w:spacing w:after="0" w:line="464" w:lineRule="auto"/>
        <w:tabs>
          <w:tab w:leader="none" w:pos="346"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(Continued) </w:t>
      </w:r>
      <w:r>
        <w:rPr>
          <w:rFonts w:ascii="Times New Roman" w:cs="Times New Roman" w:eastAsia="Times New Roman" w:hAnsi="Times New Roman"/>
          <w:sz w:val="16"/>
          <w:szCs w:val="16"/>
          <w:i w:val="1"/>
          <w:iCs w:val="1"/>
          <w:color w:val="auto"/>
        </w:rPr>
        <w:t>Sears parcel at Inland Center:</w:t>
      </w:r>
    </w:p>
    <w:p>
      <w:pPr>
        <w:spacing w:after="0" w:line="1" w:lineRule="exact"/>
        <w:rPr>
          <w:rFonts w:ascii="Times New Roman" w:cs="Times New Roman" w:eastAsia="Times New Roman" w:hAnsi="Times New Roman"/>
          <w:sz w:val="16"/>
          <w:szCs w:val="16"/>
          <w:b w:val="1"/>
          <w:bCs w:val="1"/>
          <w:color w:val="auto"/>
        </w:rPr>
      </w:pPr>
    </w:p>
    <w:p>
      <w:pPr>
        <w:ind w:left="440" w:right="3660"/>
        <w:spacing w:after="0" w:line="40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 xml:space="preserve">On May 17, 2024, the Company acquired the former Sears parcel located at Inland Center for $5,382. </w:t>
      </w:r>
      <w:r>
        <w:rPr>
          <w:rFonts w:ascii="Times New Roman" w:cs="Times New Roman" w:eastAsia="Times New Roman" w:hAnsi="Times New Roman"/>
          <w:sz w:val="18"/>
          <w:szCs w:val="18"/>
          <w:i w:val="1"/>
          <w:iCs w:val="1"/>
          <w:color w:val="auto"/>
        </w:rPr>
        <w:t>Pacific Premier Retail LLC:</w:t>
      </w:r>
    </w:p>
    <w:p>
      <w:pPr>
        <w:spacing w:after="0" w:line="1"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On October 24, 2024, the Company acquired the remaining 40% ownership interest in the Pacific Premier Retail LLC joint venture that owns Lakewood Center, Los Cerritos Center and Washington Square that it did not previously own for a total purchase price of $129,000 less the assumption of the partner's share of certain cash balances of $6,868 for a net purchase price of $122,132, and the assumption of its joint venture partner's share of debt on the properties. Effective as of October 24, 2024, the Company now owns and has consolidated its 100% interest in Lakewood Center, Los Cerritos Center and Washington Square. On August 18, 2025, the Company sold Lakewood Center (See Note 16 – Dispositions).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Lakewood Center, Los Cerritos Center and Washington Square:</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1,526,515</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85,661</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1,631,811</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1,312,718</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(31,119)</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1,309,310</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both"/>
        <w:ind w:right="20" w:firstLine="434"/>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Lakewood Center, Los Cerritos Center and Washington Square were initially recorded at their relative fair values as shown in the table above. The carrying value of these properties was then reduced by the remaining negative basis of $98,800 from the equity method investment previously held by the Company.</w:t>
      </w:r>
    </w:p>
    <w:p>
      <w:pPr>
        <w:spacing w:after="0" w:line="11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December 2, 2024, the Company paid off the remaining loan balance assumed on Washington Square with the proceeds from the Company's public offering on November 27, 2024 (See Note 14 – Stockholders' Equity) and recognized a gain on extinguishment of debt of $14,403 for the year ended December 31, 2024.</w:t>
      </w:r>
    </w:p>
    <w:p>
      <w:pPr>
        <w:spacing w:after="0" w:line="114"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On March 27, 2025, the Company closed a $340,000, ten-year loan on Washington Square, which matures on April 6, 2035. The loan bears interest at a fixed rate of 5.58% and is interest only during the entire loan term (See Note 10 – Mortgage Notes Payable). The Company used a portion of the net proceeds from this refinancing to repay the remaining first mortgage on Flatiron Crossing, which was $71,644 at the Company’s share (See Note 4 – Investments in Unconsolidated Joint Ventures), and to repay the balance outstanding on the Company’s credit facility of $110,000.</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Crabtree Mall:</w:t>
      </w:r>
    </w:p>
    <w:p>
      <w:pPr>
        <w:spacing w:after="0" w:line="150"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On June 23, 2025, the Company acquired Crabtree Mall, a regional retail center totaling approximately 1.3 million square feet in Raleigh, North Carolina, for a total purchase price of $290,000, excluding transaction costs and credits received at closing. The acquisition was initially funded with cash on hand and $100,000 of borrowings on the Company's credit facility.</w:t>
      </w:r>
    </w:p>
    <w:p>
      <w:pPr>
        <w:sectPr>
          <w:pgSz w:w="11900" w:h="16838" w:orient="portrait"/>
          <w:cols w:equalWidth="0" w:num="1">
            <w:col w:w="11220"/>
          </w:cols>
          <w:pgMar w:left="320" w:top="26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 (Continued)</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Crabtree Mall, exclusive of closing costs and credits received:</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252,011</w:t>
            </w:r>
          </w:p>
        </w:tc>
        <w:tc>
          <w:tcPr>
            <w:tcW w:w="0" w:type="dxa"/>
            <w:vAlign w:val="bottom"/>
          </w:tcPr>
          <w:p>
            <w:pPr>
              <w:spacing w:after="0"/>
              <w:rPr>
                <w:sz w:val="1"/>
                <w:szCs w:val="1"/>
                <w:color w:val="auto"/>
              </w:rPr>
            </w:pP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0" w:type="dxa"/>
            <w:vAlign w:val="bottom"/>
          </w:tcPr>
          <w:p>
            <w:pPr>
              <w:spacing w:after="0"/>
              <w:rPr>
                <w:sz w:val="1"/>
                <w:szCs w:val="1"/>
                <w:color w:val="auto"/>
              </w:rPr>
            </w:pP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299,123</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is a reconciliation of the allocation of the fair value of acquired net assets to total cash paid:</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7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received at closing</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(24,612)</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and other transaction costs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7"/>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paid</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266,926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w:t>
      </w:r>
    </w:p>
    <w:p>
      <w:pPr>
        <w:spacing w:after="0" w:line="150"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partner was amended and as a result, the Company no longer accounts for its investment in Chandler Fashion Center as a financing arrangement (See Note 12—Financing Arrangement). Effective June 13, 2024, the Company accounts for its investment in Chandler Fashion Center under the equity method of accounting.</w:t>
      </w:r>
    </w:p>
    <w:p>
      <w:pPr>
        <w:spacing w:after="0" w:line="101"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recognized the following gain on sale of assets on Chandler Fashion Center:</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2"/>
        </w:trPr>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investment in unconsolidated joint ventures - Chandler Fashion Center</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141,291</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the financing arrangement obligation</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88,721</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Deconsolidation of Chandler Fashion Center - liabilities in excess of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104,273</w:t>
            </w:r>
          </w:p>
        </w:tc>
      </w:tr>
      <w:tr>
        <w:trPr>
          <w:trHeight w:val="217"/>
        </w:trPr>
        <w:tc>
          <w:tcPr>
            <w:tcW w:w="778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334,285</w:t>
            </w: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$7,100, which resulted in a gain on sale of assets of $756. The Company used the net proceeds to pay down debt.</w:t>
      </w:r>
    </w:p>
    <w:p>
      <w:pPr>
        <w:spacing w:after="0" w:line="90" w:lineRule="exact"/>
        <w:rPr>
          <w:sz w:val="20"/>
          <w:szCs w:val="20"/>
          <w:color w:val="auto"/>
        </w:rPr>
      </w:pPr>
    </w:p>
    <w:p>
      <w:pPr>
        <w:ind w:right="280" w:firstLine="434"/>
        <w:spacing w:after="0" w:line="253" w:lineRule="auto"/>
        <w:rPr>
          <w:sz w:val="20"/>
          <w:szCs w:val="20"/>
          <w:color w:val="auto"/>
        </w:rPr>
      </w:pPr>
      <w:r>
        <w:rPr>
          <w:rFonts w:ascii="Times New Roman" w:cs="Times New Roman" w:eastAsia="Times New Roman" w:hAnsi="Times New Roman"/>
          <w:sz w:val="18"/>
          <w:szCs w:val="18"/>
          <w:color w:val="auto"/>
        </w:rPr>
        <w:t>On November 25, 2024, the Company sold Southridge Mall, a 791,000 square foot power center in Des Moines, Iowa, for $4,000, which resulted in a loss on sale or write down of assets of $911. The Company used the net proceeds to pay down debt.</w:t>
      </w:r>
    </w:p>
    <w:p>
      <w:pPr>
        <w:spacing w:after="0" w:line="116"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On December 10, 2024, the Company sold The Oaks, a 1,206,000 square foot regional retail center in Thousand Oaks, California, for $157,000, which resulted in a loss on sale or write down of assets of $6,932. The Company used the net proceeds to pay off the $147,751 loan on the property.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 (Continued)</w:t>
      </w:r>
    </w:p>
    <w:p>
      <w:pPr>
        <w:spacing w:after="0" w:line="400" w:lineRule="exact"/>
        <w:rPr>
          <w:sz w:val="20"/>
          <w:szCs w:val="20"/>
          <w:color w:val="auto"/>
        </w:rPr>
      </w:pPr>
    </w:p>
    <w:p>
      <w:pPr>
        <w:ind w:right="360" w:firstLine="434"/>
        <w:spacing w:after="0" w:line="253" w:lineRule="auto"/>
        <w:rPr>
          <w:sz w:val="20"/>
          <w:szCs w:val="20"/>
          <w:color w:val="auto"/>
        </w:rPr>
      </w:pPr>
      <w:r>
        <w:rPr>
          <w:rFonts w:ascii="Times New Roman" w:cs="Times New Roman" w:eastAsia="Times New Roman" w:hAnsi="Times New Roman"/>
          <w:sz w:val="18"/>
          <w:szCs w:val="18"/>
          <w:color w:val="auto"/>
        </w:rPr>
        <w:t>On March 27, 2025, the Company sold Wilton Mall, a 740,000 square foot regional retail center in Saratoga Springs, New York, for $24,800, which resulted in a loss on sale or write down of assets of $2,932. The Company used the net proceeds to pay down debt.</w:t>
      </w:r>
    </w:p>
    <w:p>
      <w:pPr>
        <w:spacing w:after="0" w:line="90" w:lineRule="exact"/>
        <w:rPr>
          <w:sz w:val="20"/>
          <w:szCs w:val="20"/>
          <w:color w:val="auto"/>
        </w:rPr>
      </w:pPr>
    </w:p>
    <w:p>
      <w:pPr>
        <w:jc w:val="both"/>
        <w:ind w:firstLine="434"/>
        <w:spacing w:after="0" w:line="230" w:lineRule="auto"/>
        <w:rPr>
          <w:sz w:val="20"/>
          <w:szCs w:val="20"/>
          <w:color w:val="auto"/>
        </w:rPr>
      </w:pPr>
      <w:r>
        <w:rPr>
          <w:rFonts w:ascii="Times New Roman" w:cs="Times New Roman" w:eastAsia="Times New Roman" w:hAnsi="Times New Roman"/>
          <w:sz w:val="18"/>
          <w:szCs w:val="18"/>
          <w:color w:val="auto"/>
        </w:rPr>
        <w:t>On April 16, 2025, the Company sold a parcel at SanTan Adjacent in Gilbert, Arizona for $3,000, which resulted in a loss on sale or write down of assets of $247. On April 28, 2025, the Company sold various parcels at SanTan Adjacent in Gilbert, Arizona for $24,500, which resulted in a gain on sale of assets of $108. The Company used the proceeds from these sales to pay down debt and for other general corporate purposes.</w:t>
      </w:r>
    </w:p>
    <w:p>
      <w:pPr>
        <w:spacing w:after="0" w:line="102" w:lineRule="exact"/>
        <w:rPr>
          <w:sz w:val="20"/>
          <w:szCs w:val="20"/>
          <w:color w:val="auto"/>
        </w:rPr>
      </w:pPr>
    </w:p>
    <w:p>
      <w:pPr>
        <w:ind w:right="120" w:firstLine="434"/>
        <w:spacing w:after="0" w:line="239" w:lineRule="auto"/>
        <w:rPr>
          <w:sz w:val="20"/>
          <w:szCs w:val="20"/>
          <w:color w:val="auto"/>
        </w:rPr>
      </w:pPr>
      <w:r>
        <w:rPr>
          <w:rFonts w:ascii="Times New Roman" w:cs="Times New Roman" w:eastAsia="Times New Roman" w:hAnsi="Times New Roman"/>
          <w:sz w:val="18"/>
          <w:szCs w:val="18"/>
          <w:color w:val="auto"/>
        </w:rPr>
        <w:t>On April 30, 2025, the Company sold SouthPark Mall, an 802,000 square foot regional retail center in Moline, Illinois, for $10,500, which resulted in a loss on sale or write down of assets of $4,267. The Company used the net proceeds for general corporate purposes. This asset was unencumbered.</w:t>
      </w:r>
    </w:p>
    <w:p>
      <w:pPr>
        <w:spacing w:after="0" w:line="101" w:lineRule="exact"/>
        <w:rPr>
          <w:sz w:val="20"/>
          <w:szCs w:val="20"/>
          <w:color w:val="auto"/>
        </w:rPr>
      </w:pPr>
    </w:p>
    <w:p>
      <w:pPr>
        <w:ind w:right="380" w:firstLine="434"/>
        <w:spacing w:after="0" w:line="239" w:lineRule="auto"/>
        <w:rPr>
          <w:sz w:val="20"/>
          <w:szCs w:val="20"/>
          <w:color w:val="auto"/>
        </w:rPr>
      </w:pPr>
      <w:r>
        <w:rPr>
          <w:rFonts w:ascii="Times New Roman" w:cs="Times New Roman" w:eastAsia="Times New Roman" w:hAnsi="Times New Roman"/>
          <w:sz w:val="18"/>
          <w:szCs w:val="18"/>
          <w:color w:val="auto"/>
        </w:rPr>
        <w:t>On May 28, 2025, the Company sold Paradise Village Office Park in Phoenix, Arizona for $6,200, which resulted in a loss on sale or write down of assets of $643. The Company used the net proceeds for general corporate purposes.</w:t>
      </w:r>
    </w:p>
    <w:p>
      <w:pPr>
        <w:spacing w:after="0" w:line="101" w:lineRule="exact"/>
        <w:rPr>
          <w:sz w:val="20"/>
          <w:szCs w:val="20"/>
          <w:color w:val="auto"/>
        </w:rPr>
      </w:pPr>
    </w:p>
    <w:p>
      <w:pPr>
        <w:ind w:right="280" w:firstLine="434"/>
        <w:spacing w:after="0" w:line="253" w:lineRule="auto"/>
        <w:rPr>
          <w:sz w:val="20"/>
          <w:szCs w:val="20"/>
          <w:color w:val="auto"/>
        </w:rPr>
      </w:pPr>
      <w:r>
        <w:rPr>
          <w:rFonts w:ascii="Times New Roman" w:cs="Times New Roman" w:eastAsia="Times New Roman" w:hAnsi="Times New Roman"/>
          <w:sz w:val="18"/>
          <w:szCs w:val="18"/>
          <w:color w:val="auto"/>
        </w:rPr>
        <w:t>On June 11, 2025, the Company sold a former department store parcel located in Petaluma, California, for $2,625, which resulted in a gain on sale of assets of $1,953. The Company used the net proceeds for general corporate purposes.</w:t>
      </w:r>
    </w:p>
    <w:p>
      <w:pPr>
        <w:spacing w:after="0" w:line="90" w:lineRule="exact"/>
        <w:rPr>
          <w:sz w:val="20"/>
          <w:szCs w:val="20"/>
          <w:color w:val="auto"/>
        </w:rPr>
      </w:pPr>
    </w:p>
    <w:p>
      <w:pPr>
        <w:ind w:right="20" w:firstLine="434"/>
        <w:spacing w:after="0" w:line="239" w:lineRule="auto"/>
        <w:rPr>
          <w:sz w:val="20"/>
          <w:szCs w:val="20"/>
          <w:color w:val="auto"/>
        </w:rPr>
      </w:pPr>
      <w:r>
        <w:rPr>
          <w:rFonts w:ascii="Times New Roman" w:cs="Times New Roman" w:eastAsia="Times New Roman" w:hAnsi="Times New Roman"/>
          <w:sz w:val="18"/>
          <w:szCs w:val="18"/>
          <w:color w:val="auto"/>
        </w:rPr>
        <w:t>On June 30, 2025, the Company sold 1010-1016 Market Street parcels at Fashion District Philadelphia in Philadelphia, Pennsylvania for $10,750, which resulted in a gain on sale of assets of $2,378. The Company used the net proceeds for general corporate purposes.</w:t>
      </w:r>
    </w:p>
    <w:p>
      <w:pPr>
        <w:spacing w:after="0" w:line="101" w:lineRule="exact"/>
        <w:rPr>
          <w:sz w:val="20"/>
          <w:szCs w:val="20"/>
          <w:color w:val="auto"/>
        </w:rPr>
      </w:pPr>
    </w:p>
    <w:p>
      <w:pPr>
        <w:ind w:right="40" w:firstLine="434"/>
        <w:spacing w:after="0" w:line="230" w:lineRule="auto"/>
        <w:rPr>
          <w:sz w:val="20"/>
          <w:szCs w:val="20"/>
          <w:color w:val="auto"/>
        </w:rPr>
      </w:pPr>
      <w:r>
        <w:rPr>
          <w:rFonts w:ascii="Times New Roman" w:cs="Times New Roman" w:eastAsia="Times New Roman" w:hAnsi="Times New Roman"/>
          <w:sz w:val="18"/>
          <w:szCs w:val="18"/>
          <w:color w:val="auto"/>
        </w:rPr>
        <w:t>On August 18, 2025, the Company sold Lakewood Center in Lakewood, California for $332,115, including the assumption by the buyer of the $317,115 loan on the property, which resulted in a gain on sale of assets of $21,099. The Company used its share of the net proceeds of $4,933 for general corporate purposes.</w:t>
      </w:r>
    </w:p>
    <w:p>
      <w:pPr>
        <w:spacing w:after="0" w:line="102" w:lineRule="exact"/>
        <w:rPr>
          <w:sz w:val="20"/>
          <w:szCs w:val="20"/>
          <w:color w:val="auto"/>
        </w:rPr>
      </w:pPr>
    </w:p>
    <w:p>
      <w:pPr>
        <w:ind w:right="520" w:firstLine="434"/>
        <w:spacing w:after="0" w:line="239" w:lineRule="auto"/>
        <w:rPr>
          <w:sz w:val="20"/>
          <w:szCs w:val="20"/>
          <w:color w:val="auto"/>
        </w:rPr>
      </w:pPr>
      <w:r>
        <w:rPr>
          <w:rFonts w:ascii="Times New Roman" w:cs="Times New Roman" w:eastAsia="Times New Roman" w:hAnsi="Times New Roman"/>
          <w:sz w:val="18"/>
          <w:szCs w:val="18"/>
          <w:color w:val="auto"/>
        </w:rPr>
        <w:t>On August 20, 2025, the Company sold Valley Mall in Harrisonburg, Virginia for $22,100, which resulted in a gain on sale of assets of $319. The Company used the net proceeds for general corporate purposes. This asset was unencumbered.</w:t>
      </w:r>
    </w:p>
    <w:p>
      <w:pPr>
        <w:spacing w:after="0" w:line="101" w:lineRule="exact"/>
        <w:rPr>
          <w:sz w:val="20"/>
          <w:szCs w:val="20"/>
          <w:color w:val="auto"/>
        </w:rPr>
      </w:pPr>
    </w:p>
    <w:p>
      <w:pPr>
        <w:ind w:right="160" w:firstLine="434"/>
        <w:spacing w:after="0" w:line="230"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sold various land parcels in separate transactions, resulting in gains on sale of land of $1,229 and $2,309, respectively. For the three and nine months ended September 30, 2024, the Company sold various land parcels in separate transactions, resulting in gains on sale of land of $222 and $511, respectively. The Company used its share of the proceeds from these sales to pay down debt and for other general corporate purposes.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37"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As of September 30, 2025, the Company was contingently liable for $6,484 in letters of credit guaranteeing performance by the Company of certain obligations relating to the Centers. The Company does not believe that these letters of credit will result in a liability to the Company.</w:t>
      </w:r>
    </w:p>
    <w:p>
      <w:pPr>
        <w:spacing w:after="0" w:line="104"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September 30, 2025, the Company had $80,988 in outstanding obligations, which it believes will be settled in the next twelve months.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50"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2"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 (Continued)</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160" w:type="dxa"/>
            <w:vAlign w:val="bottom"/>
          </w:tcPr>
          <w:p>
            <w:pPr>
              <w:spacing w:after="0"/>
              <w:rPr>
                <w:sz w:val="13"/>
                <w:szCs w:val="13"/>
                <w:color w:val="auto"/>
              </w:rPr>
            </w:pPr>
          </w:p>
        </w:tc>
        <w:tc>
          <w:tcPr>
            <w:tcW w:w="1980" w:type="dxa"/>
            <w:vAlign w:val="bottom"/>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98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36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r>
      <w:tr>
        <w:trPr>
          <w:trHeight w:val="224"/>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w:t>
            </w:r>
          </w:p>
        </w:tc>
      </w:tr>
      <w:tr>
        <w:trPr>
          <w:trHeight w:val="242"/>
        </w:trPr>
        <w:tc>
          <w:tcPr>
            <w:tcW w:w="3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5,366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380" w:firstLine="434"/>
        <w:spacing w:after="0" w:line="332" w:lineRule="auto"/>
        <w:rPr>
          <w:sz w:val="20"/>
          <w:szCs w:val="20"/>
          <w:color w:val="auto"/>
        </w:rPr>
      </w:pPr>
      <w:r>
        <w:rPr>
          <w:rFonts w:ascii="Times New Roman" w:cs="Times New Roman" w:eastAsia="Times New Roman" w:hAnsi="Times New Roman"/>
          <w:sz w:val="16"/>
          <w:szCs w:val="16"/>
          <w:color w:val="auto"/>
        </w:rPr>
        <w:t>Interest expense from related party transactions was $0 for the three months ended September 30, 2025 and 2024, and $0 and $(11,264) for the nine months ended September 30, 2025 and 2024, respectively, in connection with the financing arrangement (See Note 12—Financing Arrangement).</w:t>
      </w:r>
    </w:p>
    <w:p>
      <w:pPr>
        <w:spacing w:after="0" w:line="57"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Due from affiliates includes $1,709 and $1,840 of unreimbursed costs and fees from unconsolidated joint ventures due to the Management Companies at September 30, 2025 and December 31, 2024,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w:t>
      </w:r>
    </w:p>
    <w:p>
      <w:pPr>
        <w:spacing w:after="0" w:line="137"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19"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2025 performance-based LTI Units are all market-indexed awards.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nine months ended September 30, 2025, the Company granted the following LTI Units:</w:t>
      </w:r>
    </w:p>
    <w:p>
      <w:pPr>
        <w:spacing w:after="0" w:line="154"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Fair Value per</w:t>
            </w:r>
          </w:p>
        </w:tc>
        <w:tc>
          <w:tcPr>
            <w:tcW w:w="130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0"/>
        </w:trPr>
        <w:tc>
          <w:tcPr>
            <w:tcW w:w="1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LTI Unit</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2/21/2025</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193,776</w:t>
            </w:r>
          </w:p>
        </w:tc>
        <w:tc>
          <w:tcPr>
            <w:tcW w:w="1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2/21/2025</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504,780</w:t>
            </w:r>
          </w:p>
        </w:tc>
        <w:tc>
          <w:tcPr>
            <w:tcW w:w="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698,556</w:t>
            </w: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right="140" w:firstLine="434"/>
        <w:spacing w:after="0" w:line="256"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grant. The fair value (Level 3 measurement) of the performance-based LTI Units granted on February 21, 2025 was estimated on the date of grant using a Monte Carlo Simulation model that assumed an approximate three-year risk-free interest rate of 4.10% and an expected volatility of 42.25%.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2"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phantom stock units and stock units:</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2720" w:type="dxa"/>
            <w:vAlign w:val="bottom"/>
          </w:tcPr>
          <w:p>
            <w:pPr>
              <w:spacing w:after="0"/>
              <w:rPr>
                <w:sz w:val="18"/>
                <w:szCs w:val="18"/>
                <w:color w:val="auto"/>
              </w:rPr>
            </w:pPr>
          </w:p>
        </w:tc>
        <w:tc>
          <w:tcPr>
            <w:tcW w:w="22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LTI Units</w:t>
            </w: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2160" w:type="dxa"/>
            <w:vAlign w:val="bottom"/>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05"/>
        </w:trPr>
        <w:tc>
          <w:tcPr>
            <w:tcW w:w="272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9"/>
              </w:rPr>
              <w:t>240,547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24"/>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9"/>
                <w:szCs w:val="19"/>
                <w:color w:val="auto"/>
              </w:rPr>
            </w:pPr>
          </w:p>
        </w:tc>
        <w:tc>
          <w:tcPr>
            <w:tcW w:w="104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9"/>
              </w:rPr>
              <w:t>141,737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24"/>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w w:val="96"/>
              </w:rPr>
              <w:t>(161,656)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17"/>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3,016,975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w w:val="99"/>
              </w:rPr>
              <w:t>220,628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0"/>
        </w:trPr>
        <w:tc>
          <w:tcPr>
            <w:tcW w:w="2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p>
      <w:pPr>
        <w:spacing w:after="0" w:line="3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activity of the vested stock options outstanding:</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314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05"/>
        </w:trPr>
        <w:tc>
          <w:tcPr>
            <w:tcW w:w="3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24"/>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150495</wp:posOffset>
            </wp:positionV>
            <wp:extent cx="19215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Value represents the weighted average exercise price.</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140" w:type="dxa"/>
            <w:vAlign w:val="bottom"/>
          </w:tcPr>
          <w:p>
            <w:pPr>
              <w:spacing w:after="0"/>
              <w:rPr>
                <w:sz w:val="13"/>
                <w:szCs w:val="13"/>
                <w:color w:val="auto"/>
              </w:rPr>
            </w:pPr>
          </w:p>
        </w:tc>
        <w:tc>
          <w:tcPr>
            <w:tcW w:w="190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900" w:type="dxa"/>
            <w:vAlign w:val="bottom"/>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49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r>
      <w:tr>
        <w:trPr>
          <w:trHeight w:val="22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7"/>
        </w:trPr>
        <w:tc>
          <w:tcPr>
            <w:tcW w:w="4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$39 and $411 for the three months ended September 30, 2025 and 2024, respectively, and $154 and $665 for the nine months ended September 30, 2025 and 2024, respectively. Unrecognized compensation costs of share and unit-based plans at September 30, 2025 consisted of $22,993 from LTI Units, $2,043 from stock units and $39 from phantom stock units.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50"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ectPr>
          <w:pgSz w:w="11900" w:h="16838" w:orient="portrait"/>
          <w:cols w:equalWidth="0" w:num="1">
            <w:col w:w="11180"/>
          </w:cols>
          <w:pgMar w:left="320" w:top="26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2" w:right="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 (Continued)</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provision of the TRSs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5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0"/>
        </w:trPr>
        <w:tc>
          <w:tcPr>
            <w:tcW w:w="43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r>
      <w:tr>
        <w:trPr>
          <w:trHeight w:val="190"/>
        </w:trPr>
        <w:tc>
          <w:tcPr>
            <w:tcW w:w="43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42"/>
        </w:trPr>
        <w:tc>
          <w:tcPr>
            <w:tcW w:w="4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The net operating loss ("NOL") carryforwards generated through the 2017 tax year are scheduled to expire through 2037, beginning in 2031.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$27,044 and $25,324 were included in deferred charges and other assets, net at September 30, 2025 and December 31, 2024, respectively.</w:t>
      </w:r>
    </w:p>
    <w:p>
      <w:pPr>
        <w:spacing w:after="0" w:line="119"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September 30, 2025, the Company had no valuation allowance recorded.</w:t>
      </w:r>
    </w:p>
    <w:p>
      <w:pPr>
        <w:spacing w:after="0" w:line="118"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The tax years 2021 through 2023 remain open to examination by the taxing jurisdictions to which the Company is subject. The Company does not expect that the total amount of unrecognized tax benefit will materially change within the next twelve months.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Reporting:</w:t>
      </w:r>
    </w:p>
    <w:p>
      <w:pPr>
        <w:spacing w:after="0" w:line="150"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The Company operates as one operating segment and is involved in the acquisition, ownership, development, redevelopment, management and leasing of regional and community/power shopping centers located throughout the United States. The Company's Chief Operating Decision Maker ("CODM") is the chief executive officer, who reviews financial information presented on a consolidated basis. The CODM assesses performance for the Company's single reportable segment and decides how to allocate resources based on consolidated net income (see the Consolidated Statements of Operations). The Company's objective in making resource allocation decisions is to optimize the consolidated financial results.</w:t>
      </w:r>
    </w:p>
    <w:p>
      <w:pPr>
        <w:spacing w:after="0" w:line="119"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The accounting policies of the Company’s single reportable segment are the same as those described in the summary of significant accounting policies. As the Company's operations comprise of a single reporting segment, the measure of segment assets is reported in the accompanying consolidated balance sheets as “Total assets.” Consolidated net income, which is reported in the accompanying Consolidated Statements of Operations as “Net (loss) income attributable to the Company” is the measure of segment profit or loss that is most consistent with GAAP that is regularly reviewed by the CODM. Consolidated net income is used by the CODM in assessing the performance of the segment and the significant segment expenses are listed on the accompanying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50"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On October 30, 2025, the Company announced a dividend/distribution of $0.17 per share for common stockholders and OP Unitholders of record on December 15, 2025. All dividends/distributions will be paid in cash on December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880"/>
        <w:spacing w:after="0" w:line="456"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IMPORTANT INFORMATION RELATED TO FORWARD-LOOKING STATEMENTS</w:t>
      </w: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19" w:lineRule="exact"/>
        <w:rPr>
          <w:sz w:val="20"/>
          <w:szCs w:val="20"/>
          <w:color w:val="auto"/>
        </w:rPr>
      </w:pPr>
    </w:p>
    <w:p>
      <w:pPr>
        <w:ind w:left="1260" w:hanging="62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Path Forward Plan and its ability to meet the goals established under such plan;</w:t>
      </w:r>
    </w:p>
    <w:p>
      <w:pPr>
        <w:spacing w:after="0" w:line="56" w:lineRule="exact"/>
        <w:rPr>
          <w:rFonts w:ascii="Times New Roman" w:cs="Times New Roman" w:eastAsia="Times New Roman" w:hAnsi="Times New Roman"/>
          <w:sz w:val="18"/>
          <w:szCs w:val="18"/>
          <w:color w:val="auto"/>
        </w:rPr>
      </w:pPr>
    </w:p>
    <w:p>
      <w:pPr>
        <w:ind w:left="1260" w:right="160" w:hanging="623"/>
        <w:spacing w:after="0" w:line="268" w:lineRule="auto"/>
        <w:tabs>
          <w:tab w:leader="none" w:pos="12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56" w:lineRule="exact"/>
        <w:rPr>
          <w:rFonts w:ascii="Times New Roman" w:cs="Times New Roman" w:eastAsia="Times New Roman" w:hAnsi="Times New Roman"/>
          <w:sz w:val="18"/>
          <w:szCs w:val="18"/>
          <w:color w:val="auto"/>
        </w:rPr>
      </w:pPr>
    </w:p>
    <w:p>
      <w:pPr>
        <w:ind w:left="1260" w:right="460" w:hanging="623"/>
        <w:spacing w:after="0" w:line="268" w:lineRule="auto"/>
        <w:tabs>
          <w:tab w:leader="none" w:pos="12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90" w:lineRule="exact"/>
        <w:rPr>
          <w:sz w:val="20"/>
          <w:szCs w:val="20"/>
          <w:color w:val="auto"/>
        </w:rPr>
      </w:pPr>
    </w:p>
    <w:p>
      <w:pPr>
        <w:ind w:right="40" w:firstLine="434"/>
        <w:spacing w:after="0" w:line="245" w:lineRule="auto"/>
        <w:rPr>
          <w:sz w:val="20"/>
          <w:szCs w:val="20"/>
          <w:color w:val="auto"/>
        </w:rPr>
      </w:pPr>
      <w:r>
        <w:rPr>
          <w:rFonts w:ascii="Times New Roman" w:cs="Times New Roman" w:eastAsia="Times New Roman" w:hAnsi="Times New Roman"/>
          <w:sz w:val="18"/>
          <w:szCs w:val="18"/>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including the impact of tariffs and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its impact on the financial condition and results of operations of the Company, including as a result of any increased borrowing costs on the Company's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the financial condition and results of operations of the Company and its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2024,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50" w:lineRule="exact"/>
        <w:rPr>
          <w:sz w:val="20"/>
          <w:szCs w:val="20"/>
          <w:color w:val="auto"/>
        </w:rPr>
      </w:pPr>
    </w:p>
    <w:p>
      <w:pPr>
        <w:ind w:right="20" w:firstLine="434"/>
        <w:spacing w:after="0" w:line="249"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September 30, 2025, the Operating Partnership owned or had an ownership interest in 37 regional retail centers (including office, hotel and residential space adjacent to these shopping centers) and one community/power shopping center. These 38 regional retail centers and community/power shopping center consist of approximately 39 million square feet of gross leasable area ("GLA") and are referred to herein as the "Centers". The Centers consist of consolidated Centers ("Consolidated Centers")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and unconsolidated joint venture Centers ("Unconsolidated Joint Venture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104"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and nine months ended September 30, 2025 and 2024. It compares the results of operations for the three months ended September 30, 2025 to the results of operations for the three months ended September 30, 2024. It also compares the results of operations and cash flows for the nine months ended September 30, 2025 to the results of operations and cash flows for the nine months ended September 30, 2024.</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right="80" w:firstLine="434"/>
        <w:spacing w:after="0" w:line="303" w:lineRule="auto"/>
        <w:rPr>
          <w:sz w:val="20"/>
          <w:szCs w:val="20"/>
          <w:color w:val="auto"/>
        </w:rPr>
      </w:pPr>
      <w:r>
        <w:rPr>
          <w:rFonts w:ascii="Times New Roman" w:cs="Times New Roman" w:eastAsia="Times New Roman" w:hAnsi="Times New Roman"/>
          <w:sz w:val="16"/>
          <w:szCs w:val="16"/>
          <w:color w:val="auto"/>
        </w:rPr>
        <w:t>On May 14, 2024, the Company acquired its joint venture partner's 40% interest in each of Arrowhead Towne Center and South Plains Mall for a purchase price of $36.4 million and the assumption of its joint venture partner's share of debt for each property. The Company now owns and has consolidated its 100% interests in Arrowhead Towne Center and South Plains Mall (See Note 15—Acquisitions in the Notes to the Consolidated Financial Statements).</w:t>
      </w:r>
    </w:p>
    <w:p>
      <w:pPr>
        <w:spacing w:after="0" w:line="80"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$5.4 million (See Note 15—Acquisitions in the Notes to the Consolidated Financial Statements).</w:t>
      </w:r>
    </w:p>
    <w:p>
      <w:pPr>
        <w:spacing w:after="0" w:line="104" w:lineRule="exact"/>
        <w:rPr>
          <w:sz w:val="20"/>
          <w:szCs w:val="20"/>
          <w:color w:val="auto"/>
        </w:rPr>
      </w:pPr>
    </w:p>
    <w:p>
      <w:pPr>
        <w:ind w:right="20" w:firstLine="434"/>
        <w:spacing w:after="0" w:line="250" w:lineRule="auto"/>
        <w:rPr>
          <w:sz w:val="20"/>
          <w:szCs w:val="20"/>
          <w:color w:val="auto"/>
        </w:rPr>
      </w:pPr>
      <w:r>
        <w:rPr>
          <w:rFonts w:ascii="Times New Roman" w:cs="Times New Roman" w:eastAsia="Times New Roman" w:hAnsi="Times New Roman"/>
          <w:sz w:val="18"/>
          <w:szCs w:val="18"/>
          <w:color w:val="auto"/>
        </w:rPr>
        <w:t>On October 24, 2024, the Company acquired its joint venture partner's 40% interest in the Pacific Premier Retail Trust portfolio, which included Los Cerritos Center, Washington Square and Lakewood Center, for a net purchase price of approximately $122.1 million, which included the assumption of the partner's share of property level indebtedness. The Company now owns and has consolidated its 100% interests in these properties in its consolidated financial statements. On August 18, 2025, the Company sold Lakewood Center (See Note 15—Acquisitions and Note 16—Dispositions in the Notes to the Consolidated Financial Statements).</w:t>
      </w:r>
    </w:p>
    <w:p>
      <w:pPr>
        <w:spacing w:after="0" w:line="106" w:lineRule="exact"/>
        <w:rPr>
          <w:sz w:val="20"/>
          <w:szCs w:val="20"/>
          <w:color w:val="auto"/>
        </w:rPr>
      </w:pPr>
    </w:p>
    <w:p>
      <w:pPr>
        <w:ind w:right="240" w:firstLine="434"/>
        <w:spacing w:after="0" w:line="256" w:lineRule="auto"/>
        <w:rPr>
          <w:sz w:val="20"/>
          <w:szCs w:val="20"/>
          <w:color w:val="auto"/>
        </w:rPr>
      </w:pPr>
      <w:r>
        <w:rPr>
          <w:rFonts w:ascii="Times New Roman" w:cs="Times New Roman" w:eastAsia="Times New Roman" w:hAnsi="Times New Roman"/>
          <w:sz w:val="18"/>
          <w:szCs w:val="18"/>
          <w:color w:val="auto"/>
        </w:rPr>
        <w:t>On June 23, 2025, the Company acquired Crabtree Mall, a 1,325,000 square foot regional retail center in Raleigh, North Carolina, for a total purchase price of $290.0 million. The acquisition was initially funded with cash on hand and $100.0 million of borrowings on the Company's credit facility (See "Financing Activities" and Note 15—Acquisitions in the Notes to the Consolidated Financial Statements).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50" w:lineRule="exact"/>
        <w:rPr>
          <w:sz w:val="20"/>
          <w:szCs w:val="20"/>
          <w:color w:val="auto"/>
        </w:rPr>
      </w:pPr>
    </w:p>
    <w:p>
      <w:pPr>
        <w:ind w:right="240" w:firstLine="434"/>
        <w:spacing w:after="0" w:line="252"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in the Notes to the Consolidated Financial Statements).</w:t>
      </w:r>
    </w:p>
    <w:p>
      <w:pPr>
        <w:spacing w:after="0" w:line="10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June 28, 2024, the Company's joint venture sold Country Club Plaza, a 971,000 square foot regional retail center in Kansas City, Missouri, for $175.6 million. Concurrent with the sale, the remaining amount owed by the joint venture under the $295.5 million loan ($147.7 million at the Company's share) was forgiven by the lender.</w:t>
      </w:r>
    </w:p>
    <w:p>
      <w:pPr>
        <w:spacing w:after="0" w:line="114" w:lineRule="exact"/>
        <w:rPr>
          <w:sz w:val="20"/>
          <w:szCs w:val="20"/>
          <w:color w:val="auto"/>
        </w:rPr>
      </w:pPr>
    </w:p>
    <w:p>
      <w:pPr>
        <w:jc w:val="both"/>
        <w:ind w:right="100" w:firstLine="434"/>
        <w:spacing w:after="0" w:line="256"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 million. The Company used the net proceeds to pay down debt. The Company recognized a gain on sale of assets of $0.8 million (See Note 16—Dispositions in the Notes to the Consolidated Financial Statements).</w:t>
      </w:r>
    </w:p>
    <w:p>
      <w:pPr>
        <w:spacing w:after="0" w:line="101" w:lineRule="exact"/>
        <w:rPr>
          <w:sz w:val="20"/>
          <w:szCs w:val="20"/>
          <w:color w:val="auto"/>
        </w:rPr>
      </w:pPr>
    </w:p>
    <w:p>
      <w:pPr>
        <w:ind w:right="300" w:firstLine="434"/>
        <w:spacing w:after="0" w:line="269" w:lineRule="auto"/>
        <w:rPr>
          <w:sz w:val="20"/>
          <w:szCs w:val="20"/>
          <w:color w:val="auto"/>
        </w:rPr>
      </w:pPr>
      <w:r>
        <w:rPr>
          <w:rFonts w:ascii="Times New Roman" w:cs="Times New Roman" w:eastAsia="Times New Roman" w:hAnsi="Times New Roman"/>
          <w:sz w:val="16"/>
          <w:szCs w:val="16"/>
          <w:color w:val="auto"/>
        </w:rPr>
        <w:t>On July 31, 2024, the Company sold its 50% interest in Biltmore Fashion Park, a 611,000 square foot regional retail center in Phoenix, Arizona, for $110.0 million. The Company used the net proceeds to pay down debt. As a result of this transaction, the Company recognized a gain of $42.8 million (See "Liquidity and Capital Resources" and Note 4—Investments In Unconsolidated Joint Ventures in the Notes to the Consolidated Financial Statements).</w:t>
      </w:r>
    </w:p>
    <w:p>
      <w:pPr>
        <w:spacing w:after="0" w:line="79" w:lineRule="exact"/>
        <w:rPr>
          <w:sz w:val="20"/>
          <w:szCs w:val="20"/>
          <w:color w:val="auto"/>
        </w:rPr>
      </w:pPr>
    </w:p>
    <w:p>
      <w:pPr>
        <w:ind w:firstLine="434"/>
        <w:spacing w:after="0" w:line="239" w:lineRule="auto"/>
        <w:rPr>
          <w:sz w:val="20"/>
          <w:szCs w:val="20"/>
          <w:color w:val="auto"/>
        </w:rPr>
      </w:pPr>
      <w:r>
        <w:rPr>
          <w:rFonts w:ascii="Times New Roman" w:cs="Times New Roman" w:eastAsia="Times New Roman" w:hAnsi="Times New Roman"/>
          <w:sz w:val="18"/>
          <w:szCs w:val="18"/>
          <w:color w:val="auto"/>
        </w:rPr>
        <w:t>On November 25, 2024, the Company sold Southridge Mall, a 791,000 square foot power center in Des Moines, Iowa, for $4.0 million, which resulted in a loss on sale of assets of $0.9 million. The Company used the net proceeds to pay down debt.</w:t>
      </w:r>
    </w:p>
    <w:p>
      <w:pPr>
        <w:spacing w:after="0" w:line="101" w:lineRule="exact"/>
        <w:rPr>
          <w:sz w:val="20"/>
          <w:szCs w:val="20"/>
          <w:color w:val="auto"/>
        </w:rPr>
      </w:pPr>
    </w:p>
    <w:p>
      <w:pPr>
        <w:ind w:right="280" w:firstLine="434"/>
        <w:spacing w:after="0" w:line="298" w:lineRule="auto"/>
        <w:rPr>
          <w:sz w:val="20"/>
          <w:szCs w:val="20"/>
          <w:color w:val="auto"/>
        </w:rPr>
      </w:pPr>
      <w:r>
        <w:rPr>
          <w:rFonts w:ascii="Times New Roman" w:cs="Times New Roman" w:eastAsia="Times New Roman" w:hAnsi="Times New Roman"/>
          <w:sz w:val="16"/>
          <w:szCs w:val="16"/>
          <w:color w:val="auto"/>
        </w:rPr>
        <w:t>On December 10, 2024, the Company sold The Oaks, a 1,206,000 square foot regional retail center in Thousand Oaks, California, for $157.0 million, which resulted in a loss on sale of assets of $6.9 million. The Company used the net proceeds to pay off the $147.8 million loan on the property.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434"/>
        <w:spacing w:after="0" w:line="230" w:lineRule="auto"/>
        <w:rPr>
          <w:sz w:val="20"/>
          <w:szCs w:val="20"/>
          <w:color w:val="auto"/>
        </w:rPr>
      </w:pPr>
      <w:r>
        <w:rPr>
          <w:rFonts w:ascii="Times New Roman" w:cs="Times New Roman" w:eastAsia="Times New Roman" w:hAnsi="Times New Roman"/>
          <w:sz w:val="18"/>
          <w:szCs w:val="18"/>
          <w:color w:val="auto"/>
        </w:rPr>
        <w:t>For the twelve months ended December 31, 2024, the Company and certain joint venture partners sold various land parcels in separate transactions, resulting in the Company's share of the gain on sale of land of $2.8 million. The Company used its share of the proceeds from these sales of $6.1 million to pay down debt and for other general corporate purposes.</w:t>
      </w:r>
    </w:p>
    <w:p>
      <w:pPr>
        <w:spacing w:after="0" w:line="102" w:lineRule="exact"/>
        <w:rPr>
          <w:sz w:val="20"/>
          <w:szCs w:val="20"/>
          <w:color w:val="auto"/>
        </w:rPr>
      </w:pPr>
    </w:p>
    <w:p>
      <w:pPr>
        <w:ind w:firstLine="434"/>
        <w:spacing w:after="0" w:line="239" w:lineRule="auto"/>
        <w:rPr>
          <w:sz w:val="20"/>
          <w:szCs w:val="20"/>
          <w:color w:val="auto"/>
        </w:rPr>
      </w:pPr>
      <w:r>
        <w:rPr>
          <w:rFonts w:ascii="Times New Roman" w:cs="Times New Roman" w:eastAsia="Times New Roman" w:hAnsi="Times New Roman"/>
          <w:sz w:val="18"/>
          <w:szCs w:val="18"/>
          <w:color w:val="auto"/>
        </w:rPr>
        <w:t>On March 27, 2025, the Company sold Wilton Mall, a 740,000 square foot regional retail center in Saratoga Springs, New York, for $24.8 million, which resulted in a loss on sale of assets of $2.9 million. The Company used the net proceeds to pay down debt and for other general corporate purposes.</w:t>
      </w:r>
    </w:p>
    <w:p>
      <w:pPr>
        <w:spacing w:after="0" w:line="101" w:lineRule="exact"/>
        <w:rPr>
          <w:sz w:val="20"/>
          <w:szCs w:val="20"/>
          <w:color w:val="auto"/>
        </w:rPr>
      </w:pPr>
    </w:p>
    <w:p>
      <w:pPr>
        <w:ind w:right="120" w:firstLine="434"/>
        <w:spacing w:after="0" w:line="235" w:lineRule="auto"/>
        <w:rPr>
          <w:sz w:val="20"/>
          <w:szCs w:val="20"/>
          <w:color w:val="auto"/>
        </w:rPr>
      </w:pPr>
      <w:r>
        <w:rPr>
          <w:rFonts w:ascii="Times New Roman" w:cs="Times New Roman" w:eastAsia="Times New Roman" w:hAnsi="Times New Roman"/>
          <w:sz w:val="18"/>
          <w:szCs w:val="18"/>
          <w:color w:val="auto"/>
        </w:rPr>
        <w:t>On April 16, 2025, the Company sold a parcel at SanTan Adjacent in Gilbert, Arizona for $3.0 million, which resulted in a loss on sale of assets of $0.2 million. On April 28, 2025, the Company sold various parcels at SanTan Adjacent in Gilbert, Arizona for $24.5 million, which resulted in a gain on sale of assets of $0.1 million. The Company used the net proceeds from these sales to pay down debt and for other general corporate purposes.</w:t>
      </w:r>
    </w:p>
    <w:p>
      <w:pPr>
        <w:spacing w:after="0" w:line="103" w:lineRule="exact"/>
        <w:rPr>
          <w:sz w:val="20"/>
          <w:szCs w:val="20"/>
          <w:color w:val="auto"/>
        </w:rPr>
      </w:pPr>
    </w:p>
    <w:p>
      <w:pPr>
        <w:ind w:right="60" w:firstLine="434"/>
        <w:spacing w:after="0" w:line="239" w:lineRule="auto"/>
        <w:rPr>
          <w:sz w:val="20"/>
          <w:szCs w:val="20"/>
          <w:color w:val="auto"/>
        </w:rPr>
      </w:pPr>
      <w:r>
        <w:rPr>
          <w:rFonts w:ascii="Times New Roman" w:cs="Times New Roman" w:eastAsia="Times New Roman" w:hAnsi="Times New Roman"/>
          <w:sz w:val="18"/>
          <w:szCs w:val="18"/>
          <w:color w:val="auto"/>
        </w:rPr>
        <w:t>On April 30, 2025, the Company sold SouthPark Mall, an 802,000 square foot regional retail center in Moline, Illinois, for $10.5 million, which resulted in a loss on sale of assets of $4.3 million. The Company used the net proceeds for general corporate purposes. This asset was unencumbered.</w:t>
      </w:r>
    </w:p>
    <w:p>
      <w:pPr>
        <w:spacing w:after="0" w:line="101" w:lineRule="exact"/>
        <w:rPr>
          <w:sz w:val="20"/>
          <w:szCs w:val="20"/>
          <w:color w:val="auto"/>
        </w:rPr>
      </w:pPr>
    </w:p>
    <w:p>
      <w:pPr>
        <w:ind w:right="60" w:firstLine="434"/>
        <w:spacing w:after="0" w:line="239" w:lineRule="auto"/>
        <w:rPr>
          <w:sz w:val="20"/>
          <w:szCs w:val="20"/>
          <w:color w:val="auto"/>
        </w:rPr>
      </w:pPr>
      <w:r>
        <w:rPr>
          <w:rFonts w:ascii="Times New Roman" w:cs="Times New Roman" w:eastAsia="Times New Roman" w:hAnsi="Times New Roman"/>
          <w:sz w:val="18"/>
          <w:szCs w:val="18"/>
          <w:color w:val="auto"/>
        </w:rPr>
        <w:t>On May 28, 2025, the Company sold Paradise Village Office Park in Phoenix, Arizona for $6.2 million, which resulted in a loss on sale of assets of $0.6 million. The Company used the net proceeds for general corporate purposes.</w:t>
      </w:r>
    </w:p>
    <w:p>
      <w:pPr>
        <w:spacing w:after="0" w:line="101" w:lineRule="exact"/>
        <w:rPr>
          <w:sz w:val="20"/>
          <w:szCs w:val="20"/>
          <w:color w:val="auto"/>
        </w:rPr>
      </w:pPr>
    </w:p>
    <w:p>
      <w:pPr>
        <w:ind w:right="120" w:firstLine="434"/>
        <w:spacing w:after="0" w:line="239" w:lineRule="auto"/>
        <w:rPr>
          <w:sz w:val="20"/>
          <w:szCs w:val="20"/>
          <w:color w:val="auto"/>
        </w:rPr>
      </w:pPr>
      <w:r>
        <w:rPr>
          <w:rFonts w:ascii="Times New Roman" w:cs="Times New Roman" w:eastAsia="Times New Roman" w:hAnsi="Times New Roman"/>
          <w:sz w:val="18"/>
          <w:szCs w:val="18"/>
          <w:color w:val="auto"/>
        </w:rPr>
        <w:t>On June 11, 2025, the Company sold a former department store parcel located in Petaluma, California, for $2.6 million, which resulted in a gain on sale of assets of $2.0 million. The Company used the net proceeds for general corporate purposes.</w:t>
      </w:r>
    </w:p>
    <w:p>
      <w:pPr>
        <w:spacing w:after="0" w:line="101" w:lineRule="exact"/>
        <w:rPr>
          <w:sz w:val="20"/>
          <w:szCs w:val="20"/>
          <w:color w:val="auto"/>
        </w:rPr>
      </w:pPr>
    </w:p>
    <w:p>
      <w:pPr>
        <w:ind w:right="140" w:firstLine="434"/>
        <w:spacing w:after="0" w:line="253" w:lineRule="auto"/>
        <w:rPr>
          <w:sz w:val="20"/>
          <w:szCs w:val="20"/>
          <w:color w:val="auto"/>
        </w:rPr>
      </w:pPr>
      <w:r>
        <w:rPr>
          <w:rFonts w:ascii="Times New Roman" w:cs="Times New Roman" w:eastAsia="Times New Roman" w:hAnsi="Times New Roman"/>
          <w:sz w:val="18"/>
          <w:szCs w:val="18"/>
          <w:color w:val="auto"/>
        </w:rPr>
        <w:t>On June 30, 2025, the Company sold 1010-1016 Market Street parcels at Fashion District Philadelphia in Philadelphia, Pennsylvania for $10.8 million, which resulted in a gain on sale of assets of $2.4 million. The Company used the net proceeds for general corporate purposes.</w:t>
      </w:r>
    </w:p>
    <w:p>
      <w:pPr>
        <w:spacing w:after="0" w:line="90" w:lineRule="exact"/>
        <w:rPr>
          <w:sz w:val="20"/>
          <w:szCs w:val="20"/>
          <w:color w:val="auto"/>
        </w:rPr>
      </w:pPr>
    </w:p>
    <w:p>
      <w:pPr>
        <w:ind w:firstLine="434"/>
        <w:spacing w:after="0" w:line="239" w:lineRule="auto"/>
        <w:rPr>
          <w:sz w:val="20"/>
          <w:szCs w:val="20"/>
          <w:color w:val="auto"/>
        </w:rPr>
      </w:pPr>
      <w:r>
        <w:rPr>
          <w:rFonts w:ascii="Times New Roman" w:cs="Times New Roman" w:eastAsia="Times New Roman" w:hAnsi="Times New Roman"/>
          <w:sz w:val="18"/>
          <w:szCs w:val="18"/>
          <w:color w:val="auto"/>
        </w:rPr>
        <w:t>On June 30, 2025, the Company sold its remaining 5% effective interest in Paradise Valley Mall in Phoenix, Arizona for $5.5 million, which resulted in a loss on sale of assets of $1.2 million. The Company used the proceeds for general corporate purposes.</w:t>
      </w:r>
    </w:p>
    <w:p>
      <w:pPr>
        <w:spacing w:after="0" w:line="101" w:lineRule="exact"/>
        <w:rPr>
          <w:sz w:val="20"/>
          <w:szCs w:val="20"/>
          <w:color w:val="auto"/>
        </w:rPr>
      </w:pPr>
    </w:p>
    <w:p>
      <w:pPr>
        <w:ind w:right="60" w:firstLine="434"/>
        <w:spacing w:after="0" w:line="230" w:lineRule="auto"/>
        <w:rPr>
          <w:sz w:val="20"/>
          <w:szCs w:val="20"/>
          <w:color w:val="auto"/>
        </w:rPr>
      </w:pPr>
      <w:r>
        <w:rPr>
          <w:rFonts w:ascii="Times New Roman" w:cs="Times New Roman" w:eastAsia="Times New Roman" w:hAnsi="Times New Roman"/>
          <w:sz w:val="18"/>
          <w:szCs w:val="18"/>
          <w:color w:val="auto"/>
        </w:rPr>
        <w:t>On July 30, 2025, the Company's joint venture sold Atlas Park, a 374,000 square foot community center in Queens, New York, for $72.0 million. Concurrent with the sale, the $65.0 million loan ($32.5 million at the Company's share) owed by the joint venture was paid off in full. The Company's share of the gain from this transaction was approximately $12.0 million. The Company used its share of the net proceeds for general corporate purposes.</w:t>
      </w:r>
    </w:p>
    <w:p>
      <w:pPr>
        <w:spacing w:after="0" w:line="102" w:lineRule="exact"/>
        <w:rPr>
          <w:sz w:val="20"/>
          <w:szCs w:val="20"/>
          <w:color w:val="auto"/>
        </w:rPr>
      </w:pPr>
    </w:p>
    <w:p>
      <w:pPr>
        <w:ind w:right="80" w:firstLine="434"/>
        <w:spacing w:after="0" w:line="235" w:lineRule="auto"/>
        <w:rPr>
          <w:sz w:val="20"/>
          <w:szCs w:val="20"/>
          <w:color w:val="auto"/>
        </w:rPr>
      </w:pPr>
      <w:r>
        <w:rPr>
          <w:rFonts w:ascii="Times New Roman" w:cs="Times New Roman" w:eastAsia="Times New Roman" w:hAnsi="Times New Roman"/>
          <w:sz w:val="18"/>
          <w:szCs w:val="18"/>
          <w:color w:val="auto"/>
        </w:rPr>
        <w:t>On August 18, 2025, the Company closed on the sale of Lakewood Center in Lakewood, California, for $332.1 million, including the assumption by the buyer of the $317.1 million loan on the property that had a June 2026 maturity date. The Company recognized a gain on sale of assets of $21.1 million. The Company used its share of net proceeds from this sale, totaling approximately $5.0 million for general corporate purposes.</w:t>
      </w:r>
    </w:p>
    <w:p>
      <w:pPr>
        <w:spacing w:after="0" w:line="103" w:lineRule="exact"/>
        <w:rPr>
          <w:sz w:val="20"/>
          <w:szCs w:val="20"/>
          <w:color w:val="auto"/>
        </w:rPr>
      </w:pPr>
    </w:p>
    <w:p>
      <w:pPr>
        <w:ind w:right="100" w:firstLine="434"/>
        <w:spacing w:after="0" w:line="230" w:lineRule="auto"/>
        <w:rPr>
          <w:sz w:val="20"/>
          <w:szCs w:val="20"/>
          <w:color w:val="auto"/>
        </w:rPr>
      </w:pPr>
      <w:r>
        <w:rPr>
          <w:rFonts w:ascii="Times New Roman" w:cs="Times New Roman" w:eastAsia="Times New Roman" w:hAnsi="Times New Roman"/>
          <w:sz w:val="18"/>
          <w:szCs w:val="18"/>
          <w:color w:val="auto"/>
        </w:rPr>
        <w:t>On August 20, 2025, the Company closed on the sale of Valley Mall in Harrisburg, Virginia, for $22.1 million, which resulted in a gain on sale of assets of $0.3 million. This asset was unencumbered. The Company used the net proceeds of approximately $20.9 million from this sale for general corporate purposes.</w:t>
      </w:r>
    </w:p>
    <w:p>
      <w:pPr>
        <w:spacing w:after="0" w:line="102" w:lineRule="exact"/>
        <w:rPr>
          <w:sz w:val="20"/>
          <w:szCs w:val="20"/>
          <w:color w:val="auto"/>
        </w:rPr>
      </w:pPr>
    </w:p>
    <w:p>
      <w:pPr>
        <w:ind w:right="160" w:firstLine="434"/>
        <w:spacing w:after="0" w:line="230"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and certain joint venture partners sold various land parcels in separate transactions, resulting in the Company’s share of the gains on sale of land of $1.2 million and $2.0 million, respectively. The Company’s proceeds from these sales in the three and nine months ended September 30, 2025 were $2.0 million and $14.3 million, respectively. The Company used its share of the proceeds from these sales to pay down debt and for other general corporate purposes.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 million mortgage loan on the property with a new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$24.0 million loan that bears interest at a variable rate of SOFR plus 2.50%, is interest only during the entire loan term and matures on December 5, 2028.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 has a required interest rate cap throughout the term of the loan at a strike rate of 7.5%.</w:t>
      </w:r>
    </w:p>
    <w:p>
      <w:pPr>
        <w:spacing w:after="0" w:line="13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On January 22, 2024, the Company repaid the majority of the mortgage loan on Fashion District Philadelphia. The remaining $8.2 million was scheduled to mature on April 21, 2024 and was paid in full prior to maturity.</w:t>
      </w:r>
    </w:p>
    <w:p>
      <w:pPr>
        <w:spacing w:after="0" w:line="104"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90"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The Company has completed transition of the property to a receiver but is still the owner of record.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0" w:firstLine="434"/>
        <w:spacing w:after="0" w:line="303" w:lineRule="auto"/>
        <w:rPr>
          <w:sz w:val="20"/>
          <w:szCs w:val="20"/>
          <w:color w:val="auto"/>
        </w:rPr>
      </w:pPr>
      <w:r>
        <w:rPr>
          <w:rFonts w:ascii="Times New Roman" w:cs="Times New Roman" w:eastAsia="Times New Roman" w:hAnsi="Times New Roman"/>
          <w:sz w:val="16"/>
          <w:szCs w:val="16"/>
          <w:color w:val="auto"/>
        </w:rPr>
        <w:t>On May 24, 2024, the Company closed a two-year extension of the $149.9 million loan on The Oaks, which was scheduled to mature on June 5, 2026. The interest rate during the first year of the extended term was 7.5% and would have increased to 8.5% during the second year of the extended term. On December 10, 2024, the Company repaid in full the $147.8 million loan with the net proceeds from the sale of the property (See "Dispositions").</w:t>
      </w:r>
    </w:p>
    <w:p>
      <w:pPr>
        <w:spacing w:after="0" w:line="66"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replaced the existing $256.0 million loan on the property with a new $275.0 million loan that bears interest at 7.06%, is interest only during the entire loan term and matures on July 1, 2029. The Company received a distribution of $17.7 million in connection with the refinancing.</w:t>
      </w:r>
    </w:p>
    <w:p>
      <w:pPr>
        <w:spacing w:after="0" w:line="114"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On August 22, 2024, the Company closed an $85.0 million, ten-year refinance of the loan on The Mall of Victor Valley. The new loan bears interest at a fixed rate of 6.72%, is interest only during the entire loan term and matures on September 6, 2034.</w:t>
      </w:r>
    </w:p>
    <w:p>
      <w:pPr>
        <w:spacing w:after="0" w:line="104"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On October 28, 2024, the Company closed a $525.0 million, five-year refinance of the loan on Queens Center, which matures on November 6, 2029. The new loan replaced the existing $600.0 million loan, bears interest at a fixed rate of 5.37% and is interest only during the entire loan term.</w:t>
      </w:r>
    </w:p>
    <w:p>
      <w:pPr>
        <w:spacing w:after="0" w:line="90" w:lineRule="exact"/>
        <w:rPr>
          <w:sz w:val="20"/>
          <w:szCs w:val="20"/>
          <w:color w:val="auto"/>
        </w:rPr>
      </w:pPr>
    </w:p>
    <w:p>
      <w:pPr>
        <w:ind w:right="200" w:firstLine="434"/>
        <w:spacing w:after="0" w:line="252" w:lineRule="auto"/>
        <w:rPr>
          <w:sz w:val="20"/>
          <w:szCs w:val="20"/>
          <w:color w:val="auto"/>
        </w:rPr>
      </w:pPr>
      <w:r>
        <w:rPr>
          <w:rFonts w:ascii="Times New Roman" w:cs="Times New Roman" w:eastAsia="Times New Roman" w:hAnsi="Times New Roman"/>
          <w:sz w:val="18"/>
          <w:szCs w:val="18"/>
          <w:color w:val="auto"/>
        </w:rPr>
        <w:t>On December 2, 2024, the Company repaid in full the $478.0 million loan on Washington Square with the net proceeds received from the Company’s public stock offering, which closed on November 27, 2024, together with cash on hand (See “Other Transactions and Events”). The mortgage loan on the property was scheduled to mature on November 1, 2026. The Company recognized a gain on extinguishment of debt of $14.4 million upon the repayment of the loan.</w:t>
      </w:r>
    </w:p>
    <w:p>
      <w:pPr>
        <w:spacing w:after="0" w:line="118" w:lineRule="exact"/>
        <w:rPr>
          <w:sz w:val="20"/>
          <w:szCs w:val="20"/>
          <w:color w:val="auto"/>
        </w:rPr>
      </w:pPr>
    </w:p>
    <w:p>
      <w:pPr>
        <w:ind w:right="400" w:firstLine="434"/>
        <w:spacing w:after="0" w:line="286" w:lineRule="auto"/>
        <w:rPr>
          <w:sz w:val="20"/>
          <w:szCs w:val="20"/>
          <w:color w:val="auto"/>
        </w:rPr>
      </w:pPr>
      <w:r>
        <w:rPr>
          <w:rFonts w:ascii="Times New Roman" w:cs="Times New Roman" w:eastAsia="Times New Roman" w:hAnsi="Times New Roman"/>
          <w:sz w:val="16"/>
          <w:szCs w:val="16"/>
          <w:color w:val="auto"/>
        </w:rPr>
        <w:t>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w:t>
      </w:r>
    </w:p>
    <w:p>
      <w:pPr>
        <w:spacing w:after="0" w:line="246" w:lineRule="auto"/>
        <w:rPr>
          <w:sz w:val="20"/>
          <w:szCs w:val="20"/>
          <w:color w:val="auto"/>
        </w:rPr>
      </w:pPr>
      <w:r>
        <w:rPr>
          <w:rFonts w:ascii="Times New Roman" w:cs="Times New Roman" w:eastAsia="Times New Roman" w:hAnsi="Times New Roman"/>
          <w:sz w:val="18"/>
          <w:szCs w:val="18"/>
          <w:color w:val="auto"/>
        </w:rPr>
        <w:t>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$140.5 million ($71.6 million at the Company's share) of the first mortgage, as discussed below.</w:t>
      </w:r>
    </w:p>
    <w:p>
      <w:pPr>
        <w:spacing w:after="0" w:line="122"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On March 27, 2025, the Company closed a $340.0 million, ten-year loan on Washington Square, which matures on April 6, 2035. The loan bears interest at a fixed rate of 5.58% and is interest only during the entire loan term. The Company used a portion of the net proceeds from this refinancing to repay the remaining first mortgage on Flatiron Crossing, which was $71.6 million at the Company’s share, and to repay the balance outstanding on the Company’s revolving credit facility of $110.0 million.</w:t>
      </w:r>
    </w:p>
    <w:p>
      <w:pPr>
        <w:spacing w:after="0" w:line="104" w:lineRule="exact"/>
        <w:rPr>
          <w:sz w:val="20"/>
          <w:szCs w:val="20"/>
          <w:color w:val="auto"/>
        </w:rPr>
      </w:pPr>
    </w:p>
    <w:p>
      <w:pPr>
        <w:ind w:right="620" w:firstLine="434"/>
        <w:spacing w:after="0" w:line="268" w:lineRule="auto"/>
        <w:rPr>
          <w:sz w:val="20"/>
          <w:szCs w:val="20"/>
          <w:color w:val="auto"/>
        </w:rPr>
      </w:pPr>
      <w:r>
        <w:rPr>
          <w:rFonts w:ascii="Times New Roman" w:cs="Times New Roman" w:eastAsia="Times New Roman" w:hAnsi="Times New Roman"/>
          <w:sz w:val="18"/>
          <w:szCs w:val="18"/>
          <w:color w:val="auto"/>
        </w:rPr>
        <w:t>On July 30, 2025, the Company's joint venture in Atlas Park repaid in full the $65.0 million loan ($32.5 million at the Company's pro rata share) concurrent with the sale of the property (See "Dispositions").</w:t>
      </w:r>
    </w:p>
    <w:p>
      <w:pPr>
        <w:spacing w:after="0" w:line="104"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On August 7, 2025, the Company closed on an initial $159.1 million two-year term loan with two one-year extension options on Crabtree Mall. The term loan also allows for additional requested advances of up to $51.2 million based on defined conditions for capital expenditures and leasing costs for a maximum total term loan of $210.3 million.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15 – Acquisitions and Note 11 – Bank and Other Notes Payable).</w:t>
      </w:r>
    </w:p>
    <w:p>
      <w:pPr>
        <w:spacing w:after="0" w:line="119" w:lineRule="exact"/>
        <w:rPr>
          <w:sz w:val="20"/>
          <w:szCs w:val="20"/>
          <w:color w:val="auto"/>
        </w:rPr>
      </w:pPr>
    </w:p>
    <w:p>
      <w:pPr>
        <w:ind w:right="500" w:firstLine="434"/>
        <w:spacing w:after="0" w:line="268" w:lineRule="auto"/>
        <w:rPr>
          <w:sz w:val="20"/>
          <w:szCs w:val="20"/>
          <w:color w:val="auto"/>
        </w:rPr>
      </w:pPr>
      <w:r>
        <w:rPr>
          <w:rFonts w:ascii="Times New Roman" w:cs="Times New Roman" w:eastAsia="Times New Roman" w:hAnsi="Times New Roman"/>
          <w:sz w:val="18"/>
          <w:szCs w:val="18"/>
          <w:color w:val="auto"/>
        </w:rPr>
        <w:t>On August 18, 2025, as part of the sale of Lakewood Center, the Company's remaining loan of $317.1 million on the property was assumed by the purchaser (See "Dispositions").</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50" w:lineRule="exact"/>
        <w:rPr>
          <w:sz w:val="20"/>
          <w:szCs w:val="20"/>
          <w:color w:val="auto"/>
        </w:rPr>
      </w:pPr>
    </w:p>
    <w:p>
      <w:pPr>
        <w:ind w:right="140" w:firstLine="434"/>
        <w:spacing w:after="0" w:line="250" w:lineRule="auto"/>
        <w:rPr>
          <w:sz w:val="20"/>
          <w:szCs w:val="20"/>
          <w:color w:val="auto"/>
        </w:rPr>
      </w:pPr>
      <w:r>
        <w:rPr>
          <w:rFonts w:ascii="Times New Roman" w:cs="Times New Roman" w:eastAsia="Times New Roman" w:hAnsi="Times New Roman"/>
          <w:sz w:val="18"/>
          <w:szCs w:val="18"/>
          <w:color w:val="auto"/>
        </w:rPr>
        <w:t>The Company’s joint venture in Scottsdale Fashion Square, a 1,878,000 square foot regional retail center in Scottsdale, Arizona, is redeveloping a two-level Nordstrom wing with luxury-focused retail and restaurant uses. The total cost of the project is estimated to be between $84.0 million and $90.0 million, with $42.0 million to $45.0 million estimated to be the Company’s pro rata share. The Company has incurred approximately $32.1 million of the total $64.2 million incurred by the joint venture as of September 30, 2025. The opening will be in phases which began in 2024, with anticipated completion in 2027. The majority of tenants are expected to be open in 2026, with a few remaining tenants expected to open in early 2027.</w:t>
      </w:r>
    </w:p>
    <w:p>
      <w:pPr>
        <w:spacing w:after="0" w:line="119" w:lineRule="exact"/>
        <w:rPr>
          <w:sz w:val="20"/>
          <w:szCs w:val="20"/>
          <w:color w:val="auto"/>
        </w:rPr>
      </w:pPr>
    </w:p>
    <w:p>
      <w:pPr>
        <w:jc w:val="both"/>
        <w:ind w:right="180" w:firstLine="434"/>
        <w:spacing w:after="0" w:line="252" w:lineRule="auto"/>
        <w:rPr>
          <w:sz w:val="20"/>
          <w:szCs w:val="20"/>
          <w:color w:val="auto"/>
        </w:rPr>
      </w:pPr>
      <w:r>
        <w:rPr>
          <w:rFonts w:ascii="Times New Roman" w:cs="Times New Roman" w:eastAsia="Times New Roman" w:hAnsi="Times New Roman"/>
          <w:sz w:val="18"/>
          <w:szCs w:val="18"/>
          <w:color w:val="auto"/>
        </w:rPr>
        <w:t>The Company is redeveloping the northeast quadrant of Green Acres Mall, a 2,076,000 square foot regional retail center in Valley Stream, New York. The project will include new exterior shops and facade totaling approximately 375,000 square feet of leasing, including new grocery use, redevelopment of a vacant anchor building and demolition of another vacant anchor building. The total cost of the project is estimated to be between $130.0 million and $150.0 million. The Company has incurred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approximately $31.4 million as of September 30, 2025. The anticipated opening is in 2026 for the majority of the tenants, with one anchor tenant expected to open in 2027.</w:t>
      </w:r>
    </w:p>
    <w:p>
      <w:pPr>
        <w:spacing w:after="0" w:line="90"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The Company’s joint venture in FlatIron Crossing, a 1,390,000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43.4% in the residential portion of the development and 51.0% in the remainder of the property. The total cost of the project is estimated to be between $245.0 million and $265.0 million, with $125.0 million to $135.0 million estimated to be the Company’s pro rata share. The Company has incurred approximately $22.8 million of the total $47.7 million incurred by the joint venture as of September 30, 2025. The anticipated opening will be in phases beginning in 2027.</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50"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The Company declared a cash dividend of $0.17 per share of its common stock for each quarter of 2024 and the first three quarters of 2025. On October 30, 2025, the Company announced a fourth quarter cash dividend of $0.17 per share of its common stock, which will be paid on December 29, 2025 to stockholders of record on December 15, 2025. The dividend amount will be reviewed by the Board on a quarterly basis.</w:t>
      </w:r>
    </w:p>
    <w:p>
      <w:pPr>
        <w:spacing w:after="0" w:line="101" w:lineRule="exact"/>
        <w:rPr>
          <w:sz w:val="20"/>
          <w:szCs w:val="20"/>
          <w:color w:val="auto"/>
        </w:rPr>
      </w:pPr>
    </w:p>
    <w:p>
      <w:pPr>
        <w:ind w:right="20" w:firstLine="434"/>
        <w:spacing w:after="0" w:line="250"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9.4 million shares of common stock for approximately $148.6 million of net proceeds through the 2021 ATM Program at a weighted average share price of $15.81. The 2021 ATM Program was fully utilized as of September 30, 2024 and is no longer active.</w:t>
      </w:r>
    </w:p>
    <w:p>
      <w:pPr>
        <w:spacing w:after="0" w:line="119" w:lineRule="exact"/>
        <w:rPr>
          <w:sz w:val="20"/>
          <w:szCs w:val="20"/>
          <w:color w:val="auto"/>
        </w:rPr>
      </w:pPr>
    </w:p>
    <w:p>
      <w:pPr>
        <w:ind w:right="60" w:firstLine="434"/>
        <w:spacing w:after="0" w:line="248" w:lineRule="auto"/>
        <w:rPr>
          <w:sz w:val="20"/>
          <w:szCs w:val="20"/>
          <w:color w:val="auto"/>
        </w:rPr>
      </w:pPr>
      <w:r>
        <w:rPr>
          <w:rFonts w:ascii="Times New Roman" w:cs="Times New Roman" w:eastAsia="Times New Roman" w:hAnsi="Times New Roman"/>
          <w:sz w:val="18"/>
          <w:szCs w:val="18"/>
          <w:color w:val="auto"/>
        </w:rPr>
        <w:t>In connection with the commencement of a separate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3.7 million shares of common stock for approximately $69.1 million of net proceeds through the 2024 ATM Program at a weighted average price of $18.68. During the three and nine months ended September 30, 2025, the Company sold 2.8 million shares of common stock for approximately $49.7 million of net proceeds through the 2024 ATM Program at a weighted average price of $18.03. As of September 30, 2025, the Company had approximately $378.4 million of gross sales of its common stock available under the 2024 ATM Program.</w:t>
      </w:r>
    </w:p>
    <w:p>
      <w:pPr>
        <w:spacing w:after="0" w:line="121" w:lineRule="exact"/>
        <w:rPr>
          <w:sz w:val="20"/>
          <w:szCs w:val="20"/>
          <w:color w:val="auto"/>
        </w:rPr>
      </w:pPr>
    </w:p>
    <w:p>
      <w:pPr>
        <w:ind w:right="40" w:firstLine="434"/>
        <w:spacing w:after="0" w:line="293" w:lineRule="auto"/>
        <w:rPr>
          <w:sz w:val="20"/>
          <w:szCs w:val="20"/>
          <w:color w:val="auto"/>
        </w:rPr>
      </w:pPr>
      <w:r>
        <w:rPr>
          <w:rFonts w:ascii="Times New Roman" w:cs="Times New Roman" w:eastAsia="Times New Roman" w:hAnsi="Times New Roman"/>
          <w:sz w:val="16"/>
          <w:szCs w:val="16"/>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 deducting the underwriting discount and offering costs of approximately $14.8 million. The Company used the proceeds from the offering, together with cash on hand, to repay the mortgage loan secured by its Washington Square property.</w:t>
      </w:r>
    </w:p>
    <w:p>
      <w:pPr>
        <w:spacing w:after="0" w:line="75"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See “—Liquidity and Capital Resources” for a further discussion of the Company’s anticipated liquidity needs, and the measures taken by the Company to meet those needs.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50" w:lineRule="exact"/>
        <w:rPr>
          <w:sz w:val="20"/>
          <w:szCs w:val="20"/>
          <w:color w:val="auto"/>
        </w:rPr>
      </w:pPr>
    </w:p>
    <w:p>
      <w:pPr>
        <w:ind w:right="200" w:firstLine="434"/>
        <w:spacing w:after="0" w:line="248" w:lineRule="auto"/>
        <w:rPr>
          <w:sz w:val="20"/>
          <w:szCs w:val="20"/>
          <w:color w:val="auto"/>
        </w:rPr>
      </w:pPr>
      <w:r>
        <w:rPr>
          <w:rFonts w:ascii="Times New Roman" w:cs="Times New Roman" w:eastAsia="Times New Roman" w:hAnsi="Times New Roman"/>
          <w:sz w:val="18"/>
          <w:szCs w:val="18"/>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operating and capital costs for the remainder of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prepared in accordance with generally accepted accounting principles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34"/>
        <w:spacing w:after="0" w:line="293" w:lineRule="auto"/>
        <w:rPr>
          <w:sz w:val="20"/>
          <w:szCs w:val="20"/>
          <w:color w:val="auto"/>
        </w:rPr>
      </w:pPr>
      <w:r>
        <w:rPr>
          <w:rFonts w:ascii="Times New Roman" w:cs="Times New Roman" w:eastAsia="Times New Roman" w:hAnsi="Times New Roman"/>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50" w:lineRule="exact"/>
        <w:rPr>
          <w:sz w:val="20"/>
          <w:szCs w:val="20"/>
          <w:color w:val="auto"/>
        </w:rPr>
      </w:pPr>
    </w:p>
    <w:p>
      <w:pPr>
        <w:ind w:right="20" w:firstLine="434"/>
        <w:spacing w:after="0" w:line="277" w:lineRule="auto"/>
        <w:rPr>
          <w:sz w:val="20"/>
          <w:szCs w:val="20"/>
          <w:color w:val="auto"/>
        </w:rPr>
      </w:pPr>
      <w:r>
        <w:rPr>
          <w:rFonts w:ascii="Times New Roman" w:cs="Times New Roman" w:eastAsia="Times New Roman" w:hAnsi="Times New Roman"/>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321"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Remeasurement gains are recognized when the Company becomes the primary beneficiary of an existing equity method investment that is a variable interest entity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50" w:lineRule="exact"/>
        <w:rPr>
          <w:sz w:val="20"/>
          <w:szCs w:val="20"/>
          <w:color w:val="auto"/>
        </w:rPr>
      </w:pPr>
    </w:p>
    <w:p>
      <w:pPr>
        <w:ind w:right="40" w:firstLine="434"/>
        <w:spacing w:after="0" w:line="284" w:lineRule="auto"/>
        <w:rPr>
          <w:sz w:val="20"/>
          <w:szCs w:val="20"/>
          <w:color w:val="auto"/>
        </w:rPr>
      </w:pPr>
      <w:r>
        <w:rPr>
          <w:rFonts w:ascii="Times New Roman" w:cs="Times New Roman" w:eastAsia="Times New Roman" w:hAnsi="Times New Roman"/>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94" w:lineRule="exact"/>
        <w:rPr>
          <w:sz w:val="20"/>
          <w:szCs w:val="20"/>
          <w:color w:val="auto"/>
        </w:rPr>
      </w:pPr>
    </w:p>
    <w:p>
      <w:pPr>
        <w:ind w:right="400" w:firstLine="434"/>
        <w:spacing w:after="0" w:line="256" w:lineRule="auto"/>
        <w:rPr>
          <w:sz w:val="20"/>
          <w:szCs w:val="20"/>
          <w:color w:val="auto"/>
        </w:rPr>
      </w:pPr>
      <w:r>
        <w:rPr>
          <w:rFonts w:ascii="Times New Roman" w:cs="Times New Roman" w:eastAsia="Times New Roman" w:hAnsi="Times New Roman"/>
          <w:sz w:val="18"/>
          <w:szCs w:val="18"/>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101" w:lineRule="exact"/>
        <w:rPr>
          <w:sz w:val="20"/>
          <w:szCs w:val="20"/>
          <w:color w:val="auto"/>
        </w:rPr>
      </w:pPr>
    </w:p>
    <w:p>
      <w:pPr>
        <w:ind w:right="560" w:firstLine="434"/>
        <w:spacing w:after="0" w:line="268" w:lineRule="auto"/>
        <w:rPr>
          <w:sz w:val="20"/>
          <w:szCs w:val="20"/>
          <w:color w:val="auto"/>
        </w:rPr>
      </w:pPr>
      <w:r>
        <w:rPr>
          <w:rFonts w:ascii="Times New Roman" w:cs="Times New Roman" w:eastAsia="Times New Roman" w:hAnsi="Times New Roman"/>
          <w:sz w:val="18"/>
          <w:szCs w:val="18"/>
          <w:color w:val="auto"/>
        </w:rPr>
        <w:t>The Company’s investments in unconsolidated joint ventures apply the same accounting model for property level impairment as described above. Further, the Company reviews its investments in unconsolidated joint ventures for a series 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0"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in Management’s Overview and Summary above, including those related to the Redevelopment Properties, the Acquisition Property, the JV Transition Centers and the Disposition Properties (each as defined below).</w:t>
      </w:r>
    </w:p>
    <w:p>
      <w:pPr>
        <w:spacing w:after="0" w:line="114"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includes a recently acquired property ("Acquisition Property"),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Santa Monica Place and the Disposition Properties, for the periods of comparison. Santa Monica Place is excluded from Same Centers due to the Company's default on the non-recourse loan on April 9, 2024 and the completion of the transition of the property to a receiver during the first quarter of 2025. The Company is still the owner of record of the property.</w:t>
      </w:r>
    </w:p>
    <w:p>
      <w:pPr>
        <w:spacing w:after="0" w:line="109" w:lineRule="exact"/>
        <w:rPr>
          <w:sz w:val="20"/>
          <w:szCs w:val="20"/>
          <w:color w:val="auto"/>
        </w:rPr>
      </w:pPr>
    </w:p>
    <w:p>
      <w:pPr>
        <w:ind w:right="140" w:firstLine="434"/>
        <w:spacing w:after="0" w:line="286" w:lineRule="auto"/>
        <w:rPr>
          <w:sz w:val="20"/>
          <w:szCs w:val="20"/>
          <w:color w:val="auto"/>
        </w:rPr>
      </w:pPr>
      <w:r>
        <w:rPr>
          <w:rFonts w:ascii="Times New Roman" w:cs="Times New Roman" w:eastAsia="Times New Roman" w:hAnsi="Times New Roman"/>
          <w:sz w:val="16"/>
          <w:szCs w:val="16"/>
          <w:color w:val="auto"/>
        </w:rPr>
        <w:t>For the comparison of the three and nine months ended September 30, 2025 to the three and nine months ended September 30, 2024, the Acquisition Property is Crabtree Mall (See “Acquisitions” in Management’s Overview and Summary). The JV Transition Centers are Arrowhead Towne Center, Chandler Fashion Center, Los Cerritos Center, Washington Square and South Plains Mall (See “Acquisitions” in Management’s Overview and Summary). The Disposition Properties are The Oaks, Southridge Mall, Wilton Mall, Southpark Mall, Lakewood Center, Valley Mall and former department store parcels at Valle Vista Mall in Harlingen, Texas and in Petaluma, California (See "Dispositions" in Management’s Overview and Summary). For the comparison of the three and nine months ended September 30, 2025 to the three and nine months ended September 30, 2024, there are no Redevelopment Properties.</w:t>
      </w:r>
    </w:p>
    <w:p>
      <w:pPr>
        <w:spacing w:after="0" w:line="92"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104" w:lineRule="exact"/>
        <w:rPr>
          <w:sz w:val="20"/>
          <w:szCs w:val="20"/>
          <w:color w:val="auto"/>
        </w:rPr>
      </w:pPr>
    </w:p>
    <w:p>
      <w:pPr>
        <w:ind w:right="280" w:firstLine="434"/>
        <w:spacing w:after="0" w:line="252"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04" w:lineRule="exact"/>
        <w:rPr>
          <w:sz w:val="20"/>
          <w:szCs w:val="20"/>
          <w:color w:val="auto"/>
        </w:rPr>
      </w:pPr>
    </w:p>
    <w:p>
      <w:pPr>
        <w:ind w:right="100" w:firstLine="434"/>
        <w:spacing w:after="0" w:line="249" w:lineRule="auto"/>
        <w:rPr>
          <w:sz w:val="20"/>
          <w:szCs w:val="20"/>
          <w:color w:val="auto"/>
        </w:rPr>
      </w:pPr>
      <w:r>
        <w:rPr>
          <w:rFonts w:ascii="Times New Roman" w:cs="Times New Roman" w:eastAsia="Times New Roman" w:hAnsi="Times New Roman"/>
          <w:sz w:val="18"/>
          <w:szCs w:val="18"/>
          <w:color w:val="auto"/>
        </w:rPr>
        <w:t>During the trailing twelve months ended September 30, 2025, comparable tenant sales for spaces less than 10,000 square feet across the portfolio increased by 0.5% relative to the same period of 2024. The leased occupancy rate of 93.4% at September 30, 2025 represented a 0.3% decrease from 93.7% at September 30, 2024 and a 1.4% sequential increase compared to the 92.0% occupancy rate at June 30, 2025. Releasing spreads increased as the Company executed leases at an average rent of $68.75 for new and renewal leases executed compared to $64.89 on leases expiring, resulting in a releasing spread increase of $3.86 per square foot, or 5.9%, for the trailing twelve months ended September 30, 2025. This was the Company’s sixteenth consecutive quarter of positive base rent leasing spreads.</w:t>
      </w:r>
    </w:p>
    <w:p>
      <w:pPr>
        <w:spacing w:after="0" w:line="119" w:lineRule="exact"/>
        <w:rPr>
          <w:sz w:val="20"/>
          <w:szCs w:val="20"/>
          <w:color w:val="auto"/>
        </w:rPr>
      </w:pPr>
    </w:p>
    <w:p>
      <w:pPr>
        <w:jc w:val="both"/>
        <w:ind w:right="140" w:firstLine="434"/>
        <w:spacing w:after="0" w:line="303" w:lineRule="auto"/>
        <w:rPr>
          <w:sz w:val="20"/>
          <w:szCs w:val="20"/>
          <w:color w:val="auto"/>
        </w:rPr>
      </w:pPr>
      <w:r>
        <w:rPr>
          <w:rFonts w:ascii="Times New Roman" w:cs="Times New Roman" w:eastAsia="Times New Roman" w:hAnsi="Times New Roman"/>
          <w:sz w:val="16"/>
          <w:szCs w:val="16"/>
          <w:color w:val="auto"/>
        </w:rPr>
        <w:t>As of September 30, 2025, the Company has executed renewal leases or commitments on 94% of its square footage expiring in 2025, that is anticipated to renew, which leases are expected to commence throughout 2025 and 2026 and another 5% of such expiring space is in the letter of intent stage. Excluding those leases, the remaining leases expiring in 2025, which represent approximately 25,000 square feet of the Centers, are in the prospecting stage.</w:t>
      </w:r>
    </w:p>
    <w:p>
      <w:pPr>
        <w:spacing w:after="0" w:line="80"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The Company has entered into 103 leases for new stores totaling approximately 524,000 square feet that have opened or are planned for opening in 2025, and another 107 leases for new stores totaling approximately 1.3 million square feet opening after 2025. In total, through 2028, new store leases are expected to produce total gross revenue of approximately $99 million (at the Company’s pro rata share) in excess of the revenue generated in 2024 from prior uses in those same spaces. This new store leasing pipeline represents a cumulative and incremental estimate and includes open stores, leases signed not yet open, and leases in documentation that will or have commenced from 2024 through 2028. While there may be additional new space openings in 2025, any such leases are not yet executed.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During the quarter ended September 30, 2025, the Company signed 86 new leases and 193 renewal leases comprising approximately 1.5 million square feet of GLA. The average tenant allowance was $49.58 per square foot.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50" w:lineRule="exact"/>
        <w:rPr>
          <w:sz w:val="20"/>
          <w:szCs w:val="20"/>
          <w:color w:val="auto"/>
        </w:rPr>
      </w:pPr>
    </w:p>
    <w:p>
      <w:pPr>
        <w:ind w:right="160" w:firstLine="434"/>
        <w:spacing w:after="0" w:line="256" w:lineRule="auto"/>
        <w:rPr>
          <w:sz w:val="20"/>
          <w:szCs w:val="20"/>
          <w:color w:val="auto"/>
        </w:rPr>
      </w:pPr>
      <w:r>
        <w:rPr>
          <w:rFonts w:ascii="Times New Roman" w:cs="Times New Roman" w:eastAsia="Times New Roman" w:hAnsi="Times New Roman"/>
          <w:sz w:val="18"/>
          <w:szCs w:val="18"/>
          <w:color w:val="auto"/>
        </w:rPr>
        <w:t>During the second quarter of 2024, the Company unveiled the Path Forward Plan which is a multi-pronged strategy to improve the Company's balance sheet, while also making inward-facing enhancements to both bolster company culture and improve key business processes to gain operating efficiencies. Essential goals of the Path Forward Plan include:</w:t>
      </w:r>
    </w:p>
    <w:p>
      <w:pPr>
        <w:spacing w:after="0" w:line="114" w:lineRule="exact"/>
        <w:rPr>
          <w:sz w:val="20"/>
          <w:szCs w:val="20"/>
          <w:color w:val="auto"/>
        </w:rPr>
      </w:pPr>
    </w:p>
    <w:p>
      <w:pPr>
        <w:ind w:left="1260" w:hanging="623"/>
        <w:spacing w:after="0" w:line="268"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Deleverage the capital structure, with a focus on reducing the Company's Net Debt to Adjusted EBITDA leverage ratio over the next three to four years;</w:t>
      </w:r>
    </w:p>
    <w:p>
      <w:pPr>
        <w:spacing w:after="0" w:line="1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and fortify the Company's key assets in the portfolio;</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consolidate selected joint venture assets over time that are core to the Company's overall strategy;</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post-deleveraging Funds From Operations ("FFO") launch point goal over the next three to four years;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outstanding operational results through rigorous internal process improvements; and</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the Company to take an offensive stance on acquisitions, reinvestment and selected development.</w:t>
      </w:r>
    </w:p>
    <w:p>
      <w:pPr>
        <w:spacing w:after="0" w:line="135"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The Company may achieve these goals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 Additionally, as part of the Path Forward Plan, the Company is targeting for disposition certain outparcels, freestanding retail assets, non-enclosed mall assets and vacant land. The Company also began acquiring properties in June 2025 with the acquisition of Crabtree Mall and will continue to look for other strategic acquisition opportunities that would compliment the Company's portfolio.</w:t>
      </w:r>
    </w:p>
    <w:p>
      <w:pPr>
        <w:spacing w:after="0" w:line="125" w:lineRule="exact"/>
        <w:rPr>
          <w:sz w:val="20"/>
          <w:szCs w:val="20"/>
          <w:color w:val="auto"/>
        </w:rPr>
      </w:pPr>
    </w:p>
    <w:p>
      <w:pPr>
        <w:jc w:val="both"/>
        <w:ind w:right="120" w:firstLine="434"/>
        <w:spacing w:after="0" w:line="256" w:lineRule="auto"/>
        <w:rPr>
          <w:sz w:val="20"/>
          <w:szCs w:val="20"/>
          <w:color w:val="auto"/>
        </w:rPr>
      </w:pPr>
      <w:r>
        <w:rPr>
          <w:rFonts w:ascii="Times New Roman" w:cs="Times New Roman" w:eastAsia="Times New Roman" w:hAnsi="Times New Roman"/>
          <w:sz w:val="18"/>
          <w:szCs w:val="18"/>
          <w:color w:val="auto"/>
        </w:rPr>
        <w:t>In May 2025, as a further update to the Company’s Path Forward Plan and to provide a strategic disposition plan that refines the portfolio and creates a more focused platform for growth, the Company identified the following Centers as the go-forward portfolio Centers (the “Go-Forward Portfolio Centers”). The Go-Forward Portfolio Centers are subject to change.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Arrowhead Towne Center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Kierland Commons (b)</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Broadway Plaza (b)</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Kings Plaza Shopping Center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Chandler Fashion Center (b)</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Los Cerritos Center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Corte Madera, The Village at (b)</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NorthPark Mall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Crabtree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Pacific View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Danbury Fair Mall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Queens Center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Deptford Mall (b)</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SanTan Village Regional Center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Desert Sky Mall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Scottsdale Fashion Square (b)</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Eastland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South Plains Mall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Fashion District Philadelphia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Stonewood Center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Fashion Outlets of Chicago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Superstition Springs Center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Flatiron Crossing (b)</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Tysons Corner Center (b)</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Freehold Raceway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Valley River Center (a)</w:t>
            </w:r>
          </w:p>
        </w:tc>
      </w:tr>
      <w:tr>
        <w:trPr>
          <w:trHeight w:val="22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Fresno Fashion Fair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Victor Valley, Mall of (a)</w:t>
            </w:r>
          </w:p>
        </w:tc>
      </w:tr>
      <w:tr>
        <w:trPr>
          <w:trHeight w:val="224"/>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Green Acres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Vintage Faire Mall (a)</w:t>
            </w:r>
          </w:p>
        </w:tc>
      </w:tr>
      <w:tr>
        <w:trPr>
          <w:trHeight w:val="228"/>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Inland Center (a)</w:t>
            </w:r>
          </w:p>
        </w:tc>
        <w:tc>
          <w:tcPr>
            <w:tcW w:w="6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Washington Square (a)</w:t>
            </w:r>
          </w:p>
        </w:tc>
      </w:tr>
    </w:tbl>
    <w:p>
      <w:pPr>
        <w:spacing w:after="0" w:line="258" w:lineRule="exact"/>
        <w:rPr>
          <w:sz w:val="20"/>
          <w:szCs w:val="20"/>
          <w:color w:val="auto"/>
        </w:rPr>
      </w:pPr>
    </w:p>
    <w:p>
      <w:pPr>
        <w:ind w:left="720" w:hanging="224"/>
        <w:spacing w:after="0"/>
        <w:tabs>
          <w:tab w:leader="none" w:pos="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Consolidated Centers</w:t>
      </w:r>
    </w:p>
    <w:p>
      <w:pPr>
        <w:spacing w:after="0" w:line="26" w:lineRule="exact"/>
        <w:rPr>
          <w:rFonts w:ascii="Times New Roman" w:cs="Times New Roman" w:eastAsia="Times New Roman" w:hAnsi="Times New Roman"/>
          <w:sz w:val="16"/>
          <w:szCs w:val="16"/>
          <w:color w:val="auto"/>
        </w:rPr>
      </w:pPr>
    </w:p>
    <w:p>
      <w:pPr>
        <w:ind w:left="720" w:hanging="224"/>
        <w:spacing w:after="0"/>
        <w:tabs>
          <w:tab w:leader="none" w:pos="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Unconsolidated Joint Venture Centers</w:t>
      </w:r>
    </w:p>
    <w:p>
      <w:pPr>
        <w:spacing w:after="0" w:line="233" w:lineRule="exact"/>
        <w:rPr>
          <w:sz w:val="20"/>
          <w:szCs w:val="20"/>
          <w:color w:val="auto"/>
        </w:rPr>
      </w:pPr>
    </w:p>
    <w:p>
      <w:pPr>
        <w:ind w:right="440" w:firstLine="434"/>
        <w:spacing w:after="0" w:line="268" w:lineRule="auto"/>
        <w:rPr>
          <w:sz w:val="20"/>
          <w:szCs w:val="20"/>
          <w:color w:val="auto"/>
        </w:rPr>
      </w:pPr>
      <w:r>
        <w:rPr>
          <w:rFonts w:ascii="Times New Roman" w:cs="Times New Roman" w:eastAsia="Times New Roman" w:hAnsi="Times New Roman"/>
          <w:sz w:val="18"/>
          <w:szCs w:val="18"/>
          <w:color w:val="auto"/>
        </w:rPr>
        <w:t>Further, the Company has a long-term four-pronged business strategy that focuses on the acquisition, leasing and management, redevelopment and development of regional retail centers. Although some of the key performance indicators at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Centers continued to improve during 2024 and the first three quarters of 2025, including a strong start to 2025 leasing volume and leasing spreads, operating results in 2025 have been and are expected to continue to be negatively impacted by certain external factors, including sustained inflation, tariffs and elevated interest rates, as well as the impact from the bankruptcies of Express, Forever 21 and Claire's and any future tenant bankruptcies.</w:t>
      </w:r>
    </w:p>
    <w:p>
      <w:pPr>
        <w:spacing w:after="0" w:line="101"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Traffic levels at the Company’s Centers for the first three quarters of 2025 increased by 0.1% from 2024 levels for the same time period. Portfolio tenant sales per square foot from spaces less than 10,000 square feet for the trailing twelve months ended September 30, 2025 were $867 compared to $837 for the year ended December 31, 2024. Comparable tenant sales from spaces less than 10,000 square feet across the portfolio for the quarter ended September 30, 2025 increased by 3.1% compared to the same period in 2024.</w:t>
      </w:r>
    </w:p>
    <w:p>
      <w:pPr>
        <w:spacing w:after="0" w:line="118"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During the first three quarters of 2025, the Company signed 888 leases for approximately 5.4 million square feet, compared to 621 leases and 2.9 million square feet leased during the same period in 2024, representing an 85% increase in the amount of square footage leased and a 43% increase in the number of leases signed on a comparable center basis.</w:t>
      </w:r>
    </w:p>
    <w:p>
      <w:pPr>
        <w:spacing w:after="0" w:line="114" w:lineRule="exact"/>
        <w:rPr>
          <w:sz w:val="20"/>
          <w:szCs w:val="20"/>
          <w:color w:val="auto"/>
        </w:rPr>
      </w:pPr>
    </w:p>
    <w:p>
      <w:pPr>
        <w:ind w:right="100" w:firstLine="434"/>
        <w:spacing w:after="0" w:line="250" w:lineRule="auto"/>
        <w:rPr>
          <w:sz w:val="20"/>
          <w:szCs w:val="20"/>
          <w:color w:val="auto"/>
        </w:rPr>
      </w:pPr>
      <w:r>
        <w:rPr>
          <w:rFonts w:ascii="Times New Roman" w:cs="Times New Roman" w:eastAsia="Times New Roman" w:hAnsi="Times New Roman"/>
          <w:sz w:val="18"/>
          <w:szCs w:val="18"/>
          <w:color w:val="auto"/>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quarter ended September 30, 2025, the Company signed leases for new stores with new-to-Macerich portfolio uses for 99,000 square feet, with another 346,000 square feet of such new-to-Macerich portfolio leases currently in negotiation as of the date of this Quarterly Report on Form 10-Q.</w:t>
      </w:r>
    </w:p>
    <w:p>
      <w:pPr>
        <w:spacing w:after="0" w:line="106" w:lineRule="exact"/>
        <w:rPr>
          <w:sz w:val="20"/>
          <w:szCs w:val="20"/>
          <w:color w:val="auto"/>
        </w:rPr>
      </w:pPr>
    </w:p>
    <w:p>
      <w:pPr>
        <w:ind w:right="460" w:firstLine="434"/>
        <w:spacing w:after="0" w:line="268" w:lineRule="auto"/>
        <w:rPr>
          <w:sz w:val="20"/>
          <w:szCs w:val="20"/>
          <w:color w:val="auto"/>
        </w:rPr>
      </w:pPr>
      <w:r>
        <w:rPr>
          <w:rFonts w:ascii="Times New Roman" w:cs="Times New Roman" w:eastAsia="Times New Roman" w:hAnsi="Times New Roman"/>
          <w:sz w:val="18"/>
          <w:szCs w:val="18"/>
          <w:color w:val="auto"/>
        </w:rPr>
        <w:t>As of September 30, 2025, the leased occupancy rate was 93.4%, a 0.3% decrease compared to the leased occupancy rate at September 30, 2024 of 93.7% and a 1.4% sequential increase compared to the 92.0% occupancy rate at June 30, 2025.</w:t>
      </w:r>
    </w:p>
    <w:p>
      <w:pPr>
        <w:spacing w:after="0" w:line="104" w:lineRule="exact"/>
        <w:rPr>
          <w:sz w:val="20"/>
          <w:szCs w:val="20"/>
          <w:color w:val="auto"/>
        </w:rPr>
      </w:pPr>
    </w:p>
    <w:p>
      <w:pPr>
        <w:ind w:right="160" w:firstLine="434"/>
        <w:spacing w:after="0" w:line="332" w:lineRule="auto"/>
        <w:rPr>
          <w:sz w:val="20"/>
          <w:szCs w:val="20"/>
          <w:color w:val="auto"/>
        </w:rPr>
      </w:pPr>
      <w:r>
        <w:rPr>
          <w:rFonts w:ascii="Times New Roman" w:cs="Times New Roman" w:eastAsia="Times New Roman" w:hAnsi="Times New Roman"/>
          <w:sz w:val="16"/>
          <w:szCs w:val="16"/>
          <w:color w:val="auto"/>
        </w:rPr>
        <w:t>Many of the Company’s leases contain co-tenancy clauses. Certain Anchor or small tenant closures have become vacant, and co-tenancy clauses within certain leases may be triggered as a result. The Company does not anticipate that the negative impact of such clauses on lease revenue will be significant.</w:t>
      </w:r>
    </w:p>
    <w:p>
      <w:pPr>
        <w:spacing w:after="0" w:line="57" w:lineRule="exact"/>
        <w:rPr>
          <w:sz w:val="20"/>
          <w:szCs w:val="20"/>
          <w:color w:val="auto"/>
        </w:rPr>
      </w:pPr>
    </w:p>
    <w:p>
      <w:pPr>
        <w:ind w:right="80" w:firstLine="434"/>
        <w:spacing w:after="0" w:line="248" w:lineRule="auto"/>
        <w:rPr>
          <w:sz w:val="20"/>
          <w:szCs w:val="20"/>
          <w:color w:val="auto"/>
        </w:rPr>
      </w:pPr>
      <w:r>
        <w:rPr>
          <w:rFonts w:ascii="Times New Roman" w:cs="Times New Roman" w:eastAsia="Times New Roman" w:hAnsi="Times New Roman"/>
          <w:sz w:val="18"/>
          <w:szCs w:val="18"/>
          <w:color w:val="auto"/>
        </w:rPr>
        <w:t>The pace of bankruptcy filings involving the Company’s tenants has remained steady in recent years but is substantially lower than 2021 levels. For the year ended December 31, 2024, there were 13 bankruptcy filings involving the Company’s tenants, including the bankruptcy of Express, totaling 54 leases and representing approximately 369,000 square feet of leased space and $21.7 million of annual leasing revenue at the Company’s share. Year-to-date 2025, there were seven bankruptcy filings involving the Company’s tenants, including the bankruptcies of Forever 21 and Claire's, totaling 66 leases and representing approximately 873,000 square feet of leased space and approximately $12.8 million of annual leasing revenue at the Company’s share. Based on current information and market data, the Company expects that the pace of bankruptcy filings in 2025 will be lower than the average bankruptcy rate over the last decade but the Company will continue to monitor the impact of tariffs and other economic conditions on the Company's tenants.</w:t>
      </w:r>
    </w:p>
    <w:p>
      <w:pPr>
        <w:spacing w:after="0" w:line="108" w:lineRule="exact"/>
        <w:rPr>
          <w:sz w:val="20"/>
          <w:szCs w:val="20"/>
          <w:color w:val="auto"/>
        </w:rPr>
      </w:pPr>
    </w:p>
    <w:p>
      <w:pPr>
        <w:ind w:right="160" w:firstLine="434"/>
        <w:spacing w:after="0" w:line="252" w:lineRule="auto"/>
        <w:rPr>
          <w:sz w:val="20"/>
          <w:szCs w:val="20"/>
          <w:color w:val="auto"/>
        </w:rPr>
      </w:pPr>
      <w:r>
        <w:rPr>
          <w:rFonts w:ascii="Times New Roman" w:cs="Times New Roman" w:eastAsia="Times New Roman" w:hAnsi="Times New Roman"/>
          <w:sz w:val="18"/>
          <w:szCs w:val="18"/>
          <w:color w:val="auto"/>
        </w:rPr>
        <w:t>During 2025, the Company expects to generate positive cash flow after recurring operating capital expenditures, leasing capital expenditures and payment of dividends. This assumption does not include any potential capital generated from dispositions, refinancings or issuances of common stock. To the extent available, any excess cash flow may be used to fund the Company’s development and redevelopment pipeline and/or de-lever the Company’s balance sheet.</w:t>
      </w:r>
    </w:p>
    <w:p>
      <w:pPr>
        <w:spacing w:after="0" w:line="118" w:lineRule="exact"/>
        <w:rPr>
          <w:sz w:val="20"/>
          <w:szCs w:val="20"/>
          <w:color w:val="auto"/>
        </w:rPr>
      </w:pPr>
    </w:p>
    <w:p>
      <w:pPr>
        <w:ind w:right="400" w:firstLine="434"/>
        <w:spacing w:after="0" w:line="252"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ten completed transactions from the beginning of 2024 through the first three quarters of 2025, totaling approximately $1.9 billion, or approximately $1.7 billion at the Company’s pro rata share. For additional information on the Company’s financing transactions in the year ended 2024 through the date of this Quarterly Report on Form 10-Q, see “Financing Activities” in Management’s Overview and Summary.</w:t>
      </w:r>
    </w:p>
    <w:p>
      <w:pPr>
        <w:spacing w:after="0" w:line="118"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On April 9, 2024, the Company defaulted on the $300.0 million non-recourse loan on Santa Monica Place and during the first quarter of 2025, completed the transition of the property to a receiver. The Company is still the owner of record of the property.</w:t>
      </w:r>
    </w:p>
    <w:p>
      <w:pPr>
        <w:spacing w:after="0" w:line="90"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Interest rates have increased, and may continue to increase, the cost of the Company’s borrowings due to its outstanding floating-rate debt and have led, and may continue to lead, to higher interest rates on new fixed-rate debt. While interest rates have begun to decrease, they remain elevated and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2025 and 2024</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50"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Leasing revenue increased by $33.8 million, or 16.6%, from 2024 to 2025. The increase in leasing revenue is attributed to increases of $30.6 million from the JV Transition Centers and $11.0 million from the Acquisition Property offset in part by decreases of $4.8 million from the Disposition Properties and $2.1 million from the Same Centers. Leasing revenue includes the amortization of above and below-market leases, the amortization of straight-line rents, lease termination income, percentage rent and the recovery of bad debts. The amortization of above and below-market leases was $0.7 million for both 2024 and 2025. The amortization of straight-line rents increased from $1.1 million in 2024 to $2.2 million in 2025. Lease termination income increased from $0.2 million in 2024 to $0.8 million in 2025. Percentage rent increased from $6.2 million in 2024 to $6.9 million in 2025. Provisions for bad debts increased from $0.1 million in 2024 to $1.0 million in 2025.</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37" w:lineRule="exact"/>
        <w:rPr>
          <w:sz w:val="20"/>
          <w:szCs w:val="20"/>
          <w:color w:val="auto"/>
        </w:rPr>
      </w:pPr>
    </w:p>
    <w:p>
      <w:pPr>
        <w:ind w:right="160" w:firstLine="434"/>
        <w:spacing w:after="0" w:line="256" w:lineRule="auto"/>
        <w:rPr>
          <w:sz w:val="20"/>
          <w:szCs w:val="20"/>
          <w:color w:val="auto"/>
        </w:rPr>
      </w:pPr>
      <w:r>
        <w:rPr>
          <w:rFonts w:ascii="Times New Roman" w:cs="Times New Roman" w:eastAsia="Times New Roman" w:hAnsi="Times New Roman"/>
          <w:sz w:val="18"/>
          <w:szCs w:val="18"/>
          <w:color w:val="auto"/>
        </w:rPr>
        <w:t>Shopping center and operating expenses increased $4.6 million, or 6.2%, from 2024 to 2025. The increase in shopping center and operating expenses is attributed to increases of $6.6 million from the JV Transition Centers and $2.8 million from the Acquisition Property offset in part by a decreases of $3.2 million from the Disposition Properties and $2.2 million from the Same Centers.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50"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Management Companies' operating expenses increased $1.3 million from 2024 to 2025 due to an increase in compensation expense, including employee severance costs of $0.2 million.</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Depreciation and amortization increased $17.6 million from 2024 to 2025. The increase in depreciation and amortization is attributed to an increase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$10.6 million from the JV Transition Centers, $6.8 million from the Acquisition Property and $1.0 million from the Same Centers offset in part by a decrease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million from the Disposition Properties. Additionally, $1.4 million of the increase is attributable to Santa Monica Place.</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37"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Interest expense increased $15.6 million from 2024 to 2025. The increase in interest expense is attributed to increases of $11.0 million from the JV Transition Centers, $3.2 million from the Same Centers, $0.3 million from the Disposition Properties and $1.8 million from the Acquisition Property offset in part by a decrease of $0.9 million from lower outstanding balances on the Company's revolving credit facility.</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Equity in Income (Loss) of Unconsolidated Joint Ventures:</w:t>
      </w:r>
    </w:p>
    <w:p>
      <w:pPr>
        <w:spacing w:after="0" w:line="150"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Equity in income (loss) of unconsolidated joint ventures increased $84.7 million from 2024 to 2025. The increase in equity in income (loss) of unconsolidated joint ventures is primarily due to impairment losses of $67.0 million recognized in 2024 as a result of the reduction in the estimated holding period of properties held by certain unconsolidated joint ventures and a gain of approximately $12.0 million from the sale of Atlas Park in 2025 (See Note 4— Investments in Unconsolidated Joint Ventures in the Notes to the Consolidated Financial Statements).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Loss on Sale or Write Down of Assets, net:</w:t>
      </w:r>
    </w:p>
    <w:p>
      <w:pPr>
        <w:spacing w:after="0" w:line="150" w:lineRule="exact"/>
        <w:rPr>
          <w:sz w:val="20"/>
          <w:szCs w:val="20"/>
          <w:color w:val="auto"/>
        </w:rPr>
      </w:pPr>
    </w:p>
    <w:p>
      <w:pPr>
        <w:ind w:right="200" w:firstLine="434"/>
        <w:spacing w:after="0" w:line="252" w:lineRule="auto"/>
        <w:rPr>
          <w:sz w:val="20"/>
          <w:szCs w:val="20"/>
          <w:color w:val="auto"/>
        </w:rPr>
      </w:pPr>
      <w:r>
        <w:rPr>
          <w:rFonts w:ascii="Times New Roman" w:cs="Times New Roman" w:eastAsia="Times New Roman" w:hAnsi="Times New Roman"/>
          <w:sz w:val="18"/>
          <w:szCs w:val="18"/>
          <w:color w:val="auto"/>
        </w:rPr>
        <w:t>Loss on sale or write down of assets, net increased $56.0 million from 2024 to 2025 primarily due to the impairment loss of $91.0 million at Santa Monica Place and the gain of $21.1 million from the sale of Lakewood Center in 2025 offset in part by the $42.8 million gain from the sale of the Company's ownership interest in Biltmore Fashion Park and impairment losses of $67.0 million in 2024 (See Note 6—Property, net in the Notes to the Consolidated Financial Statements).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37"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Net loss decreased $22.1 million from 2024 to 2025. The decrease in net loss is primarily due to the increase in equity in income (loss) of unconsolidated joint ventures offset in part by the increase in loss on sale or write down of assets, net as discussed above.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37"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accrued default interest expense and loss on non-real estate investments increased from $86.0 million in 2024 to $93.4 million in 2025. For a reconciliation of net loss attributable to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 the most directly comparable GAAP financial measure, to FFO attributable to common stockholders and unit holders—diluted, and FFO attributable to common stockholders and unit holders, excluding financing expense in connection with Chandler Freehold, accrued default interest expense and loss on non-real estate investments—diluted, see "Funds From Operations ("FFO")" below.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September 30, 2025 and 2024</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50" w:lineRule="exact"/>
        <w:rPr>
          <w:sz w:val="20"/>
          <w:szCs w:val="20"/>
          <w:color w:val="auto"/>
        </w:rPr>
      </w:pPr>
    </w:p>
    <w:p>
      <w:pPr>
        <w:ind w:right="20" w:firstLine="434"/>
        <w:spacing w:after="0" w:line="248" w:lineRule="auto"/>
        <w:rPr>
          <w:sz w:val="20"/>
          <w:szCs w:val="20"/>
          <w:color w:val="auto"/>
        </w:rPr>
      </w:pPr>
      <w:r>
        <w:rPr>
          <w:rFonts w:ascii="Times New Roman" w:cs="Times New Roman" w:eastAsia="Times New Roman" w:hAnsi="Times New Roman"/>
          <w:sz w:val="18"/>
          <w:szCs w:val="18"/>
          <w:color w:val="auto"/>
        </w:rPr>
        <w:t>Leasing revenue increased by $112.5 million, or 19.0%, from 2024 to 2025. The increase in leasing revenue is attributed to increases of $96.2 million from the JV Transition Centers, $8.6 million from the Same Centers and $12.0 million from the Acquisition Property offset in part by decreases of $0.9 million from the Disposition Properties and $3.4 million from Santa Monica Place. Leasing revenue includes the amortization of above and below-market leases, the amortization of straight-line rents, lease termination income, percentage rent and the recovery of bad debts. The amortization of above and below-market leases increased from $3.2 million in 2024 to $3.7 million in 2025. Straight-line rents increased from $(2.6) million in 2024 to $2.7 million in 2025. Lease termination income increased from $1.4 million in 2024 to $6.3 million in 2025. Percentage rent increased from $11.7 million in 2024 to $15.3 million in 2025. Provisions for bad debts decreased from $4.6 million in 2024 to $3.3 million in 2025.</w:t>
      </w:r>
    </w:p>
    <w:p>
      <w:pPr>
        <w:spacing w:after="0" w:line="108"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Management Companies' revenue decreased 26.4% from $22.1 million in 2024 to $16.3 million in 2025 primarily due to a decrease in management fees from the JV Transition Centers.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50"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Shopping center and operating expenses increased $25.0 million, or 11.4%, from 2024 to 2025. The increase in shopping center and operating expenses is attributed to an increase of $5.9 million from the Same Centers, which is primarily due to increased property taxes, maintenance and utilities costs, $18.6 million from the JV Transition Centers and $3.0 million from the Acquisition Property offset in part by a decrease of $3.5 million from the Disposition Properties.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Leasing expenses increased from $30.0 million in 2024 to $32.5 million in 2025 due primarily to an increase in compensation expense.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37"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Management Companies' operating expenses increased $5.3 million from 2024 to 2025 due primarily to an increase in compensation expense, including employee severance costs increase of $1.6 million.</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increased $58.6 million from 2024 to 2025. The increase in depreciation and amortization is attributed to increases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$45.3 million from the JV Transition Centers, $5.8 million from the Same Centers and $7.5 million from the Acquisition Property offset in part by a decrease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million from the Disposition Properties. Additionally, $1.3 million of the increase is attributable to Santa Monica Place.</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50" w:lineRule="exact"/>
        <w:rPr>
          <w:sz w:val="20"/>
          <w:szCs w:val="20"/>
          <w:color w:val="auto"/>
        </w:rPr>
      </w:pPr>
    </w:p>
    <w:p>
      <w:pPr>
        <w:ind w:firstLine="434"/>
        <w:spacing w:after="0" w:line="284" w:lineRule="auto"/>
        <w:rPr>
          <w:sz w:val="20"/>
          <w:szCs w:val="20"/>
          <w:color w:val="auto"/>
        </w:rPr>
      </w:pPr>
      <w:r>
        <w:rPr>
          <w:rFonts w:ascii="Times New Roman" w:cs="Times New Roman" w:eastAsia="Times New Roman" w:hAnsi="Times New Roman"/>
          <w:sz w:val="16"/>
          <w:szCs w:val="16"/>
          <w:color w:val="auto"/>
        </w:rPr>
        <w:t>Interest expense increased $64.6 million from 2024 to 2025. The increase in interest expense is attributed to increases of $38.2 million from the JV Transition Centers, $11.3 million from the financing arrangement discussed in Note 12 in the Company's Notes to the Consolidated Financial Statements, $8.7 million from the Same Centers, $7.8 million from the Disposition Properties and $1.8 million from the Acquisition Property offset in part by a decrease of $6.7 million from lower outstanding balances on the Company's revolving credit facility. Additionally, $3.5 million of the increase is attributable to Santa Monica Place, which includes default interest expense of $9.1 million. The increase in interest expense from the financing arrangement is primarily due to the change in fair value of the underlying properties and the mortgage notes payable on the underlying properties and Chandler Fashion Center no longer being accounted for as a financing arrangement (See Note 12—Financing Arrangement in the Notes to the Consolidated Financial Statements).</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Equity in Income (Loss) of Unconsolidated Joint Ventures:</w:t>
      </w:r>
    </w:p>
    <w:p>
      <w:pPr>
        <w:spacing w:after="0" w:line="137"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Equity in income (loss) of unconsolidated joint ventures increased $213.5 million from 2024 to 2025. The increase in equity in income (loss) of unconsolidated joint ventures is primarily due to the write-down of the Company's investment in Los Angeles Premium Outlets of $57.7 million during the first quarter of 2024 and impairment losses of $120.6 million recognized in 2024 as a result of the reduction in the estimated holding period of properties held by certain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(Loss) Gain on Sale or Write Down of Assets, net:</w:t>
      </w:r>
    </w:p>
    <w:p>
      <w:pPr>
        <w:spacing w:after="0" w:line="137"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(Loss) gain on sale or write down of assets, net increased $369.4 million from 2024 to 2025. The increase is primarily due to the gains recognized in 2024 of $334.3 million relating to the Company no longer accounting for its investment in Chandler Fashion Center as a financing arrangement (See Note 12— Financing Arrangement and Note 16—Dispositions in the Company's Notes to the Consolidated Financial Statements) and $42.8 million from the sale of the Company's ownership interest in Biltmore Fashion Park offset in part by $21.1 million gain recognized from the sale of Lakewood Center in 2025 (See Note 6 —Property, net in the Notes to the Consolidated Financial Statements).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50"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Net (loss) income decreased $204.6 million from 2024 to 2025. The decrease in net (loss) income is primarily due to the gains recognized in 2024 of $334.3 million relating to Chandler Fashion Center along with the other variances noted above.</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50" w:lineRule="exact"/>
        <w:rPr>
          <w:sz w:val="20"/>
          <w:szCs w:val="20"/>
          <w:color w:val="auto"/>
        </w:rPr>
      </w:pPr>
    </w:p>
    <w:p>
      <w:pPr>
        <w:ind w:right="20" w:firstLine="434"/>
        <w:spacing w:after="0" w:line="249"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accrued default interest expense and loss on non-real estate investments increased 7.8% from $248.7 million in 2024 to $268.1 million in 2025. For a reconciliation of net (loss) income attributable to the Company, the most directly comparable GAAP financial measure, to FFO attributable to common stockholders and unit holders—diluted, and FFO attributable to common stockholders and unit holders, excluding financing expense in connection with Chandler Freehold, accrued default interest expense and loss on non-real estate investments—diluted, see "Funds From Operations ("FFO")" below.</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Cash provided by operating activities increased $42.8 million from 2024 to 2025. The increase is primarily due to the changes in assets and liabilities and the results, as discussed above.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increased $300.8 million from 2024 to 2025. The increase in cash used in investing activities is primarily attributed to increases in acquisitions of property of $225.1 million and contributions to unconsolidated joint ventures of $98.2 million. The increase in acquisitions of property is due to the acquisition of Crabtree Mall (See "Acquisitions" in Management's Overview and Summary). The increase in contributions to unconsolidated joint ventures is primarily due to contributions to Flatiron Crossing in 2025 to payoff the remaining loan balance (See “Financing Activities” in Management’s Overview and Summary).</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0"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Cash provided by (used in) financing activities increased $421.4 million from 2024 to 2025. The increase in cash provided by (used in) financing activities is primarily due to a decrease in payments on mortgages, bank and other notes payable of $341.6 million and an increase in proceeds from mortgages, bank and other notes payable of $199.1 million offset in part by a decrease in proceeds from stock offering of $100.1 million and an increase in dividends and distributions of $22.0 million.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7"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revolving credit facility.</w:t>
      </w:r>
    </w:p>
    <w:p>
      <w:pPr>
        <w:spacing w:after="0" w:line="114" w:lineRule="exact"/>
        <w:rPr>
          <w:sz w:val="20"/>
          <w:szCs w:val="20"/>
          <w:color w:val="auto"/>
        </w:rPr>
      </w:pPr>
    </w:p>
    <w:p>
      <w:pPr>
        <w:ind w:right="220" w:firstLine="434"/>
        <w:spacing w:after="0" w:line="248" w:lineRule="auto"/>
        <w:rPr>
          <w:sz w:val="20"/>
          <w:szCs w:val="20"/>
          <w:color w:val="auto"/>
        </w:rPr>
      </w:pPr>
      <w:r>
        <w:rPr>
          <w:rFonts w:ascii="Times New Roman" w:cs="Times New Roman" w:eastAsia="Times New Roman" w:hAnsi="Times New Roman"/>
          <w:sz w:val="18"/>
          <w:szCs w:val="18"/>
          <w:color w:val="auto"/>
        </w:rPr>
        <w:t>Additionally, the Company is focused on implementing the Path Forward Plan, including its goal to reduce its Net Debt to Adjusted EBITDA leverage ratio to a lower level over the next three to four years. The Company may achieve this goal, and other goals set in connection with the Path Forward Plan,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capital expenditures incurred at the Centers (at the Company's pro rata share):</w:t>
      </w:r>
    </w:p>
    <w:p>
      <w:pPr>
        <w:spacing w:after="0" w:line="16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property(1)</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44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27,776</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66,924</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0" w:type="dxa"/>
            <w:vAlign w:val="bottom"/>
          </w:tcPr>
          <w:p>
            <w:pPr>
              <w:spacing w:after="0"/>
              <w:rPr>
                <w:sz w:val="1"/>
                <w:szCs w:val="1"/>
                <w:color w:val="auto"/>
              </w:rPr>
            </w:pPr>
          </w:p>
        </w:tc>
      </w:tr>
      <w:tr>
        <w:trPr>
          <w:trHeight w:val="224"/>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403,279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152,492</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Joint Venture Centers: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44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27,433</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0" w:type="dxa"/>
            <w:vAlign w:val="bottom"/>
          </w:tcPr>
          <w:p>
            <w:pPr>
              <w:spacing w:after="0"/>
              <w:rPr>
                <w:sz w:val="1"/>
                <w:szCs w:val="1"/>
                <w:color w:val="auto"/>
              </w:rPr>
            </w:pPr>
          </w:p>
        </w:tc>
      </w:tr>
      <w:tr>
        <w:trPr>
          <w:trHeight w:val="224"/>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72,284</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20" w:right="280" w:hanging="315"/>
        <w:spacing w:after="0" w:line="255" w:lineRule="auto"/>
        <w:tabs>
          <w:tab w:leader="none" w:pos="22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nine months ended September 30, 2025, this includes the $290.0 million acquisition of Crabtree Mall, excluding closing adjustments and other related transaction costs. For the nine months ended September 30, 2024, this includes the cash paid of $36.4 million on May 14, 2024, for the Company's acquisition of its joint venture partner's 40% interest in Arrowhead Towne Center and South Plains Mall. The total purchase price also included the assumption of the partner's share of debt. The Company now owns 100% of these regional retail centers (See Note 15—Acquisitions in the Notes to the Consolidated Financial Statements).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approximately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 million to $75.0 million. The Company expects to incur approximately $250.0 million to $300.0 million during the next twelve months for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redevelopment, expansion and renovations, which includes Scottsdale Fashion Square, Green Acres Mall and FlatIron Crossing (See "Redevelopment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Activities" in Management’s Overview and Summary). Capital for these expenditures, developments and/or redevelopments has been, and 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continue to be, obtained from a combination of cash on hand, cash generated from operations, asset sales, debt or equity financings, which may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 borrowings under the Company's revolving loan facility and sales of common stock, from property financings and construction loans, each to the extent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available. The Company will be very selective in undertaking any future development or redevelopment projects and may choose to pause existing projects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they are no longer economically viable.</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50" w:lineRule="exact"/>
        <w:rPr>
          <w:sz w:val="20"/>
          <w:szCs w:val="20"/>
          <w:color w:val="auto"/>
        </w:rPr>
      </w:pPr>
    </w:p>
    <w:p>
      <w:pPr>
        <w:ind w:right="80" w:firstLine="434"/>
        <w:spacing w:after="0" w:line="247"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Asset sales will focus on whether a property is core to the Company's strategy and may include defaulting on certain mortgage debts on the Company's properties and giving possession of such secured properties to the lender. Since implementing the Path Forward Plan in the second quarter of 2024, the Company has sold joint venture interests in properties and consolidated properties as described in “— Dispositions” in Management’s Overview and Summary. The Company used its share of proceeds from these transactions to pay down its revolving credit facility and other debt obligations. During the nine months ended September 30, 2025 and the year ended December 31, 2024, the Company and certain joint venture partners sold various land parcels in separate transactions for aggregate proceeds of $14.3 million and $6.1 million (at the Company's share), respectively, which the Company used to pay down debt and for other general corporate purposes.</w:t>
      </w:r>
    </w:p>
    <w:p>
      <w:pPr>
        <w:spacing w:after="0" w:line="112"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04"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deducting the underwriting discount and offering costs of approximately $14.8 million. The Company used the proceeds from the offering, together with cash on hand, to repay the mortgage loan secured by its Washington Square property.</w:t>
      </w:r>
    </w:p>
    <w:p>
      <w:pPr>
        <w:spacing w:after="0" w:line="90" w:lineRule="exact"/>
        <w:rPr>
          <w:sz w:val="20"/>
          <w:szCs w:val="20"/>
          <w:color w:val="auto"/>
        </w:rPr>
      </w:pPr>
    </w:p>
    <w:p>
      <w:pPr>
        <w:ind w:right="120" w:firstLine="434"/>
        <w:spacing w:after="0" w:line="289" w:lineRule="auto"/>
        <w:rPr>
          <w:sz w:val="20"/>
          <w:szCs w:val="20"/>
          <w:color w:val="auto"/>
        </w:rPr>
      </w:pPr>
      <w:r>
        <w:rPr>
          <w:rFonts w:ascii="Times New Roman" w:cs="Times New Roman" w:eastAsia="Times New Roman" w:hAnsi="Times New Roman"/>
          <w:sz w:val="16"/>
          <w:szCs w:val="16"/>
          <w:color w:val="auto"/>
        </w:rPr>
        <w:t>On each of March 26, 2021 and November 12, 2024, the Company registered separate “at the market” offering programs, pursuant to which the Company may issue and sell shares of its common stock having an aggregate offering price of up to $500.0 million under each of the 2021 ATM Program and the 2024 ATM Program, in each case, in amounts and at times to be determined by the Company. The 2021 ATM Program was fully utilized as of September 30, 2024 and is no longer active. During the three months ended September 30, 2025, the Company issued shares of common stock under the 2024 ATM Program. The following table sets forth certain information with respect to issuances made under the 2024 ATM Program as of September 30, 2025.</w:t>
      </w:r>
    </w:p>
    <w:p>
      <w:pPr>
        <w:spacing w:after="0" w:line="123"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(Dollars and shares in thousands)</w:t>
            </w:r>
          </w:p>
        </w:tc>
        <w:tc>
          <w:tcPr>
            <w:tcW w:w="1180" w:type="dxa"/>
            <w:vAlign w:val="bottom"/>
          </w:tcPr>
          <w:p>
            <w:pPr>
              <w:spacing w:after="0"/>
              <w:rPr>
                <w:sz w:val="16"/>
                <w:szCs w:val="16"/>
                <w:color w:val="auto"/>
              </w:rPr>
            </w:pPr>
          </w:p>
        </w:tc>
        <w:tc>
          <w:tcPr>
            <w:tcW w:w="1740" w:type="dxa"/>
            <w:vAlign w:val="bottom"/>
            <w:gridSpan w:val="3"/>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w w:val="98"/>
              </w:rPr>
              <w:t>2024 ATM Program(1)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8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1"/>
                <w:szCs w:val="11"/>
                <w:color w:val="auto"/>
              </w:rPr>
            </w:pPr>
          </w:p>
        </w:tc>
        <w:tc>
          <w:tcPr>
            <w:tcW w:w="104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Sales Commissions</w:t>
            </w:r>
          </w:p>
        </w:tc>
        <w:tc>
          <w:tcPr>
            <w:tcW w:w="0" w:type="dxa"/>
            <w:vAlign w:val="bottom"/>
          </w:tcPr>
          <w:p>
            <w:pPr>
              <w:spacing w:after="0"/>
              <w:rPr>
                <w:sz w:val="1"/>
                <w:szCs w:val="1"/>
                <w:color w:val="auto"/>
              </w:rPr>
            </w:pPr>
          </w:p>
        </w:tc>
      </w:tr>
      <w:tr>
        <w:trPr>
          <w:trHeight w:val="190"/>
        </w:trPr>
        <w:tc>
          <w:tcPr>
            <w:tcW w:w="324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49,044</w:t>
            </w:r>
          </w:p>
        </w:tc>
        <w:tc>
          <w:tcPr>
            <w:tcW w:w="48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49,044</w:t>
            </w:r>
          </w:p>
        </w:tc>
        <w:tc>
          <w:tcPr>
            <w:tcW w:w="4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(1) The table does not reflect shares sold at the end of the quarter that did not settle until October 2025 (See Note 14-Stockholders' Equity).</w:t>
      </w:r>
    </w:p>
    <w:p>
      <w:pPr>
        <w:spacing w:after="0" w:line="159"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As of September 30, 2025, including sales of common stock that did not settle until October 2025, the Company had approximately $378.4 million of gross sales of its common stock available under the 2024 ATM Program.</w:t>
      </w:r>
    </w:p>
    <w:p>
      <w:pPr>
        <w:spacing w:after="0" w:line="90"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spacing w:after="0" w:line="118"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While interest rates have begun to decrease, they remain elevated and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119"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September 30, 2025 was $6.60 billion (consisting of $5.08 billion of consolidated debt, less $0.03 billion of noncontrolling interests, plus $1.56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revolving credit facility or cash on hand, with the exception of Santa Monica Place (See “—Financing Activities” in Management’s Overview and Summary). The Company expects that the $198.9 million mortgage loan on South Plains Mall will be in technical default as of November 6, 2025, as the Company continues negotiations with the lender on the terms of the loan.</w:t>
      </w:r>
    </w:p>
    <w:p>
      <w:pPr>
        <w:spacing w:after="0" w:line="108"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1" w:lineRule="exact"/>
        <w:rPr>
          <w:sz w:val="20"/>
          <w:szCs w:val="20"/>
          <w:color w:val="auto"/>
        </w:rPr>
      </w:pPr>
    </w:p>
    <w:p>
      <w:pPr>
        <w:jc w:val="both"/>
        <w:ind w:right="140" w:firstLine="434"/>
        <w:spacing w:after="0" w:line="332" w:lineRule="auto"/>
        <w:rPr>
          <w:sz w:val="20"/>
          <w:szCs w:val="20"/>
          <w:color w:val="auto"/>
        </w:rPr>
      </w:pPr>
      <w:r>
        <w:rPr>
          <w:rFonts w:ascii="Times New Roman" w:cs="Times New Roman" w:eastAsia="Times New Roman" w:hAnsi="Times New Roman"/>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57" w:lineRule="exact"/>
        <w:rPr>
          <w:sz w:val="20"/>
          <w:szCs w:val="20"/>
          <w:color w:val="auto"/>
        </w:rPr>
      </w:pPr>
    </w:p>
    <w:p>
      <w:pPr>
        <w:ind w:right="240" w:firstLine="434"/>
        <w:spacing w:after="0" w:line="256" w:lineRule="auto"/>
        <w:rPr>
          <w:sz w:val="20"/>
          <w:szCs w:val="20"/>
          <w:color w:val="auto"/>
        </w:rPr>
      </w:pPr>
      <w:r>
        <w:rPr>
          <w:rFonts w:ascii="Times New Roman" w:cs="Times New Roman" w:eastAsia="Times New Roman" w:hAnsi="Times New Roman"/>
          <w:sz w:val="18"/>
          <w:szCs w:val="18"/>
          <w:color w:val="auto"/>
        </w:rPr>
        <w:t>Additionally, as of September 30, 2025, the Company was contingently liable for $6.5 million in letters of credit guaranteeing performance by the Company of certain obligations relating to the Centers. As of September 30, 2025, $5.9 million of these letters of credit were secured by restricted cash. The Company does not believe that these letters of credit will result in a liability to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0" w:firstLine="434"/>
        <w:spacing w:after="0" w:line="252"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ten completed transactions from the beginning of 2024 through the first three quarters of 2025 totaling approximately $1.9 billion, or approximately $1.7 billion at the Company’s pro rata share. For additional information on the Company’s financing transactions in the year ended 2024 through the date of this Quarterly Report on Form 10-Q, see “Financing Activities” in Management’s Overview and Summary.</w:t>
      </w:r>
    </w:p>
    <w:p>
      <w:pPr>
        <w:spacing w:after="0" w:line="104" w:lineRule="exact"/>
        <w:rPr>
          <w:sz w:val="20"/>
          <w:szCs w:val="20"/>
          <w:color w:val="auto"/>
        </w:rPr>
      </w:pPr>
    </w:p>
    <w:p>
      <w:pPr>
        <w:ind w:firstLine="434"/>
        <w:spacing w:after="0" w:line="280" w:lineRule="auto"/>
        <w:rPr>
          <w:sz w:val="20"/>
          <w:szCs w:val="20"/>
          <w:color w:val="auto"/>
        </w:rPr>
      </w:pPr>
      <w:r>
        <w:rPr>
          <w:rFonts w:ascii="Times New Roman" w:cs="Times New Roman" w:eastAsia="Times New Roman" w:hAnsi="Times New Roman"/>
          <w:sz w:val="16"/>
          <w:szCs w:val="16"/>
          <w:color w:val="auto"/>
        </w:rPr>
        <w:t>On September 11, 2023, the Company and the Operating Partnership entered into an amended and restated credit agreement, which amended and restated their prior credit agreement, and provides for an aggregate $650.0 million revolving credit facility that matures on February 1, 2027, with a one-year extension option. The revolving credit facility can be expanded up to $950.0 million, subject to receipt of lender commitments and other conditions. All obligations under the revolving credit facility are guaranteed unconditionally by the Company and are secured in the form of mortgages on certain wholly-owned assets and pledges of equity interests held by certain of the Company’s subsidiaries. The revolving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As of September 30, 2025, the borrowing rate was SOFR plus a spread of 2.10%. As of September 30, 2025, there were no borrowings under the revolving credit facility. Unamortized deferred finance costs were $8.8 million as of September 30, 2025, which are netted against balances outstanding or within deferred charges and other assets, net when no borrowings are outstanding on the revolving credit facility, which was the case as of September 30, 2025. As of September 30, 2025, the Company's availability under the revolving credit facility for additional borrowings was $649.4 million.</w:t>
      </w:r>
    </w:p>
    <w:p>
      <w:pPr>
        <w:spacing w:after="0" w:line="314"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Cash dividends and distributions for the nine months ended September 30, 2025 were $142.0 million (including distributions from consolidated joint ventures of $4.1 million), which were funded by operations.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September 30, 2025, the Company was in compliance with all applicable loan covenants under its agreements.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September 30, 2025, the Company had cash and cash equivalents of $290.2 million.</w:t>
      </w:r>
    </w:p>
    <w:p>
      <w:pPr>
        <w:spacing w:after="0" w:line="3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Material Cash Commitments:</w:t>
      </w:r>
    </w:p>
    <w:p>
      <w:pPr>
        <w:spacing w:after="0" w:line="150"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September 30, 2025 for the Consolidated Centers over the periods in which they are expected to be paid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20" w:type="dxa"/>
            <w:vAlign w:val="bottom"/>
          </w:tcPr>
          <w:p>
            <w:pPr>
              <w:spacing w:after="0"/>
              <w:rPr>
                <w:sz w:val="10"/>
                <w:szCs w:val="10"/>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080" w:type="dxa"/>
            <w:vAlign w:val="bottom"/>
          </w:tcPr>
          <w:p>
            <w:pPr>
              <w:jc w:val="right"/>
              <w:ind w:right="299"/>
              <w:spacing w:after="0" w:line="12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right"/>
              <w:ind w:right="459"/>
              <w:spacing w:after="0" w:line="125"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439"/>
              <w:spacing w:after="0" w:line="125" w:lineRule="exact"/>
              <w:rPr>
                <w:sz w:val="20"/>
                <w:szCs w:val="20"/>
                <w:color w:val="auto"/>
              </w:rPr>
            </w:pPr>
            <w:r>
              <w:rPr>
                <w:rFonts w:ascii="Times New Roman" w:cs="Times New Roman" w:eastAsia="Times New Roman" w:hAnsi="Times New Roman"/>
                <w:sz w:val="14"/>
                <w:szCs w:val="14"/>
                <w:b w:val="1"/>
                <w:bCs w:val="1"/>
                <w:color w:val="auto"/>
              </w:rPr>
              <w:t>3 - 5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279"/>
              <w:spacing w:after="0" w:line="125"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1"/>
        </w:trPr>
        <w:tc>
          <w:tcPr>
            <w:tcW w:w="3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57"/>
        </w:trPr>
        <w:tc>
          <w:tcPr>
            <w:tcW w:w="35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Long-term debt obligations (includes expected</w:t>
            </w:r>
          </w:p>
        </w:tc>
        <w:tc>
          <w:tcPr>
            <w:tcW w:w="3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6,053,668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967,229</w:t>
            </w:r>
          </w:p>
        </w:tc>
        <w:tc>
          <w:tcPr>
            <w:tcW w:w="3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5"/>
              </w:rPr>
              <w:t>(3)</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1,998,961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1,101,421</w:t>
            </w:r>
          </w:p>
        </w:tc>
        <w:tc>
          <w:tcPr>
            <w:tcW w:w="0" w:type="dxa"/>
            <w:vAlign w:val="bottom"/>
          </w:tcPr>
          <w:p>
            <w:pPr>
              <w:spacing w:after="0"/>
              <w:rPr>
                <w:sz w:val="1"/>
                <w:szCs w:val="1"/>
                <w:color w:val="auto"/>
              </w:rPr>
            </w:pPr>
          </w:p>
        </w:tc>
      </w:tr>
      <w:tr>
        <w:trPr>
          <w:trHeight w:val="224"/>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76,408</w:t>
            </w:r>
          </w:p>
        </w:tc>
        <w:tc>
          <w:tcPr>
            <w:tcW w:w="0" w:type="dxa"/>
            <w:vAlign w:val="bottom"/>
          </w:tcPr>
          <w:p>
            <w:pPr>
              <w:spacing w:after="0"/>
              <w:rPr>
                <w:sz w:val="1"/>
                <w:szCs w:val="1"/>
                <w:color w:val="auto"/>
              </w:rPr>
            </w:pPr>
          </w:p>
        </w:tc>
      </w:tr>
      <w:tr>
        <w:trPr>
          <w:trHeight w:val="242"/>
        </w:trPr>
        <w:tc>
          <w:tcPr>
            <w:tcW w:w="3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6,173,661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970,453</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1,177,829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September 30, 2025.</w:t>
      </w:r>
    </w:p>
    <w:p>
      <w:pPr>
        <w:spacing w:after="0" w:line="14"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ind w:left="320" w:right="220" w:hanging="315"/>
        <w:spacing w:after="0" w:line="263"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$300.0 million non-recourse loan on Santa Monica Place which the Company defaulted on in April 9, 2024. The Company is still the owner of record of the property.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37"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 xml:space="preserve">The Company uses FFO in addition to net loss to report its operating and financial results and considers FFO and FFO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19" w:lineRule="exact"/>
        <w:rPr>
          <w:sz w:val="20"/>
          <w:szCs w:val="20"/>
          <w:color w:val="auto"/>
        </w:rPr>
      </w:pPr>
    </w:p>
    <w:p>
      <w:pPr>
        <w:ind w:right="20" w:firstLine="434"/>
        <w:spacing w:after="0" w:line="281" w:lineRule="auto"/>
        <w:rPr>
          <w:sz w:val="20"/>
          <w:szCs w:val="20"/>
          <w:color w:val="auto"/>
        </w:rPr>
      </w:pPr>
      <w:r>
        <w:rPr>
          <w:rFonts w:ascii="Times New Roman" w:cs="Times New Roman" w:eastAsia="Times New Roman" w:hAnsi="Times New Roman"/>
          <w:sz w:val="16"/>
          <w:szCs w:val="16"/>
          <w:color w:val="auto"/>
        </w:rPr>
        <w:t>Prior to June 13, 2024, the Company accounted for its joint venture in Chandler Freehold as a financing arrangement. In connection with this treatment, the Company recognized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On November 16, 2023, the Company acquired its joint venture partner’s 49.9% ownership interest in Freehold Raceway Mall and as a result, this property is no longer part of the financing arrangement and is 100% owned by the Company. On June 13, 2024, the partnership agreement between the Company and its partner was amended. As a result, the Company no longer accounts for its investment in Chandler Fashion Center as a financing arrangement. Effective June 13, 2024, the Company accounts for its investment in Chandler Fashion Center under the equity method of accounting (See Note 12 – Financing Arrangement and Note 16 – Dispositions in the Notes to the Consolidated Financial Statements). References to Chandler Freehold for the period November 16, 2023 through June 13, 2024 shall be deemed to only refer to Chandler Fashion Center.</w:t>
      </w:r>
    </w:p>
    <w:p>
      <w:pPr>
        <w:spacing w:after="0" w:line="311" w:lineRule="exact"/>
        <w:rPr>
          <w:sz w:val="20"/>
          <w:szCs w:val="20"/>
          <w:color w:val="auto"/>
        </w:rPr>
      </w:pPr>
    </w:p>
    <w:p>
      <w:pPr>
        <w:ind w:right="320" w:firstLine="434"/>
        <w:spacing w:after="0" w:line="268" w:lineRule="auto"/>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 gain or loss on extinguishment of debt, accrued default interest expense and gain or loss on non-real estate investments.</w:t>
      </w:r>
    </w:p>
    <w:p>
      <w:pPr>
        <w:spacing w:after="0" w:line="90"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impact associated with extinguishment of debt, accrued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On March 19, 2024, the Company closed on a three-year extension of the Fashion Outlets of Niagara Falls non-recourse loan and all default interest expense was reversed. Effective April 9, 2024, default interest expense has been accrued on the non-recourse loan on Santa Monica Place. GAAP requires that the Company accrue default interest expense, which is not expected to be paid and is expected to be reversed once a loan is modified or once title to the mortgaged loan collateral is transferred. The Company believes that the accrual of default interest on non-recourse loans, and the related reversal thereof should be excluded. The Company holds certain non-real estate investments that are subject to mark to market changes every quarter. These investments are not core to the Company's business, and the changes to market value and the related gain or loss are entirely non-cash in nature. As a result, the Company believes that the gain or loss on non-real estate investments should be excluded.</w:t>
      </w:r>
    </w:p>
    <w:p>
      <w:pPr>
        <w:spacing w:after="0" w:line="122" w:lineRule="exact"/>
        <w:rPr>
          <w:sz w:val="20"/>
          <w:szCs w:val="20"/>
          <w:color w:val="auto"/>
        </w:rPr>
      </w:pPr>
    </w:p>
    <w:p>
      <w:pPr>
        <w:ind w:right="100" w:firstLine="434"/>
        <w:spacing w:after="0" w:line="25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(loss) as defined by GAAP, and is not indicative of cash available to fund all cash flow needs. The Company also cautions that FFO, as presented, may not be comparable to similarly titled measures reported by other real estate investment trusts.</w:t>
      </w:r>
    </w:p>
    <w:p>
      <w:pPr>
        <w:spacing w:after="0" w:line="114" w:lineRule="exact"/>
        <w:rPr>
          <w:sz w:val="20"/>
          <w:szCs w:val="20"/>
          <w:color w:val="auto"/>
        </w:rPr>
      </w:pPr>
    </w:p>
    <w:p>
      <w:pPr>
        <w:ind w:right="20" w:firstLine="434"/>
        <w:spacing w:after="0" w:line="248"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to FFO and FFO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diluted. Management believes that to further understand the Company's performance, FFO should be compared with the Company's reported net loss and considered in addition to cash flows in accordance with GAAP, as presented in the Company's consolidated financial statements. The following reconciles net loss attributable to the Company to FFO attributable to common stockholders and unit holders</w:t>
      </w:r>
      <w:r>
        <w:rPr>
          <w:rFonts w:ascii="Times New Roman" w:cs="Times New Roman" w:eastAsia="Times New Roman" w:hAnsi="Times New Roman"/>
          <w:sz w:val="15"/>
          <w:szCs w:val="15"/>
          <w:color w:val="auto"/>
        </w:rPr>
        <w:t>—basic and diluted</w:t>
      </w:r>
      <w:r>
        <w:rPr>
          <w:rFonts w:ascii="Times New Roman" w:cs="Times New Roman" w:eastAsia="Times New Roman" w:hAnsi="Times New Roman"/>
          <w:sz w:val="18"/>
          <w:szCs w:val="18"/>
          <w:color w:val="auto"/>
        </w:rPr>
        <w:t xml:space="preserve"> and FFO attributable to common stockholders and unit holders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basic and diluted, excluding financing expense in connection with Chandler Freehold, accrued default interest expense and loss on non-real estate investments for the three and nine months ended September 30, 2025 and 2024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1"/>
        </w:trPr>
        <w:tc>
          <w:tcPr>
            <w:tcW w:w="6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the Company</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58"/>
        </w:trPr>
        <w:tc>
          <w:tcPr>
            <w:tcW w:w="63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to reconcile net (loss) income attributable to the Company to FFO attributable to</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stockholders and unit holders—basic and 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sale or write down of assets, net—consolidated assets</w:t>
            </w:r>
          </w:p>
        </w:tc>
        <w:tc>
          <w:tcPr>
            <w:tcW w:w="2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72,634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noncontrolling interests share of gain on sale or write down of assets—consolidated assets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1,229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sale or write down of assets—unconsolidated joint ventures, net(1)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(loss) on sale of undepreciated assets—unconsolidated joint ventures(1)</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90,904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28,858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88,591</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81,225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253,541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default interest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on non-real estate investments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1,741</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40"/>
        </w:trPr>
        <w:tc>
          <w:tcPr>
            <w:tcW w:w="636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connection with Chandler Freehold, accrued default interest expense and loss on non-real estate</w:t>
            </w: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93,399</w:t>
            </w:r>
          </w:p>
        </w:tc>
        <w:tc>
          <w:tcPr>
            <w:tcW w:w="16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85,968</w:t>
            </w:r>
          </w:p>
        </w:tc>
        <w:tc>
          <w:tcPr>
            <w:tcW w:w="1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268,065</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—basic and diluted</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264,845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and unit based compensation plans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636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Weighted average number of FFO shares outstanding for FFO attributable to common</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264,845</w:t>
            </w: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228,409</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264,224</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18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80" w:hanging="375"/>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140" w:lineRule="exact"/>
        <w:rPr>
          <w:rFonts w:ascii="Times New Roman" w:cs="Times New Roman" w:eastAsia="Times New Roman" w:hAnsi="Times New Roman"/>
          <w:sz w:val="16"/>
          <w:szCs w:val="16"/>
          <w:color w:val="auto"/>
        </w:rPr>
      </w:pPr>
    </w:p>
    <w:p>
      <w:pPr>
        <w:ind w:left="400" w:right="600" w:hanging="395"/>
        <w:spacing w:after="0" w:line="266" w:lineRule="auto"/>
        <w:tabs>
          <w:tab w:leader="none" w:pos="3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Calculated based upon basic net income as adjusted to reach basic FFO. Includes 10.7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10.0 million of OP Units outstanding for the three months ended September 30, 2025 and 2024, respectively, and 10.8 million and 10.1 million of OP Units outstanding for the nine months ended September 30, 2025 and 2024, respectively.</w:t>
      </w:r>
    </w:p>
    <w:p>
      <w:pPr>
        <w:spacing w:after="0" w:line="103" w:lineRule="exact"/>
        <w:rPr>
          <w:rFonts w:ascii="Times New Roman" w:cs="Times New Roman" w:eastAsia="Times New Roman" w:hAnsi="Times New Roman"/>
          <w:sz w:val="16"/>
          <w:szCs w:val="16"/>
          <w:color w:val="auto"/>
        </w:rPr>
      </w:pPr>
    </w:p>
    <w:p>
      <w:pPr>
        <w:ind w:left="400" w:right="26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1" w:lineRule="exact"/>
        <w:rPr>
          <w:sz w:val="20"/>
          <w:szCs w:val="20"/>
          <w:color w:val="auto"/>
        </w:rPr>
      </w:pPr>
    </w:p>
    <w:p>
      <w:pPr>
        <w:ind w:right="220" w:firstLine="5"/>
        <w:spacing w:after="0" w:line="245" w:lineRule="auto"/>
        <w:tabs>
          <w:tab w:leader="none" w:pos="2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4" w:lineRule="exact"/>
        <w:rPr>
          <w:sz w:val="20"/>
          <w:szCs w:val="20"/>
          <w:color w:val="auto"/>
        </w:rPr>
      </w:pPr>
    </w:p>
    <w:p>
      <w:pPr>
        <w:ind w:firstLine="434"/>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as of September 30, 2025 concerning the Company's long-term debt obligations, including principal cash flows by scheduled maturity, weighted average interest rates and estimated fair value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8"/>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twelve months ending September 30,</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448,758</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430,561</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1,210,540</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239,910</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1,403,555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945,027</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4,678,351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4,491,026</w:t>
            </w:r>
          </w:p>
        </w:tc>
        <w:tc>
          <w:tcPr>
            <w:tcW w:w="0" w:type="dxa"/>
            <w:vAlign w:val="bottom"/>
          </w:tcPr>
          <w:p>
            <w:pPr>
              <w:spacing w:after="0"/>
              <w:rPr>
                <w:sz w:val="1"/>
                <w:szCs w:val="1"/>
                <w:color w:val="auto"/>
              </w:rPr>
            </w:pPr>
          </w:p>
        </w:tc>
      </w:tr>
      <w:tr>
        <w:trPr>
          <w:trHeight w:val="205"/>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159,100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459,100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463,207</w:t>
            </w:r>
          </w:p>
        </w:tc>
        <w:tc>
          <w:tcPr>
            <w:tcW w:w="0" w:type="dxa"/>
            <w:vAlign w:val="bottom"/>
          </w:tcPr>
          <w:p>
            <w:pPr>
              <w:spacing w:after="0"/>
              <w:rPr>
                <w:sz w:val="1"/>
                <w:szCs w:val="1"/>
                <w:color w:val="auto"/>
              </w:rPr>
            </w:pPr>
          </w:p>
        </w:tc>
      </w:tr>
      <w:tr>
        <w:trPr>
          <w:trHeight w:val="205"/>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debt—Consolidated</w:t>
            </w:r>
          </w:p>
        </w:tc>
        <w:tc>
          <w:tcPr>
            <w:tcW w:w="24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748,758</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430,561</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1,210,540</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399,010</w:t>
            </w:r>
          </w:p>
        </w:tc>
        <w:tc>
          <w:tcPr>
            <w:tcW w:w="12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1,403,555</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945,027</w:t>
            </w:r>
          </w:p>
        </w:tc>
        <w:tc>
          <w:tcPr>
            <w:tcW w:w="12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5,137,451</w:t>
            </w:r>
          </w:p>
        </w:tc>
        <w:tc>
          <w:tcPr>
            <w:tcW w:w="12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4,954,233</w:t>
            </w:r>
          </w:p>
        </w:tc>
        <w:tc>
          <w:tcPr>
            <w:tcW w:w="0" w:type="dxa"/>
            <w:vAlign w:val="bottom"/>
          </w:tcPr>
          <w:p>
            <w:pPr>
              <w:spacing w:after="0"/>
              <w:rPr>
                <w:sz w:val="1"/>
                <w:szCs w:val="1"/>
                <w:color w:val="auto"/>
              </w:rPr>
            </w:pPr>
          </w:p>
        </w:tc>
      </w:tr>
      <w:tr>
        <w:trPr>
          <w:trHeight w:val="172"/>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68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UNCONSOLIDATED</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Long-term debt (at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155,410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97,776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456,462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498,357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289,316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54,138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1,551,459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1,522,120</w:t>
            </w:r>
          </w:p>
        </w:tc>
        <w:tc>
          <w:tcPr>
            <w:tcW w:w="0" w:type="dxa"/>
            <w:vAlign w:val="bottom"/>
          </w:tcPr>
          <w:p>
            <w:pPr>
              <w:spacing w:after="0"/>
              <w:rPr>
                <w:sz w:val="1"/>
                <w:szCs w:val="1"/>
                <w:color w:val="auto"/>
              </w:rPr>
            </w:pPr>
          </w:p>
        </w:tc>
      </w:tr>
      <w:tr>
        <w:trPr>
          <w:trHeight w:val="190"/>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12,261</w:t>
            </w:r>
          </w:p>
        </w:tc>
        <w:tc>
          <w:tcPr>
            <w:tcW w:w="0" w:type="dxa"/>
            <w:vAlign w:val="bottom"/>
          </w:tcPr>
          <w:p>
            <w:pPr>
              <w:spacing w:after="0"/>
              <w:rPr>
                <w:sz w:val="1"/>
                <w:szCs w:val="1"/>
                <w:color w:val="auto"/>
              </w:rPr>
            </w:pPr>
          </w:p>
        </w:tc>
      </w:tr>
      <w:tr>
        <w:trPr>
          <w:trHeight w:val="191"/>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debt—Unconsolidated</w:t>
            </w: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155,410</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97,776</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456,462</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510,357</w:t>
            </w: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289,316</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54,138</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1,563,459</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1,534,381</w:t>
            </w:r>
          </w:p>
        </w:tc>
        <w:tc>
          <w:tcPr>
            <w:tcW w:w="0" w:type="dxa"/>
            <w:vAlign w:val="bottom"/>
          </w:tcPr>
          <w:p>
            <w:pPr>
              <w:spacing w:after="0"/>
              <w:rPr>
                <w:sz w:val="1"/>
                <w:szCs w:val="1"/>
                <w:color w:val="auto"/>
              </w:rPr>
            </w:pPr>
          </w:p>
        </w:tc>
      </w:tr>
      <w:tr>
        <w:trPr>
          <w:trHeight w:val="18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Consolidated Centers' total fixed rate debt at September 30, 2025 and December 31, 2024 was $4.7 billion. The average interest rate on the fixed rate debt at September 30, 2025 and December 31, 2024 was 4.56% and 4.40%, respectively. The Consolidated Centers' total floating rate debt at September 30, 2025 and December 31, 2024 was $459.1 million and $410.0 million, respectively. The average interest rate on the floating rate debt at September 30, 2025 and December 31, 2024 was 6.04% and 6.21%, respectively.</w:t>
      </w:r>
    </w:p>
    <w:p>
      <w:pPr>
        <w:spacing w:after="0" w:line="118" w:lineRule="exact"/>
        <w:rPr>
          <w:sz w:val="20"/>
          <w:szCs w:val="20"/>
          <w:color w:val="auto"/>
        </w:rPr>
      </w:pPr>
    </w:p>
    <w:p>
      <w:pPr>
        <w:ind w:right="80" w:firstLine="434"/>
        <w:spacing w:after="0" w:line="293" w:lineRule="auto"/>
        <w:rPr>
          <w:sz w:val="20"/>
          <w:szCs w:val="20"/>
          <w:color w:val="auto"/>
        </w:rPr>
      </w:pPr>
      <w:r>
        <w:rPr>
          <w:rFonts w:ascii="Times New Roman" w:cs="Times New Roman" w:eastAsia="Times New Roman" w:hAnsi="Times New Roman"/>
          <w:sz w:val="16"/>
          <w:szCs w:val="16"/>
          <w:color w:val="auto"/>
        </w:rPr>
        <w:t>The Company's pro rata share of the Unconsolidated Joint Venture Centers' fixed rate debt at September 30, 2025 and December 31, 2024 was $1.6 billion. The average interest rate on the fixed rate debt at September 30, 2025 and December 31, 2024 was 5.29% and 5.28%, respectively. The Company's pro rata share of the Unconsolidated Joint Venture Centers' floating rate debt at September 30, 2025 and December 31, 2024 was $12.0 million and $132.9 million, respectively. The average interest rate on the floating rate debt at September 30, 2025 and December 31, 2024 was 6.72% and 8.29%, respectively.</w:t>
      </w:r>
    </w:p>
    <w:p>
      <w:pPr>
        <w:spacing w:after="0" w:line="75" w:lineRule="exact"/>
        <w:rPr>
          <w:sz w:val="20"/>
          <w:szCs w:val="20"/>
          <w:color w:val="auto"/>
        </w:rPr>
      </w:pPr>
    </w:p>
    <w:p>
      <w:pPr>
        <w:ind w:right="120" w:firstLine="434"/>
        <w:spacing w:after="0" w:line="284" w:lineRule="auto"/>
        <w:rPr>
          <w:sz w:val="20"/>
          <w:szCs w:val="20"/>
          <w:color w:val="auto"/>
        </w:rPr>
      </w:pPr>
      <w:r>
        <w:rPr>
          <w:rFonts w:ascii="Times New Roman" w:cs="Times New Roman" w:eastAsia="Times New Roman" w:hAnsi="Times New Roman"/>
          <w:sz w:val="16"/>
          <w:szCs w:val="16"/>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September 30, 2025, the Company has interest rate cap agreements in place (See Note 4—Investments in Unconsolidated Joint Ventures and Note 5— Derivative Instruments and Hedging Activities in the Company's Notes to the Consolidated Financial Statements). The respective loans require an interest rate cap agreement to be in place at all times, which limits how high the prevailing floating loan rate index (i.e., SOFR) for the loan can rise. As of the date of this Quarterly Report on Form 10-Q, SOFR for each of these loans did not exceed the strike interest rate within the required interest rate cap agreements.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40" w:firstLine="434"/>
        <w:spacing w:after="0" w:line="332" w:lineRule="auto"/>
        <w:rPr>
          <w:sz w:val="20"/>
          <w:szCs w:val="20"/>
          <w:color w:val="auto"/>
        </w:rPr>
      </w:pPr>
      <w:r>
        <w:rPr>
          <w:rFonts w:ascii="Times New Roman" w:cs="Times New Roman" w:eastAsia="Times New Roman" w:hAnsi="Times New Roman"/>
          <w:sz w:val="16"/>
          <w:szCs w:val="16"/>
          <w:color w:val="auto"/>
        </w:rPr>
        <w:t>In addition, the Company has assessed the market risk for its floating rate debt and believes that a 1% increase in interest rates would decrease future earnings and cash flows by approximately $4.7 million per year based on $471.1 million of floating rate debt outstanding at September 30, 2025.</w:t>
      </w:r>
    </w:p>
    <w:p>
      <w:pPr>
        <w:spacing w:after="0" w:line="44" w:lineRule="exact"/>
        <w:rPr>
          <w:sz w:val="20"/>
          <w:szCs w:val="20"/>
          <w:color w:val="auto"/>
        </w:rPr>
      </w:pPr>
    </w:p>
    <w:p>
      <w:pPr>
        <w:ind w:right="200" w:firstLine="434"/>
        <w:spacing w:after="0" w:line="252"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0"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September 30, 2025,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12" w:lineRule="exact"/>
        <w:rPr>
          <w:sz w:val="20"/>
          <w:szCs w:val="20"/>
          <w:color w:val="auto"/>
        </w:rPr>
      </w:pPr>
    </w:p>
    <w:p>
      <w:pPr>
        <w:ind w:right="520" w:firstLine="434"/>
        <w:spacing w:after="0" w:line="25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Exchange Act) that occurred during the Company's most recent fiscal quarter that has materially affected, or is reasonably likely to materially affect, the Company's internal control over financial reporting.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7" w:lineRule="exact"/>
        <w:rPr>
          <w:sz w:val="20"/>
          <w:szCs w:val="20"/>
          <w:color w:val="auto"/>
        </w:rPr>
      </w:pPr>
    </w:p>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0" w:lineRule="exact"/>
        <w:rPr>
          <w:sz w:val="20"/>
          <w:szCs w:val="20"/>
          <w:color w:val="auto"/>
        </w:rPr>
      </w:pPr>
    </w:p>
    <w:p>
      <w:pPr>
        <w:ind w:right="300" w:firstLine="434"/>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to the risk factors relating to the Company set forth under the caption "Item 1A. Risk Factors" in the Company's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7" w:lineRule="exact"/>
        <w:rPr>
          <w:sz w:val="20"/>
          <w:szCs w:val="20"/>
          <w:color w:val="auto"/>
        </w:rPr>
      </w:pPr>
    </w:p>
    <w:p>
      <w:pPr>
        <w:ind w:firstLine="440"/>
        <w:spacing w:after="0" w:line="256" w:lineRule="auto"/>
        <w:tabs>
          <w:tab w:leader="none" w:pos="67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13, 2025, the Company, as general partner of the Operating Partnership, issued 306,916 shares of common stock of the Company, upon redemption of 306,916 common partnership units of the Operating Partnership. These shares of common stock were issued in a private placement to a limited partner of the Operating Partnership, an accredited investor, pursuant to Section 4(a)(2) of the Securities Act of 1933, as amended.</w:t>
      </w:r>
    </w:p>
    <w:p>
      <w:pPr>
        <w:spacing w:after="0" w:line="11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48"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81"/>
              <w:spacing w:after="0" w:line="158" w:lineRule="exact"/>
              <w:rPr>
                <w:sz w:val="20"/>
                <w:szCs w:val="20"/>
                <w:color w:val="auto"/>
              </w:rPr>
            </w:pPr>
            <w:r>
              <w:rPr>
                <w:rFonts w:ascii="Times New Roman" w:cs="Times New Roman" w:eastAsia="Times New Roman" w:hAnsi="Times New Roman"/>
                <w:sz w:val="16"/>
                <w:szCs w:val="16"/>
                <w:b w:val="1"/>
                <w:bCs w:val="1"/>
                <w:color w:val="auto"/>
                <w:w w:val="98"/>
              </w:rPr>
              <w:t>Value of Shares That</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8"/>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3"/>
                <w:szCs w:val="13"/>
                <w:color w:val="auto"/>
              </w:rPr>
            </w:pPr>
          </w:p>
        </w:tc>
        <w:tc>
          <w:tcPr>
            <w:tcW w:w="1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Programs (1)</w:t>
            </w:r>
          </w:p>
        </w:tc>
        <w:tc>
          <w:tcPr>
            <w:tcW w:w="0" w:type="dxa"/>
            <w:vAlign w:val="bottom"/>
          </w:tcPr>
          <w:p>
            <w:pPr>
              <w:spacing w:after="0"/>
              <w:rPr>
                <w:sz w:val="1"/>
                <w:szCs w:val="1"/>
                <w:color w:val="auto"/>
              </w:rPr>
            </w:pPr>
          </w:p>
        </w:tc>
      </w:tr>
      <w:tr>
        <w:trPr>
          <w:trHeight w:val="218"/>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2025 to July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2025 to August 31,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2025 to September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1180" w:right="140" w:hanging="543"/>
        <w:spacing w:after="0" w:line="287" w:lineRule="auto"/>
        <w:tabs>
          <w:tab w:leader="none" w:pos="11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80" w:lineRule="exact"/>
        <w:rPr>
          <w:sz w:val="20"/>
          <w:szCs w:val="20"/>
          <w:color w:val="auto"/>
        </w:rPr>
      </w:pPr>
    </w:p>
    <w:p>
      <w:pPr>
        <w:jc w:val="center"/>
        <w:ind w:right="8080"/>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60" w:lineRule="exact"/>
        <w:rPr>
          <w:sz w:val="20"/>
          <w:szCs w:val="20"/>
          <w:color w:val="auto"/>
        </w:rPr>
      </w:pPr>
    </w:p>
    <w:p>
      <w:pPr>
        <w:jc w:val="center"/>
        <w:ind w:right="9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6" w:lineRule="exact"/>
        <w:rPr>
          <w:sz w:val="20"/>
          <w:szCs w:val="20"/>
          <w:color w:val="auto"/>
        </w:rPr>
      </w:pPr>
    </w:p>
    <w:p>
      <w:pPr>
        <w:jc w:val="center"/>
        <w:ind w:right="866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3" w:lineRule="exact"/>
        <w:rPr>
          <w:sz w:val="20"/>
          <w:szCs w:val="20"/>
          <w:color w:val="auto"/>
        </w:rPr>
      </w:pPr>
    </w:p>
    <w:p>
      <w:pPr>
        <w:jc w:val="center"/>
        <w:ind w:right="9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3" w:lineRule="exact"/>
        <w:rPr>
          <w:sz w:val="20"/>
          <w:szCs w:val="20"/>
          <w:color w:val="auto"/>
        </w:rPr>
      </w:pPr>
    </w:p>
    <w:p>
      <w:pPr>
        <w:jc w:val="center"/>
        <w:ind w:right="90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0" w:lineRule="exact"/>
        <w:rPr>
          <w:sz w:val="20"/>
          <w:szCs w:val="20"/>
          <w:color w:val="auto"/>
        </w:rPr>
      </w:pPr>
    </w:p>
    <w:p>
      <w:pPr>
        <w:ind w:right="340" w:firstLine="434"/>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2025,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40" w:type="dxa"/>
            <w:vAlign w:val="bottom"/>
          </w:tcPr>
          <w:p>
            <w:pPr>
              <w:jc w:val="center"/>
              <w:ind w:right="245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2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5"/>
        </w:trPr>
        <w:tc>
          <w:tcPr>
            <w:tcW w:w="3040" w:type="dxa"/>
            <w:vAlign w:val="bottom"/>
          </w:tcPr>
          <w:p>
            <w:pPr>
              <w:jc w:val="center"/>
              <w:ind w:right="24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10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ind w:left="1120" w:hanging="358"/>
        <w:spacing w:after="0" w:line="220" w:lineRule="auto"/>
        <w:tabs>
          <w:tab w:leader="none" w:pos="1100" w:val="left"/>
        </w:tabs>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71">
        <w:r>
          <w:rPr>
            <w:rFonts w:ascii="Times New Roman" w:cs="Times New Roman" w:eastAsia="Times New Roman" w:hAnsi="Times New Roman"/>
            <w:sz w:val="18"/>
            <w:szCs w:val="18"/>
            <w:u w:val="single" w:color="auto"/>
            <w:color w:val="0000FF"/>
          </w:rPr>
          <w:t>Master Agreement, dated November 14, 2014, by and among Pacific Premier Retail LP, MACPT LLC, Macerich PPR GP LLC, Queens JV LP,</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Macerich Queens JV LP, Queens JV GP LLC, 1700480 Ontario Inc. and the Company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Company’s Current Report on Form 8-K, event date November 14, 2014).</w:t>
        </w:r>
      </w:hyperlink>
    </w:p>
    <w:p>
      <w:pPr>
        <w:spacing w:after="0" w:line="10" w:lineRule="exact"/>
        <w:rPr>
          <w:rFonts w:ascii="Times New Roman" w:cs="Times New Roman" w:eastAsia="Times New Roman" w:hAnsi="Times New Roman"/>
          <w:sz w:val="18"/>
          <w:szCs w:val="18"/>
          <w:u w:val="single" w:color="auto"/>
          <w:color w:val="0000FF"/>
        </w:rPr>
      </w:pPr>
    </w:p>
    <w:p>
      <w:pPr>
        <w:ind w:left="1120" w:right="60" w:hanging="358"/>
        <w:spacing w:after="0" w:line="231" w:lineRule="auto"/>
        <w:tabs>
          <w:tab w:leader="none" w:pos="1100" w:val="left"/>
        </w:tabs>
        <w:rPr>
          <w:sz w:val="20"/>
          <w:szCs w:val="20"/>
          <w:color w:val="auto"/>
        </w:rPr>
      </w:pPr>
      <w:r>
        <w:rPr>
          <w:rFonts w:ascii="Times New Roman" w:cs="Times New Roman" w:eastAsia="Times New Roman" w:hAnsi="Times New Roman"/>
          <w:sz w:val="18"/>
          <w:szCs w:val="18"/>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9" w:lineRule="exact"/>
        <w:rPr>
          <w:rFonts w:ascii="Times New Roman" w:cs="Times New Roman" w:eastAsia="Times New Roman" w:hAnsi="Times New Roman"/>
          <w:sz w:val="18"/>
          <w:szCs w:val="18"/>
          <w:u w:val="single" w:color="auto"/>
          <w:color w:val="0000FF"/>
        </w:rPr>
      </w:pPr>
    </w:p>
    <w:p>
      <w:pPr>
        <w:ind w:left="1120" w:right="260" w:hanging="490"/>
        <w:spacing w:after="0" w:line="231" w:lineRule="auto"/>
        <w:tabs>
          <w:tab w:leader="none" w:pos="1100" w:val="left"/>
        </w:tabs>
        <w:rPr>
          <w:sz w:val="20"/>
          <w:szCs w:val="20"/>
          <w:color w:val="auto"/>
        </w:rPr>
      </w:pPr>
      <w:r>
        <w:rPr>
          <w:rFonts w:ascii="Times New Roman" w:cs="Times New Roman" w:eastAsia="Times New Roman" w:hAnsi="Times New Roman"/>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spacing w:after="0" w:line="9" w:lineRule="exact"/>
        <w:rPr>
          <w:rFonts w:ascii="Times New Roman" w:cs="Times New Roman" w:eastAsia="Times New Roman" w:hAnsi="Times New Roman"/>
          <w:sz w:val="18"/>
          <w:szCs w:val="18"/>
          <w:u w:val="single" w:color="auto"/>
          <w:color w:val="0000FF"/>
        </w:rPr>
      </w:pPr>
    </w:p>
    <w:p>
      <w:pPr>
        <w:ind w:left="1120" w:right="2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r:id="rId72">
        <w:r>
          <w:rPr>
            <w:rFonts w:ascii="Times New Roman" w:cs="Times New Roman" w:eastAsia="Times New Roman" w:hAnsi="Times New Roman"/>
            <w:sz w:val="18"/>
            <w:szCs w:val="18"/>
            <w:u w:val="single" w:color="auto"/>
            <w:color w:val="0000FF"/>
          </w:rPr>
          <w:t>Articles Supplementary of the Company (with respect to the first paragraph) (incorporated by reference as an exhibit to the Company's 1998</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Form 10-K).</w:t>
        </w:r>
      </w:hyperlink>
    </w:p>
    <w:p>
      <w:pPr>
        <w:spacing w:after="0" w:line="9" w:lineRule="exact"/>
        <w:rPr>
          <w:rFonts w:ascii="Times New Roman" w:cs="Times New Roman" w:eastAsia="Times New Roman" w:hAnsi="Times New Roman"/>
          <w:sz w:val="18"/>
          <w:szCs w:val="18"/>
          <w:u w:val="single" w:color="auto"/>
          <w:color w:val="0000FF"/>
        </w:rPr>
      </w:pPr>
    </w:p>
    <w:p>
      <w:pPr>
        <w:ind w:left="1120" w:right="14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u w:val="single" w:color="auto"/>
          <w:color w:val="0000FF"/>
        </w:rPr>
        <w:tab/>
      </w:r>
      <w:hyperlink r:id="rId73">
        <w:r>
          <w:rPr>
            <w:rFonts w:ascii="Times New Roman" w:cs="Times New Roman" w:eastAsia="Times New Roman" w:hAnsi="Times New Roman"/>
            <w:sz w:val="18"/>
            <w:szCs w:val="18"/>
            <w:u w:val="single" w:color="auto"/>
            <w:color w:val="0000FF"/>
          </w:rPr>
          <w:t>Articles Supplementary of the Company (Series D Preferred Stock) (incorporated by reference as an exhibit to the Company's Current Report</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on Form 8-K, event date July 26, 2002).</w:t>
        </w:r>
      </w:hyperlink>
    </w:p>
    <w:p>
      <w:pPr>
        <w:spacing w:after="0" w:line="9" w:lineRule="exact"/>
        <w:rPr>
          <w:rFonts w:ascii="Times New Roman" w:cs="Times New Roman" w:eastAsia="Times New Roman" w:hAnsi="Times New Roman"/>
          <w:sz w:val="18"/>
          <w:szCs w:val="18"/>
          <w:u w:val="single" w:color="auto"/>
          <w:color w:val="0000FF"/>
        </w:rPr>
      </w:pPr>
    </w:p>
    <w:p>
      <w:pPr>
        <w:ind w:left="1120" w:right="3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3.1.4</w:t>
        </w:r>
      </w:hyperlink>
      <w:r>
        <w:rPr>
          <w:rFonts w:ascii="Times New Roman" w:cs="Times New Roman" w:eastAsia="Times New Roman" w:hAnsi="Times New Roman"/>
          <w:sz w:val="18"/>
          <w:szCs w:val="18"/>
          <w:u w:val="single" w:color="auto"/>
          <w:color w:val="0000FF"/>
        </w:rPr>
        <w:tab/>
      </w:r>
      <w:hyperlink r:id="rId74">
        <w:r>
          <w:rPr>
            <w:rFonts w:ascii="Times New Roman" w:cs="Times New Roman" w:eastAsia="Times New Roman" w:hAnsi="Times New Roman"/>
            <w:sz w:val="18"/>
            <w:szCs w:val="18"/>
            <w:u w:val="single" w:color="auto"/>
            <w:color w:val="0000FF"/>
          </w:rPr>
          <w:t>Articles Supplementary of the Company (incorporated by reference as an exhibit to the Company's Registration Statement on Form S-3, as</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amended (No. 333-88718)).</w:t>
        </w:r>
      </w:hyperlink>
    </w:p>
    <w:p>
      <w:pPr>
        <w:spacing w:after="0" w:line="9" w:lineRule="exact"/>
        <w:rPr>
          <w:rFonts w:ascii="Times New Roman" w:cs="Times New Roman" w:eastAsia="Times New Roman" w:hAnsi="Times New Roman"/>
          <w:sz w:val="18"/>
          <w:szCs w:val="18"/>
          <w:u w:val="single" w:color="auto"/>
          <w:color w:val="0000FF"/>
        </w:rPr>
      </w:pPr>
    </w:p>
    <w:p>
      <w:pPr>
        <w:ind w:left="1120" w:right="1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3.1.5</w:t>
        </w:r>
      </w:hyperlink>
      <w:r>
        <w:rPr>
          <w:rFonts w:ascii="Times New Roman" w:cs="Times New Roman" w:eastAsia="Times New Roman" w:hAnsi="Times New Roman"/>
          <w:sz w:val="18"/>
          <w:szCs w:val="18"/>
          <w:u w:val="single" w:color="auto"/>
          <w:color w:val="0000FF"/>
        </w:rPr>
        <w:tab/>
      </w:r>
      <w:hyperlink r:id="rId75">
        <w:r>
          <w:rPr>
            <w:rFonts w:ascii="Times New Roman" w:cs="Times New Roman" w:eastAsia="Times New Roman" w:hAnsi="Times New Roman"/>
            <w:sz w:val="18"/>
            <w:szCs w:val="18"/>
            <w:u w:val="single" w:color="auto"/>
            <w:color w:val="0000FF"/>
          </w:rPr>
          <w:t>Articles of Amendment of the Company (declassification of Board) (incorporated by reference as an exhibit to the Company's 2008 Form 10-</w:t>
        </w:r>
      </w:hyperlink>
      <w:hyperlink r:id="rId75">
        <w:r>
          <w:rPr>
            <w:rFonts w:ascii="Times New Roman" w:cs="Times New Roman" w:eastAsia="Times New Roman" w:hAnsi="Times New Roman"/>
            <w:sz w:val="18"/>
            <w:szCs w:val="18"/>
            <w:u w:val="single" w:color="auto"/>
            <w:color w:val="0000FF"/>
          </w:rPr>
          <w:t>K).</w:t>
        </w:r>
      </w:hyperlink>
    </w:p>
    <w:p>
      <w:pPr>
        <w:spacing w:after="0" w:line="9" w:lineRule="exact"/>
        <w:rPr>
          <w:rFonts w:ascii="Times New Roman" w:cs="Times New Roman" w:eastAsia="Times New Roman" w:hAnsi="Times New Roman"/>
          <w:sz w:val="18"/>
          <w:szCs w:val="18"/>
          <w:u w:val="single" w:color="auto"/>
          <w:color w:val="0000FF"/>
        </w:rPr>
      </w:pPr>
    </w:p>
    <w:p>
      <w:pPr>
        <w:ind w:left="1120" w:right="26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3.1.6</w:t>
        </w:r>
      </w:hyperlink>
      <w:r>
        <w:rPr>
          <w:rFonts w:ascii="Times New Roman" w:cs="Times New Roman" w:eastAsia="Times New Roman" w:hAnsi="Times New Roman"/>
          <w:sz w:val="18"/>
          <w:szCs w:val="18"/>
          <w:u w:val="single" w:color="auto"/>
          <w:color w:val="0000FF"/>
        </w:rPr>
        <w:tab/>
      </w:r>
      <w:hyperlink r:id="rId76">
        <w:r>
          <w:rPr>
            <w:rFonts w:ascii="Times New Roman" w:cs="Times New Roman" w:eastAsia="Times New Roman" w:hAnsi="Times New Roman"/>
            <w:sz w:val="18"/>
            <w:szCs w:val="18"/>
            <w:u w:val="single" w:color="auto"/>
            <w:color w:val="0000FF"/>
          </w:rPr>
          <w:t>Articles Supplementary of the Company (incorporated by reference as an exhibit to the Company's Current Report on Form 8-K, event date</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February 5, 2009).</w:t>
        </w:r>
      </w:hyperlink>
    </w:p>
    <w:p>
      <w:pPr>
        <w:spacing w:after="0" w:line="9" w:lineRule="exact"/>
        <w:rPr>
          <w:rFonts w:ascii="Times New Roman" w:cs="Times New Roman" w:eastAsia="Times New Roman" w:hAnsi="Times New Roman"/>
          <w:sz w:val="18"/>
          <w:szCs w:val="18"/>
          <w:u w:val="single" w:color="auto"/>
          <w:color w:val="0000FF"/>
        </w:rPr>
      </w:pPr>
    </w:p>
    <w:p>
      <w:pPr>
        <w:ind w:left="1120" w:right="34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u w:val="single" w:color="auto"/>
          <w:color w:val="0000FF"/>
        </w:rPr>
        <w:tab/>
      </w:r>
      <w:hyperlink r:id="rId77">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Quarterly</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Report on Form 10-Q for the quarter ended June 30, 2009).</w:t>
        </w:r>
      </w:hyperlink>
    </w:p>
    <w:p>
      <w:pPr>
        <w:spacing w:after="0" w:line="9" w:lineRule="exact"/>
        <w:rPr>
          <w:rFonts w:ascii="Times New Roman" w:cs="Times New Roman" w:eastAsia="Times New Roman" w:hAnsi="Times New Roman"/>
          <w:sz w:val="18"/>
          <w:szCs w:val="18"/>
          <w:u w:val="single" w:color="auto"/>
          <w:color w:val="0000FF"/>
        </w:rPr>
      </w:pPr>
    </w:p>
    <w:p>
      <w:pPr>
        <w:jc w:val="center"/>
        <w:ind w:left="600" w:right="340"/>
        <w:spacing w:after="0" w:line="266" w:lineRule="auto"/>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6"/>
            <w:szCs w:val="16"/>
            <w:u w:val="single" w:color="auto"/>
            <w:color w:val="0000FF"/>
          </w:rPr>
          <w:t>3.1.8  Articles of Amendment of the Company (to eliminate the supermajority vote requirement to amend the charter and to clarify a reference in</w:t>
        </w:r>
      </w:hyperlink>
      <w:r>
        <w:rPr>
          <w:rFonts w:ascii="Times New Roman" w:cs="Times New Roman" w:eastAsia="Times New Roman" w:hAnsi="Times New Roman"/>
          <w:sz w:val="16"/>
          <w:szCs w:val="16"/>
          <w:u w:val="single" w:color="auto"/>
          <w:color w:val="0000FF"/>
        </w:rPr>
        <w:t xml:space="preserve"> </w:t>
      </w:r>
      <w:hyperlink r:id="rId78">
        <w:r>
          <w:rPr>
            <w:rFonts w:ascii="Times New Roman" w:cs="Times New Roman" w:eastAsia="Times New Roman" w:hAnsi="Times New Roman"/>
            <w:sz w:val="16"/>
            <w:szCs w:val="16"/>
            <w:u w:val="single" w:color="auto"/>
            <w:color w:val="0000FF"/>
          </w:rPr>
          <w:t>Article NINTH) (incorporated by reference as an exhibit to the Company’s Current Report on Form 8-K, event date May 30, 2014).</w:t>
        </w:r>
      </w:hyperlink>
    </w:p>
    <w:p>
      <w:pPr>
        <w:ind w:left="1120" w:right="16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3.1.9</w:t>
        </w:r>
      </w:hyperlink>
      <w:r>
        <w:rPr>
          <w:rFonts w:ascii="Times New Roman" w:cs="Times New Roman" w:eastAsia="Times New Roman" w:hAnsi="Times New Roman"/>
          <w:sz w:val="18"/>
          <w:szCs w:val="18"/>
          <w:u w:val="single" w:color="auto"/>
          <w:color w:val="0000FF"/>
        </w:rPr>
        <w:tab/>
      </w:r>
      <w:hyperlink r:id="rId79">
        <w:r>
          <w:rPr>
            <w:rFonts w:ascii="Times New Roman" w:cs="Times New Roman" w:eastAsia="Times New Roman" w:hAnsi="Times New Roman"/>
            <w:sz w:val="18"/>
            <w:szCs w:val="18"/>
            <w:u w:val="single" w:color="auto"/>
            <w:color w:val="0000FF"/>
          </w:rPr>
          <w:t>Articles Supplementary of the Company (election to be subject to Section 3-803 of the Maryland General Corporation Law) (incorporated by</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reference as an exhibit to the Company’s Current Report on Form 8-K, event date March 17,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14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3.1.10</w:t>
        </w:r>
      </w:hyperlink>
      <w:r>
        <w:rPr>
          <w:rFonts w:ascii="Times New Roman" w:cs="Times New Roman" w:eastAsia="Times New Roman" w:hAnsi="Times New Roman"/>
          <w:sz w:val="18"/>
          <w:szCs w:val="18"/>
          <w:u w:val="single" w:color="auto"/>
          <w:color w:val="0000FF"/>
        </w:rPr>
        <w:tab/>
      </w:r>
      <w:hyperlink r:id="rId80">
        <w:r>
          <w:rPr>
            <w:rFonts w:ascii="Times New Roman" w:cs="Times New Roman" w:eastAsia="Times New Roman" w:hAnsi="Times New Roman"/>
            <w:sz w:val="18"/>
            <w:szCs w:val="18"/>
            <w:u w:val="single" w:color="auto"/>
            <w:color w:val="0000FF"/>
          </w:rPr>
          <w:t>Articles Supplementary of the Company (Series E Preferred Stock) (incorporated by reference as an exhibit to the Company’s Current Report</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on Form 8-K, event date March 18,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440" w:hanging="571"/>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3.1.11</w:t>
        </w:r>
      </w:hyperlink>
      <w:r>
        <w:rPr>
          <w:rFonts w:ascii="Times New Roman" w:cs="Times New Roman" w:eastAsia="Times New Roman" w:hAnsi="Times New Roman"/>
          <w:sz w:val="18"/>
          <w:szCs w:val="18"/>
          <w:u w:val="single" w:color="auto"/>
          <w:color w:val="0000FF"/>
        </w:rPr>
        <w:tab/>
      </w:r>
      <w:hyperlink r:id="rId81">
        <w:r>
          <w:rPr>
            <w:rFonts w:ascii="Times New Roman" w:cs="Times New Roman" w:eastAsia="Times New Roman" w:hAnsi="Times New Roman"/>
            <w:sz w:val="18"/>
            <w:szCs w:val="18"/>
            <w:u w:val="single" w:color="auto"/>
            <w:color w:val="0000FF"/>
          </w:rPr>
          <w:t>Articles Supplementary of the Company (reclassification of Series E Preferred Stock to Preferred Stock) (incorporated by reference as an</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exhibit to the Company’s Current Report on Form 8-K, event date May 7,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70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3.1.12</w:t>
        </w:r>
      </w:hyperlink>
      <w:r>
        <w:rPr>
          <w:rFonts w:ascii="Times New Roman" w:cs="Times New Roman" w:eastAsia="Times New Roman" w:hAnsi="Times New Roman"/>
          <w:sz w:val="18"/>
          <w:szCs w:val="18"/>
          <w:u w:val="single" w:color="auto"/>
          <w:color w:val="0000FF"/>
        </w:rPr>
        <w:tab/>
      </w:r>
      <w:hyperlink r:id="rId82">
        <w:r>
          <w:rPr>
            <w:rFonts w:ascii="Times New Roman" w:cs="Times New Roman" w:eastAsia="Times New Roman" w:hAnsi="Times New Roman"/>
            <w:sz w:val="18"/>
            <w:szCs w:val="18"/>
            <w:u w:val="single" w:color="auto"/>
            <w:color w:val="0000FF"/>
          </w:rPr>
          <w:t>Articles Supplementary of the Company (repeal of election to be subject to Section 3-803 of the Maryland General Corporation Law)</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(incorporated by reference as an exhibit to the Company’s Current Report on Form 8-K, event date May 28,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360" w:hanging="578"/>
        <w:spacing w:after="0" w:line="266" w:lineRule="auto"/>
        <w:tabs>
          <w:tab w:leader="none" w:pos="1100" w:val="left"/>
        </w:tabs>
        <w:rPr>
          <w:rFonts w:ascii="Times New Roman" w:cs="Times New Roman" w:eastAsia="Times New Roman" w:hAnsi="Times New Roman"/>
          <w:sz w:val="16"/>
          <w:szCs w:val="16"/>
          <w:u w:val="single" w:color="auto"/>
          <w:color w:val="0000FF"/>
        </w:rPr>
      </w:pPr>
      <w:hyperlink r:id="rId83">
        <w:r>
          <w:rPr>
            <w:rFonts w:ascii="Times New Roman" w:cs="Times New Roman" w:eastAsia="Times New Roman" w:hAnsi="Times New Roman"/>
            <w:sz w:val="18"/>
            <w:szCs w:val="18"/>
            <w:u w:val="single" w:color="auto"/>
            <w:color w:val="0000FF"/>
          </w:rPr>
          <w:t>3.1.13</w:t>
        </w:r>
      </w:hyperlink>
      <w:r>
        <w:rPr>
          <w:rFonts w:ascii="Times New Roman" w:cs="Times New Roman" w:eastAsia="Times New Roman" w:hAnsi="Times New Roman"/>
          <w:sz w:val="18"/>
          <w:szCs w:val="18"/>
          <w:u w:val="single" w:color="auto"/>
          <w:color w:val="0000FF"/>
        </w:rPr>
        <w:tab/>
      </w:r>
      <w:hyperlink r:id="rId83">
        <w:r>
          <w:rPr>
            <w:rFonts w:ascii="Times New Roman" w:cs="Times New Roman" w:eastAsia="Times New Roman" w:hAnsi="Times New Roman"/>
            <w:sz w:val="16"/>
            <w:szCs w:val="16"/>
            <w:u w:val="single" w:color="auto"/>
            <w:color w:val="0000FF"/>
          </w:rPr>
          <w:t>Articles Supplementary of the Company (opting out of provisions of Subtitle 8 of Title 3 of the Maryland General Corporate Law (MUTA</w:t>
        </w:r>
      </w:hyperlink>
      <w:r>
        <w:rPr>
          <w:rFonts w:ascii="Times New Roman" w:cs="Times New Roman" w:eastAsia="Times New Roman" w:hAnsi="Times New Roman"/>
          <w:sz w:val="16"/>
          <w:szCs w:val="16"/>
          <w:u w:val="single" w:color="auto"/>
          <w:color w:val="0000FF"/>
        </w:rPr>
        <w:t xml:space="preserve"> </w:t>
      </w:r>
      <w:hyperlink r:id="rId83">
        <w:r>
          <w:rPr>
            <w:rFonts w:ascii="Times New Roman" w:cs="Times New Roman" w:eastAsia="Times New Roman" w:hAnsi="Times New Roman"/>
            <w:sz w:val="16"/>
            <w:szCs w:val="16"/>
            <w:u w:val="single" w:color="auto"/>
            <w:color w:val="0000FF"/>
          </w:rPr>
          <w:t>provisions)) (incorporated by reference as an exhibit to the Company’s Current Report on Form 8-K, event date April 24, 2019).</w:t>
        </w:r>
      </w:hyperlink>
    </w:p>
    <w:p>
      <w:pPr>
        <w:ind w:left="1120" w:right="46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3.1.14</w:t>
        </w:r>
      </w:hyperlink>
      <w:r>
        <w:rPr>
          <w:rFonts w:ascii="Times New Roman" w:cs="Times New Roman" w:eastAsia="Times New Roman" w:hAnsi="Times New Roman"/>
          <w:sz w:val="18"/>
          <w:szCs w:val="18"/>
          <w:u w:val="single" w:color="auto"/>
          <w:color w:val="0000FF"/>
        </w:rPr>
        <w:tab/>
      </w:r>
      <w:hyperlink r:id="rId84">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Report on Form 8-K, event date May 28, 2021).</w:t>
        </w:r>
      </w:hyperlink>
    </w:p>
    <w:p>
      <w:pPr>
        <w:spacing w:after="0" w:line="9" w:lineRule="exact"/>
        <w:rPr>
          <w:rFonts w:ascii="Times New Roman" w:cs="Times New Roman" w:eastAsia="Times New Roman" w:hAnsi="Times New Roman"/>
          <w:sz w:val="18"/>
          <w:szCs w:val="18"/>
          <w:u w:val="single" w:color="auto"/>
          <w:color w:val="0000FF"/>
        </w:rPr>
      </w:pPr>
    </w:p>
    <w:p>
      <w:pPr>
        <w:ind w:left="1120" w:right="60" w:hanging="35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85">
        <w:r>
          <w:rPr>
            <w:rFonts w:ascii="Times New Roman" w:cs="Times New Roman" w:eastAsia="Times New Roman" w:hAnsi="Times New Roman"/>
            <w:sz w:val="18"/>
            <w:szCs w:val="18"/>
            <w:u w:val="single" w:color="auto"/>
            <w:color w:val="0000FF"/>
          </w:rPr>
          <w:t>Amended and Restated Bylaws of the Company (incorporated by reference as an exhibit to the Company's Current Report on Form 8-K, event</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date January 26, 2023).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6"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1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1000" w:type="dxa"/>
            <w:vAlign w:val="bottom"/>
            <w:tcBorders>
              <w:top w:val="single" w:sz="8" w:color="0000FF"/>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40" w:type="dxa"/>
            <w:vAlign w:val="bottom"/>
            <w:gridSpan w:val="4"/>
            <w:vMerge w:val="restart"/>
          </w:tcPr>
          <w:p>
            <w:pPr>
              <w:ind w:left="3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Borders>
              <w:top w:val="single" w:sz="8" w:color="auto"/>
            </w:tcBorders>
            <w:gridSpan w:val="2"/>
          </w:tcPr>
          <w:p>
            <w:pPr>
              <w:spacing w:after="0"/>
              <w:rPr>
                <w:sz w:val="15"/>
                <w:szCs w:val="15"/>
                <w:color w:val="auto"/>
              </w:rPr>
            </w:pPr>
          </w:p>
        </w:tc>
        <w:tc>
          <w:tcPr>
            <w:tcW w:w="3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Section 302</w:t>
            </w:r>
          </w:p>
        </w:tc>
        <w:tc>
          <w:tcPr>
            <w:tcW w:w="9240" w:type="dxa"/>
            <w:vAlign w:val="bottom"/>
            <w:tcBorders>
              <w:top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0000FF"/>
              </w:rPr>
              <w:t>Certification of Jackson Hsieh, Chief Executive Officer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 w:type="dxa"/>
            <w:vAlign w:val="bottom"/>
            <w:gridSpan w:val="3"/>
          </w:tcPr>
          <w:p>
            <w:pPr>
              <w:spacing w:after="0"/>
              <w:rPr>
                <w:sz w:val="17"/>
                <w:szCs w:val="17"/>
                <w:color w:val="auto"/>
              </w:rPr>
            </w:pPr>
          </w:p>
        </w:tc>
        <w:tc>
          <w:tcPr>
            <w:tcW w:w="3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5"/>
              </w:rPr>
              <w:t>Section 302</w:t>
            </w:r>
          </w:p>
        </w:tc>
        <w:tc>
          <w:tcPr>
            <w:tcW w:w="9240" w:type="dxa"/>
            <w:vAlign w:val="bottom"/>
            <w:gridSpan w:val="4"/>
          </w:tcPr>
          <w:p>
            <w:pPr>
              <w:ind w:left="40"/>
              <w:spacing w:after="0" w:line="204" w:lineRule="exact"/>
              <w:rPr>
                <w:sz w:val="20"/>
                <w:szCs w:val="20"/>
                <w:color w:val="auto"/>
              </w:rPr>
            </w:pPr>
            <w:r>
              <w:rPr>
                <w:rFonts w:ascii="Times New Roman" w:cs="Times New Roman" w:eastAsia="Times New Roman" w:hAnsi="Times New Roman"/>
                <w:sz w:val="18"/>
                <w:szCs w:val="18"/>
                <w:color w:val="0000FF"/>
              </w:rPr>
              <w:t>Certification of Daniel E. Swanstrom II, Chief Financial Officer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5"/>
              </w:rPr>
              <w:t>Section 906</w:t>
            </w:r>
          </w:p>
        </w:tc>
        <w:tc>
          <w:tcPr>
            <w:tcW w:w="9240" w:type="dxa"/>
            <w:vAlign w:val="bottom"/>
            <w:gridSpan w:val="4"/>
          </w:tcPr>
          <w:p>
            <w:pPr>
              <w:ind w:left="40"/>
              <w:spacing w:after="0" w:line="204" w:lineRule="exact"/>
              <w:rPr>
                <w:sz w:val="20"/>
                <w:szCs w:val="20"/>
                <w:color w:val="auto"/>
              </w:rPr>
            </w:pPr>
            <w:r>
              <w:rPr>
                <w:rFonts w:ascii="Times New Roman" w:cs="Times New Roman" w:eastAsia="Times New Roman" w:hAnsi="Times New Roman"/>
                <w:sz w:val="18"/>
                <w:szCs w:val="18"/>
                <w:color w:val="0000FF"/>
              </w:rPr>
              <w:t>Certifications of Jackson Hsieh and Daniel E. Swanstrom 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3"/>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120" w:hanging="408"/>
        <w:spacing w:after="0"/>
        <w:tabs>
          <w:tab w:leader="none" w:pos="11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0"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37" w:lineRule="exact"/>
        <w:rPr>
          <w:sz w:val="20"/>
          <w:szCs w:val="20"/>
          <w:color w:val="auto"/>
        </w:rPr>
      </w:pPr>
    </w:p>
    <w:p>
      <w:pPr>
        <w:ind w:right="460" w:firstLine="43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474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1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JACKSON HSIEH</w:t>
            </w:r>
          </w:p>
        </w:tc>
      </w:tr>
      <w:tr>
        <w:trPr>
          <w:trHeight w:val="210"/>
        </w:trPr>
        <w:tc>
          <w:tcPr>
            <w:tcW w:w="516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Jackson Hsieh</w:t>
            </w:r>
          </w:p>
        </w:tc>
      </w:tr>
      <w:tr>
        <w:trPr>
          <w:trHeight w:val="224"/>
        </w:trPr>
        <w:tc>
          <w:tcPr>
            <w:tcW w:w="51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 and Chief Executive Officer</w:t>
            </w:r>
          </w:p>
        </w:tc>
      </w:tr>
      <w:tr>
        <w:trPr>
          <w:trHeight w:val="230"/>
        </w:trPr>
        <w:tc>
          <w:tcPr>
            <w:tcW w:w="5160" w:type="dxa"/>
            <w:vAlign w:val="bottom"/>
          </w:tcPr>
          <w:p>
            <w:pPr>
              <w:spacing w:after="0"/>
              <w:rPr>
                <w:sz w:val="20"/>
                <w:szCs w:val="20"/>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r>
        <w:trPr>
          <w:trHeight w:val="487"/>
        </w:trPr>
        <w:tc>
          <w:tcPr>
            <w:tcW w:w="51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DANIEL E. SWANSTROM II</w:t>
            </w:r>
          </w:p>
        </w:tc>
      </w:tr>
      <w:tr>
        <w:trPr>
          <w:trHeight w:val="210"/>
        </w:trPr>
        <w:tc>
          <w:tcPr>
            <w:tcW w:w="516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Daniel E. Swanstrom II</w:t>
            </w:r>
          </w:p>
        </w:tc>
      </w:tr>
      <w:tr>
        <w:trPr>
          <w:trHeight w:val="224"/>
        </w:trPr>
        <w:tc>
          <w:tcPr>
            <w:tcW w:w="51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Senior Executive Vice President, Treasurer and Chief Financial Officer</w:t>
            </w:r>
          </w:p>
        </w:tc>
      </w:tr>
      <w:tr>
        <w:trPr>
          <w:trHeight w:val="230"/>
        </w:trPr>
        <w:tc>
          <w:tcPr>
            <w:tcW w:w="5160" w:type="dxa"/>
            <w:vAlign w:val="bottom"/>
          </w:tcPr>
          <w:p>
            <w:pPr>
              <w:spacing w:after="0"/>
              <w:rPr>
                <w:sz w:val="20"/>
                <w:szCs w:val="20"/>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r>
        <w:trPr>
          <w:trHeight w:val="487"/>
        </w:trPr>
        <w:tc>
          <w:tcPr>
            <w:tcW w:w="51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CHRISTOPHER J. ZECCHINI</w:t>
            </w:r>
          </w:p>
        </w:tc>
      </w:tr>
      <w:tr>
        <w:trPr>
          <w:trHeight w:val="210"/>
        </w:trPr>
        <w:tc>
          <w:tcPr>
            <w:tcW w:w="516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Christopher J. Zecchini</w:t>
            </w:r>
          </w:p>
        </w:tc>
      </w:tr>
      <w:tr>
        <w:trPr>
          <w:trHeight w:val="224"/>
        </w:trPr>
        <w:tc>
          <w:tcPr>
            <w:tcW w:w="51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Senior Vice President and Chief Accounting Officer</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20"/>
          </w:cols>
          <w:pgMar w:left="320" w:top="118" w:right="6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Jackson Hsieh, certify that:</w:t>
      </w:r>
    </w:p>
    <w:p>
      <w:pPr>
        <w:spacing w:after="0" w:line="148" w:lineRule="exact"/>
        <w:rPr>
          <w:sz w:val="20"/>
          <w:szCs w:val="20"/>
          <w:color w:val="auto"/>
        </w:rPr>
      </w:pPr>
    </w:p>
    <w:p>
      <w:pPr>
        <w:ind w:left="640" w:hanging="3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September 30, 2025 of The Macerich Company;</w:t>
      </w:r>
    </w:p>
    <w:p>
      <w:pPr>
        <w:spacing w:after="0" w:line="148"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60" w:right="80" w:hanging="323"/>
        <w:spacing w:after="0" w:line="256" w:lineRule="auto"/>
        <w:tabs>
          <w:tab w:leader="none" w:pos="9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8"/>
          <w:szCs w:val="18"/>
          <w:color w:val="auto"/>
        </w:rPr>
      </w:pPr>
    </w:p>
    <w:p>
      <w:pPr>
        <w:ind w:left="960" w:right="240" w:hanging="323"/>
        <w:spacing w:after="0" w:line="268" w:lineRule="auto"/>
        <w:tabs>
          <w:tab w:leader="none" w:pos="9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960" w:right="220" w:hanging="323"/>
        <w:spacing w:after="0" w:line="267" w:lineRule="auto"/>
        <w:tabs>
          <w:tab w:leader="none" w:pos="9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6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13970</wp:posOffset>
            </wp:positionV>
            <wp:extent cx="28155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8" w:lineRule="exact"/>
        <w:rPr>
          <w:sz w:val="20"/>
          <w:szCs w:val="20"/>
          <w:color w:val="auto"/>
        </w:rPr>
      </w:pPr>
    </w:p>
    <w:p>
      <w:pPr>
        <w:ind w:left="980"/>
        <w:spacing w:after="0"/>
        <w:tabs>
          <w:tab w:leader="none" w:pos="1720" w:val="left"/>
          <w:tab w:leader="none" w:pos="6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2025</w:t>
      </w:r>
      <w:r>
        <w:rPr>
          <w:sz w:val="20"/>
          <w:szCs w:val="20"/>
          <w:color w:val="auto"/>
        </w:rPr>
        <w:tab/>
      </w:r>
      <w:r>
        <w:rPr>
          <w:rFonts w:ascii="Times New Roman" w:cs="Times New Roman" w:eastAsia="Times New Roman" w:hAnsi="Times New Roman"/>
          <w:sz w:val="16"/>
          <w:szCs w:val="16"/>
          <w:i w:val="1"/>
          <w:iCs w:val="1"/>
          <w:color w:val="auto"/>
        </w:rPr>
        <w:t>Chief Executive Officer</w:t>
      </w:r>
    </w:p>
    <w:p>
      <w:pPr>
        <w:sectPr>
          <w:pgSz w:w="11900" w:h="16838" w:orient="portrait"/>
          <w:cols w:equalWidth="0" w:num="1">
            <w:col w:w="11240"/>
          </w:cols>
          <w:pgMar w:left="320" w:top="96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E. Swanstrom II, certify that:</w:t>
      </w:r>
    </w:p>
    <w:p>
      <w:pPr>
        <w:spacing w:after="0" w:line="148" w:lineRule="exact"/>
        <w:rPr>
          <w:sz w:val="20"/>
          <w:szCs w:val="20"/>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September 30, 2025 of The Macerich Company;</w:t>
      </w:r>
    </w:p>
    <w:p>
      <w:pPr>
        <w:spacing w:after="0" w:line="148"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60" w:right="80" w:hanging="323"/>
        <w:spacing w:after="0" w:line="256" w:lineRule="auto"/>
        <w:tabs>
          <w:tab w:leader="none" w:pos="9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8"/>
          <w:szCs w:val="18"/>
          <w:color w:val="auto"/>
        </w:rPr>
      </w:pPr>
    </w:p>
    <w:p>
      <w:pPr>
        <w:ind w:left="960" w:right="240" w:hanging="323"/>
        <w:spacing w:after="0" w:line="268" w:lineRule="auto"/>
        <w:tabs>
          <w:tab w:leader="none" w:pos="9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960" w:right="220" w:hanging="323"/>
        <w:spacing w:after="0" w:line="267" w:lineRule="auto"/>
        <w:tabs>
          <w:tab w:leader="none" w:pos="9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5580"/>
        <w:spacing w:after="0"/>
        <w:rPr>
          <w:sz w:val="20"/>
          <w:szCs w:val="20"/>
          <w:color w:val="auto"/>
        </w:rPr>
      </w:pPr>
      <w:r>
        <w:rPr>
          <w:rFonts w:ascii="Times New Roman" w:cs="Times New Roman" w:eastAsia="Times New Roman" w:hAnsi="Times New Roman"/>
          <w:sz w:val="18"/>
          <w:szCs w:val="18"/>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13970</wp:posOffset>
            </wp:positionV>
            <wp:extent cx="31921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8" w:lineRule="exact"/>
        <w:rPr>
          <w:sz w:val="20"/>
          <w:szCs w:val="20"/>
          <w:color w:val="auto"/>
        </w:rPr>
      </w:pPr>
    </w:p>
    <w:p>
      <w:pPr>
        <w:ind w:left="980"/>
        <w:spacing w:after="0"/>
        <w:tabs>
          <w:tab w:leader="none" w:pos="1720" w:val="left"/>
          <w:tab w:leader="none" w:pos="5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2025</w:t>
      </w:r>
      <w:r>
        <w:rPr>
          <w:sz w:val="20"/>
          <w:szCs w:val="20"/>
          <w:color w:val="auto"/>
        </w:rPr>
        <w:tab/>
      </w:r>
      <w:r>
        <w:rPr>
          <w:rFonts w:ascii="Times New Roman" w:cs="Times New Roman" w:eastAsia="Times New Roman" w:hAnsi="Times New Roman"/>
          <w:sz w:val="16"/>
          <w:szCs w:val="16"/>
          <w:i w:val="1"/>
          <w:iCs w:val="1"/>
          <w:color w:val="auto"/>
        </w:rPr>
        <w:t>Senior Executive Vice President and Chief Financial Officer</w:t>
      </w:r>
    </w:p>
    <w:p>
      <w:pPr>
        <w:sectPr>
          <w:pgSz w:w="11900" w:h="16838" w:orient="portrait"/>
          <w:cols w:equalWidth="0" w:num="1">
            <w:col w:w="11240"/>
          </w:cols>
          <w:pgMar w:left="320" w:top="96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8" w:lineRule="exact"/>
        <w:rPr>
          <w:sz w:val="20"/>
          <w:szCs w:val="20"/>
          <w:color w:val="auto"/>
        </w:rPr>
      </w:pPr>
    </w:p>
    <w:p>
      <w:pPr>
        <w:ind w:right="480" w:firstLine="316"/>
        <w:spacing w:after="0" w:line="268" w:lineRule="auto"/>
        <w:rPr>
          <w:sz w:val="20"/>
          <w:szCs w:val="20"/>
          <w:color w:val="auto"/>
        </w:rPr>
      </w:pPr>
      <w:r>
        <w:rPr>
          <w:rFonts w:ascii="Times New Roman" w:cs="Times New Roman" w:eastAsia="Times New Roman" w:hAnsi="Times New Roman"/>
          <w:sz w:val="18"/>
          <w:szCs w:val="18"/>
          <w:color w:val="auto"/>
        </w:rPr>
        <w:t>The undersigned, Jackson Hsieh and Daniel E. Swanstrom II, the Chief Executive Officer and Chief Financial Officer, respectively, of The Macerich Company (the "Company"), pursuant to 18 U.S.C. §1350, each hereby certifies that, to the best of his knowledge:</w:t>
      </w:r>
    </w:p>
    <w:p>
      <w:pPr>
        <w:spacing w:after="0" w:line="38" w:lineRule="exact"/>
        <w:rPr>
          <w:sz w:val="20"/>
          <w:szCs w:val="20"/>
          <w:color w:val="auto"/>
        </w:rPr>
      </w:pPr>
    </w:p>
    <w:p>
      <w:pPr>
        <w:ind w:left="960" w:right="960" w:hanging="323"/>
        <w:spacing w:after="0" w:line="268"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2025 of the Company (the "Report") fully complies with the requirements of Section 13(a) and 15(d) of the Securities Exchange Act of 1934, as amended; and</w:t>
      </w:r>
    </w:p>
    <w:p>
      <w:pPr>
        <w:spacing w:after="0" w:line="50"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13970</wp:posOffset>
            </wp:positionV>
            <wp:extent cx="35680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13970</wp:posOffset>
            </wp:positionV>
            <wp:extent cx="3568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1"/>
    </w:lvl>
    <w:lvl w:ilvl="1">
      <w:lvlJc w:val="left"/>
      <w:lvlText w:val="(%2)"/>
      <w:numFmt w:val="decimal"/>
      <w:start w:val="1"/>
    </w:lvl>
  </w:abstractNum>
  <w:abstractNum w:abstractNumId="4">
    <w:nsid w:val="431BD7B7"/>
    <w:multiLevelType w:val="hybridMultilevel"/>
    <w:lvl w:ilvl="0">
      <w:lvlJc w:val="left"/>
      <w:lvlText w:val="%1."/>
      <w:numFmt w:val="decimal"/>
      <w:start w:val="4"/>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2"/>
    </w:lvl>
  </w:abstractNum>
  <w:abstractNum w:abstractNumId="12">
    <w:nsid w:val="721DA317"/>
    <w:multiLevelType w:val="hybridMultilevel"/>
    <w:lvl w:ilvl="0">
      <w:lvlJc w:val="left"/>
      <w:lvlText w:val="%1."/>
      <w:numFmt w:val="decimal"/>
      <w:start w:val="10"/>
    </w:lvl>
    <w:lvl w:ilvl="1">
      <w:lvlJc w:val="left"/>
      <w:lvlText w:val="(%2)"/>
      <w:numFmt w:val="decimal"/>
      <w:start w:val="14"/>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4"/>
    </w:lvl>
  </w:abstractNum>
  <w:abstractNum w:abstractNumId="16">
    <w:nsid w:val="75A2A8D4"/>
    <w:multiLevelType w:val="hybridMultilevel"/>
    <w:lvl w:ilvl="0">
      <w:lvlJc w:val="left"/>
      <w:lvlText w:val="%1."/>
      <w:numFmt w:val="decimal"/>
      <w:start w:val="15"/>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Letter"/>
      <w:start w:val="1"/>
    </w:lvl>
    <w:lvl w:ilvl="1">
      <w:lvlJc w:val="left"/>
      <w:lvlText w:val="(%2)"/>
      <w:numFmt w:val="lowerLetter"/>
      <w:start w:val="1"/>
    </w:lvl>
  </w:abstractNum>
  <w:abstractNum w:abstractNumId="25">
    <w:nsid w:val="836C40E"/>
    <w:multiLevelType w:val="hybridMultilevel"/>
    <w:lvl w:ilvl="0">
      <w:lvlJc w:val="left"/>
      <w:lvlText w:val="(%1)"/>
      <w:numFmt w:val="lowerLetter"/>
      <w:start w:val="3"/>
    </w:lvl>
    <w:lvl w:ilvl="1">
      <w:lvlJc w:val="left"/>
      <w:lvlText w:val="%2"/>
      <w:numFmt w:val="lowerLetter"/>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lvl w:ilvl="1">
      <w:lvlJc w:val="left"/>
      <w:lvlText w:val="%2"/>
      <w:numFmt w:val="decimal"/>
      <w:start w:val="104"/>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71" Type="http://schemas.openxmlformats.org/officeDocument/2006/relationships/hyperlink" Target="https://www.sec.gov/Archives/edgar/data/912242/000110465914081468/a14-24669_1ex2d1.htm" TargetMode="External"/><Relationship Id="rId72" Type="http://schemas.openxmlformats.org/officeDocument/2006/relationships/hyperlink" Target="https://www.sec.gov/Archives/edgar/data/912242/0001047469-99-012492.txt" TargetMode="External"/><Relationship Id="rId73" Type="http://schemas.openxmlformats.org/officeDocument/2006/relationships/hyperlink" Target="https://www.sec.gov/Archives/edgar/data/912242/000091205702030706/a2086079zex-3_1.htm" TargetMode="External"/><Relationship Id="rId74" Type="http://schemas.openxmlformats.org/officeDocument/2006/relationships/hyperlink" Target="https://www.sec.gov/Archives/edgar/data/912242/000091205702021417/a2080342zex-4_6.htm" TargetMode="External"/><Relationship Id="rId75" Type="http://schemas.openxmlformats.org/officeDocument/2006/relationships/hyperlink" Target="https://www.sec.gov/Archives/edgar/data/912242/000104746909001981/a2189901zex-3_15.htm" TargetMode="External"/><Relationship Id="rId76" Type="http://schemas.openxmlformats.org/officeDocument/2006/relationships/hyperlink" Target="https://www.sec.gov/Archives/edgar/data/912242/000110465909008348/a09-5253_1ex3d1.htm" TargetMode="External"/><Relationship Id="rId77" Type="http://schemas.openxmlformats.org/officeDocument/2006/relationships/hyperlink" Target="https://www.sec.gov/Archives/edgar/data/912242/000104746909007391/a2193924zex-3_17.htm" TargetMode="External"/><Relationship Id="rId78" Type="http://schemas.openxmlformats.org/officeDocument/2006/relationships/hyperlink" Target="https://www.sec.gov/Archives/edgar/data/912242/000110465914043330/a14-14485_1ex3d1.htm" TargetMode="External"/><Relationship Id="rId79" Type="http://schemas.openxmlformats.org/officeDocument/2006/relationships/hyperlink" Target="https://www.sec.gov/Archives/edgar/data/912242/000110465915020412/a15-6870_1ex3d1.htm" TargetMode="External"/><Relationship Id="rId80" Type="http://schemas.openxmlformats.org/officeDocument/2006/relationships/hyperlink" Target="https://www.sec.gov/Archives/edgar/data/912242/000110465915020810/a15-6873_1ex3d1.htm" TargetMode="External"/><Relationship Id="rId81" Type="http://schemas.openxmlformats.org/officeDocument/2006/relationships/hyperlink" Target="https://www.sec.gov/Archives/edgar/data/912242/000110465915037228/a15-11185_1ex3d1.htm" TargetMode="External"/><Relationship Id="rId82" Type="http://schemas.openxmlformats.org/officeDocument/2006/relationships/hyperlink" Target="https://www.sec.gov/Archives/edgar/data/912242/000110465915042631/a15-13305_1ex3d1.htm" TargetMode="External"/><Relationship Id="rId83" Type="http://schemas.openxmlformats.org/officeDocument/2006/relationships/hyperlink" Target="https://www.sec.gov/Archives/edgar/data/912242/000119312519129272/d731295dex31.htm" TargetMode="External"/><Relationship Id="rId84" Type="http://schemas.openxmlformats.org/officeDocument/2006/relationships/hyperlink" Target="https://www.sec.gov/Archives/edgar/data/912242/000119312521182973/d417870dex31.htm" TargetMode="External"/><Relationship Id="rId85" Type="http://schemas.openxmlformats.org/officeDocument/2006/relationships/hyperlink" Target="https://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2025-11-05T07:51:02Z</dcterms:created>
  <dcterms:modified xsi:type="dcterms:W3CDTF">2025-11-05T07:51:02Z</dcterms:modified>
</cp:coreProperties>
</file>