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1426210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3"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0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9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5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color w:val="auto"/>
        </w:rPr>
        <w:t>Maryland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95-4448705</w:t>
      </w:r>
    </w:p>
    <w:p>
      <w:pPr>
        <w:spacing w:after="0" w:line="28" w:lineRule="exact"/>
        <w:rPr>
          <w:sz w:val="24"/>
          <w:szCs w:val="24"/>
          <w:color w:val="auto"/>
        </w:rPr>
      </w:pPr>
    </w:p>
    <w:p>
      <w:pPr>
        <w:sectPr>
          <w:pgSz w:w="11900" w:h="16838" w:orient="portrait"/>
          <w:cols w:equalWidth="0" w:num="2">
            <w:col w:w="7320" w:space="720"/>
            <w:col w:w="3140"/>
          </w:cols>
          <w:pgMar w:left="320" w:top="1440" w:right="39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8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93" w:lineRule="exact"/>
        <w:rPr>
          <w:sz w:val="24"/>
          <w:szCs w:val="24"/>
          <w:color w:val="auto"/>
        </w:rPr>
      </w:pPr>
    </w:p>
    <w:p>
      <w:pPr>
        <w:sectPr>
          <w:pgSz w:w="11900" w:h="16838" w:orient="portrait"/>
          <w:cols w:equalWidth="0" w:num="2">
            <w:col w:w="6380" w:space="720"/>
            <w:col w:w="4080"/>
          </w:cols>
          <w:pgMar w:left="320" w:top="1440" w:right="399" w:bottom="1440" w:gutter="0" w:footer="0" w:header="0"/>
          <w:type w:val="continuous"/>
        </w:sectPr>
      </w:pPr>
    </w:p>
    <w:p>
      <w:pPr>
        <w:jc w:val="center"/>
        <w:ind w:left="400"/>
        <w:spacing w:after="0"/>
        <w:rPr>
          <w:sz w:val="20"/>
          <w:szCs w:val="20"/>
          <w:color w:val="auto"/>
        </w:rPr>
      </w:pPr>
      <w:r>
        <w:rPr>
          <w:rFonts w:ascii="Times New Roman" w:cs="Times New Roman" w:eastAsia="Times New Roman" w:hAnsi="Times New Roman"/>
          <w:sz w:val="16"/>
          <w:szCs w:val="16"/>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Times New Roman" w:cs="Times New Roman" w:eastAsia="Times New Roman" w:hAnsi="Times New Roman"/>
          <w:sz w:val="16"/>
          <w:szCs w:val="16"/>
          <w:color w:val="auto"/>
        </w:rPr>
        <w:t>90401</w:t>
      </w:r>
    </w:p>
    <w:p>
      <w:pPr>
        <w:spacing w:after="0" w:line="32" w:lineRule="exact"/>
        <w:rPr>
          <w:sz w:val="24"/>
          <w:szCs w:val="24"/>
          <w:color w:val="auto"/>
        </w:rPr>
      </w:pPr>
    </w:p>
    <w:p>
      <w:pPr>
        <w:sectPr>
          <w:pgSz w:w="11900" w:h="16838" w:orient="portrait"/>
          <w:cols w:equalWidth="0" w:num="5">
            <w:col w:w="2000" w:space="420"/>
            <w:col w:w="660" w:space="340"/>
            <w:col w:w="940" w:space="400"/>
            <w:col w:w="2740" w:space="720"/>
            <w:col w:w="2960"/>
          </w:cols>
          <w:pgMar w:left="320" w:top="1440" w:right="39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340" w:space="720"/>
            <w:col w:w="3120"/>
          </w:cols>
          <w:pgMar w:left="320" w:top="1440" w:right="39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80"/>
          </w:cols>
          <w:pgMar w:left="320" w:top="1440" w:right="399" w:bottom="1440" w:gutter="0" w:footer="0" w:header="0"/>
          <w:type w:val="continuous"/>
        </w:sectPr>
      </w:pPr>
    </w:p>
    <w:p>
      <w:pPr>
        <w:spacing w:after="0" w:line="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29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80"/>
          </w:cols>
          <w:pgMar w:left="320" w:top="1440" w:right="399" w:bottom="1440" w:gutter="0" w:footer="0" w:header="0"/>
          <w:type w:val="continuous"/>
        </w:sectPr>
      </w:pPr>
    </w:p>
    <w:p>
      <w:pPr>
        <w:spacing w:after="0" w:line="5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40" w:space="720"/>
            <w:col w:w="2000" w:space="720"/>
            <w:col w:w="3700"/>
          </w:cols>
          <w:pgMar w:left="320" w:top="1440" w:right="399" w:bottom="1440" w:gutter="0" w:footer="0" w:header="0"/>
          <w:type w:val="continuous"/>
        </w:sectPr>
      </w:pPr>
    </w:p>
    <w:p>
      <w:pPr>
        <w:spacing w:after="0" w:line="52" w:lineRule="exact"/>
        <w:rPr>
          <w:sz w:val="24"/>
          <w:szCs w:val="24"/>
          <w:color w:val="auto"/>
        </w:rPr>
      </w:pPr>
    </w:p>
    <w:p>
      <w:pPr>
        <w:jc w:val="both"/>
        <w:ind w:right="180" w:firstLine="445"/>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firstLine="445"/>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6" w:lineRule="exact"/>
        <w:rPr>
          <w:sz w:val="24"/>
          <w:szCs w:val="24"/>
          <w:color w:val="auto"/>
        </w:rPr>
      </w:pPr>
    </w:p>
    <w:p>
      <w:pPr>
        <w:ind w:right="280" w:firstLine="445"/>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3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both"/>
        <w:ind w:hanging="20"/>
        <w:spacing w:after="0" w:line="316" w:lineRule="auto"/>
        <w:rPr>
          <w:sz w:val="20"/>
          <w:szCs w:val="20"/>
          <w:color w:val="auto"/>
        </w:rPr>
      </w:pPr>
      <w:r>
        <w:rPr>
          <w:rFonts w:ascii="Times New Roman" w:cs="Times New Roman" w:eastAsia="Times New Roman" w:hAnsi="Times New Roman"/>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sectPr>
          <w:pgSz w:w="11900" w:h="16838" w:orient="portrait"/>
          <w:cols w:equalWidth="0" w:num="8">
            <w:col w:w="1920" w:space="420"/>
            <w:col w:w="180" w:space="480"/>
            <w:col w:w="1120" w:space="440"/>
            <w:col w:w="140" w:space="560"/>
            <w:col w:w="1440" w:space="560"/>
            <w:col w:w="540" w:space="720"/>
            <w:col w:w="1860" w:space="120"/>
            <w:col w:w="680"/>
          </w:cols>
          <w:pgMar w:left="320" w:top="1440" w:right="399" w:bottom="1440" w:gutter="0" w:footer="0" w:header="0"/>
          <w:type w:val="continuous"/>
        </w:sectPr>
      </w:pPr>
    </w:p>
    <w:p>
      <w:pPr>
        <w:ind w:right="80" w:firstLine="445"/>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left="460"/>
        <w:spacing w:after="0" w:line="196" w:lineRule="exact"/>
        <w:tabs>
          <w:tab w:leader="none" w:pos="85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Number of shares outstanding as of May 9, 2025 of the registrant's common stock, par value $0.01 per share: 252,648,795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580" w:type="dxa"/>
            <w:vAlign w:val="bottom"/>
            <w:gridSpan w:val="9"/>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2025 and December 31,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months ended March 31,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three months ended March 31, 2025 and 2024</w:t>
            </w:r>
          </w:p>
        </w:tc>
        <w:tc>
          <w:tcPr>
            <w:tcW w:w="1020" w:type="dxa"/>
            <w:vAlign w:val="bottom"/>
            <w:gridSpan w:val="3"/>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months ended March 31, 2025 and 2024</w:t>
            </w:r>
          </w:p>
        </w:tc>
        <w:tc>
          <w:tcPr>
            <w:tcW w:w="332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2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00" w:type="dxa"/>
            <w:vAlign w:val="bottom"/>
            <w:gridSpan w:val="3"/>
          </w:tcPr>
          <w:p>
            <w:pPr>
              <w:spacing w:after="0"/>
              <w:rPr>
                <w:sz w:val="22"/>
                <w:szCs w:val="22"/>
                <w:color w:val="auto"/>
              </w:rPr>
            </w:pP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60" w:type="dxa"/>
            <w:vAlign w:val="bottom"/>
            <w:gridSpan w:val="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64"/>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6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6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6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6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2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80" w:type="dxa"/>
            <w:vAlign w:val="bottom"/>
            <w:gridSpan w:val="10"/>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64"/>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00" w:type="dxa"/>
            <w:vAlign w:val="bottom"/>
            <w:gridSpan w:val="3"/>
          </w:tcPr>
          <w:p>
            <w:pPr>
              <w:spacing w:after="0"/>
              <w:rPr>
                <w:sz w:val="22"/>
                <w:szCs w:val="22"/>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2"/>
                <w:szCs w:val="22"/>
                <w:color w:val="auto"/>
              </w:rPr>
            </w:pPr>
          </w:p>
        </w:tc>
        <w:tc>
          <w:tcPr>
            <w:tcW w:w="824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00" w:type="dxa"/>
            <w:vAlign w:val="bottom"/>
            <w:gridSpan w:val="3"/>
          </w:tcPr>
          <w:p>
            <w:pPr>
              <w:spacing w:after="0"/>
              <w:rPr>
                <w:sz w:val="22"/>
                <w:szCs w:val="22"/>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40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63"/>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Signature</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7,021,458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7,097,113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654,667</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8,680,059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8,567,039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5,232,196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4,894,525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r>
      <w:tr>
        <w:trPr>
          <w:trHeight w:val="223"/>
        </w:trPr>
        <w:tc>
          <w:tcPr>
            <w:tcW w:w="82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5,936,136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5,724,614</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at March 31, 2025 and December 31, 2024,</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82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253,030,425 and 252,925,496 shares issued and outstanding at March 31, 2025 and December 31, 2024,</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6,160,780</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(3,406,786)</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2,756,487</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85,938</w:t>
            </w:r>
          </w:p>
        </w:tc>
      </w:tr>
      <w:tr>
        <w:trPr>
          <w:trHeight w:val="223"/>
        </w:trPr>
        <w:tc>
          <w:tcPr>
            <w:tcW w:w="82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2,743,923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2,842,425</w:t>
            </w:r>
          </w:p>
        </w:tc>
      </w:tr>
      <w:tr>
        <w:trPr>
          <w:trHeight w:val="248"/>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235,647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191,652</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Management Companies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249,224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208,783</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74,187</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19,199</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179,902</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52,190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232,092</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(73,276)</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(36,085)</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(131,446)</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per common share—attributable to common stockholders: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252,992,000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216,036,000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252,992,000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216,036,000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1680" w:type="dxa"/>
        <w:tblCellMar>
          <w:top w:w="0" w:type="dxa"/>
          <w:left w:w="0" w:type="dxa"/>
          <w:bottom w:w="0" w:type="dxa"/>
          <w:right w:w="0" w:type="dxa"/>
        </w:tblCellMar>
      </w:tblPr>
      <w:tr>
        <w:trPr>
          <w:trHeight w:val="210"/>
        </w:trPr>
        <w:tc>
          <w:tcPr>
            <w:tcW w:w="5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(131,446)</w:t>
            </w:r>
          </w:p>
        </w:tc>
      </w:tr>
      <w:tr>
        <w:trPr>
          <w:trHeight w:val="19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(130,831)</w:t>
            </w: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(126,113)</w:t>
            </w:r>
          </w:p>
        </w:tc>
      </w:tr>
      <w:tr>
        <w:trPr>
          <w:trHeight w:val="21"/>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6"/>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252,925,496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6,160,780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(3,406,786)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2,756,487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85,938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2,842,425</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(51,153)</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3,482</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offerings,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($0.17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(43,929)</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(6,504)</w:t>
            </w: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Conversion of noncontrolling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to common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253,030,425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6,161,896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(3,500,838)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2,663,572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80,351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2,743,923</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8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line="20" w:lineRule="exact"/>
              <w:rPr>
                <w:sz w:val="1"/>
                <w:szCs w:val="1"/>
                <w:color w:val="auto"/>
              </w:rPr>
            </w:pPr>
          </w:p>
        </w:tc>
        <w:tc>
          <w:tcPr>
            <w:tcW w:w="740" w:type="dxa"/>
            <w:vAlign w:val="bottom"/>
            <w:vMerge w:val="restart"/>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2"/>
        </w:trPr>
        <w:tc>
          <w:tcPr>
            <w:tcW w:w="1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215,976,614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5,509,603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(3,063,789)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2,447,020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80,581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2,527,601</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(131,446)</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115,079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($0.17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216,091,693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5,512,628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(3,227,312)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2,287,138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73,477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2,360,615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4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16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16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5"/>
        </w:trPr>
        <w:tc>
          <w:tcPr>
            <w:tcW w:w="160" w:type="dxa"/>
            <w:vAlign w:val="bottom"/>
          </w:tcPr>
          <w:p>
            <w:pPr>
              <w:spacing w:after="0"/>
              <w:rPr>
                <w:sz w:val="19"/>
                <w:szCs w:val="19"/>
                <w:color w:val="auto"/>
              </w:rPr>
            </w:pPr>
          </w:p>
        </w:tc>
        <w:tc>
          <w:tcPr>
            <w:tcW w:w="8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(131,446)</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71,382</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discount on mortgage notes payable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loss of unconsolidated joint ventures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73,276</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30,598</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Due from affiliates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61,095</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40" w:type="dxa"/>
            <w:vAlign w:val="bottom"/>
          </w:tcPr>
          <w:p>
            <w:pPr>
              <w:spacing w:after="0"/>
              <w:rPr>
                <w:sz w:val="19"/>
                <w:szCs w:val="19"/>
                <w:color w:val="auto"/>
              </w:rPr>
            </w:pPr>
          </w:p>
        </w:tc>
      </w:tr>
      <w:tr>
        <w:trPr>
          <w:trHeight w:val="898"/>
        </w:trPr>
        <w:tc>
          <w:tcPr>
            <w:tcW w:w="8580" w:type="dxa"/>
            <w:vAlign w:val="bottom"/>
            <w:gridSpan w:val="2"/>
          </w:tcPr>
          <w:p>
            <w:pPr>
              <w:jc w:val="right"/>
              <w:ind w:right="28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8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0"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8420" w:type="dxa"/>
            <w:vAlign w:val="bottom"/>
          </w:tcPr>
          <w:p>
            <w:pPr>
              <w:ind w:left="50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8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(225,244)</w:t>
            </w:r>
          </w:p>
        </w:tc>
        <w:tc>
          <w:tcPr>
            <w:tcW w:w="0" w:type="dxa"/>
            <w:vAlign w:val="bottom"/>
          </w:tcPr>
          <w:p>
            <w:pPr>
              <w:spacing w:after="0"/>
              <w:rPr>
                <w:sz w:val="1"/>
                <w:szCs w:val="1"/>
                <w:color w:val="auto"/>
              </w:rPr>
            </w:pP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from stock offerings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42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48,898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43,244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62"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retail centers and community/power shopping centers (the "Centers") located throughout the United States.</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March 31, 2025,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0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2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77" w:lineRule="exact"/>
        <w:rPr>
          <w:sz w:val="20"/>
          <w:szCs w:val="20"/>
          <w:color w:val="auto"/>
        </w:rPr>
      </w:pPr>
    </w:p>
    <w:p>
      <w:pPr>
        <w:ind w:left="420" w:right="7600" w:hanging="412"/>
        <w:spacing w:after="0" w:line="424" w:lineRule="auto"/>
        <w:tabs>
          <w:tab w:leader="none" w:pos="1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99"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122,102</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219,595</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71,268</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290,863</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2024.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2024 has been derived from the audited financial statements but does not include all disclosures required by GAAP.</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94,936</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95,358</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120,054</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105,025</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225,079</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Improvements to Income Tax Disclosures. This ASU requires disaggregated information about a reporting entity's effective tax rate reconciliation as well as information on income taxes paid and will be effective for annual periods beginning after December 15, 2024. The new requirements should be applied on a prospective basis with an option to apply them retrospectively. Early adoption is permitted. The Company is evaluating the impact that ASU 2023-09 will have on its consolidated financial statements and related disclosures.</w:t>
      </w:r>
    </w:p>
    <w:p>
      <w:pPr>
        <w:spacing w:after="0" w:line="21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amendments in ASU 2024-03 apply to all public business entities and require disclosure of specified information about certain costs and expenses. ASU 2024-03 is effective for annual reporting periods beginning after December 15, 2026, and interim periods within fiscal years beginning after December 15, 2027, with early adoption permitted. The Company is currently evaluating the potential impact of adopting ASU 2024-03.</w:t>
      </w:r>
    </w:p>
    <w:p>
      <w:pPr>
        <w:spacing w:after="0" w:line="210" w:lineRule="exact"/>
        <w:rPr>
          <w:sz w:val="20"/>
          <w:szCs w:val="20"/>
          <w:color w:val="auto"/>
        </w:rPr>
      </w:pPr>
    </w:p>
    <w:p>
      <w:pPr>
        <w:ind w:right="80" w:firstLine="445"/>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2024-04, Debt - Debt with Conversion and Other Options (Subtopic 470-20): Induced Conversions of Convertible Debt Instruments ("ASU 2024-04"). The amendments in ASU 2024-04 clarify the requirements for determining whether certain settlements of convertible debt instruments should be accounted for as an induced conversion. The new guidance is effective for annual reporting periods beginning after December 15, 2025, and interim periods within those annual periods. The Company is currently evaluating the potential impact of adopting ASU 2024-04.</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months ended March 31, 2025 and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(131,446)</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(126,728)</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EPS—net loss attributable to common stockholders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(126,914)</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252,992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216,036</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attributable to common stockholders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(shares in thousands):  </w:t>
            </w:r>
            <w:r>
              <w:rPr>
                <w:rFonts w:ascii="Times New Roman" w:cs="Times New Roman" w:eastAsia="Times New Roman" w:hAnsi="Times New Roman"/>
                <w:sz w:val="35"/>
                <w:szCs w:val="35"/>
                <w:color w:val="auto"/>
                <w:vertAlign w:val="superscript"/>
              </w:rPr>
              <w:t>Basic and diluted</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
        </w:trPr>
        <w:tc>
          <w:tcPr>
            <w:tcW w:w="782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60" w:hanging="328"/>
        <w:spacing w:after="0" w:line="278" w:lineRule="auto"/>
        <w:tabs>
          <w:tab w:leader="none" w:pos="648"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convertible preferred partnership units for each of the three months ended March 31, 2025 and 2024, as their impact was antidilutive. Diluted EPS also excludes 10,858,664 and 10,104,663 Operating Partnership units ("OP Units") for the three months ended March 31, 2025 and 2024, respectively, as their impact was antidilutive.</w:t>
      </w:r>
    </w:p>
    <w:p>
      <w:pPr>
        <w:spacing w:after="0" w:line="313"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within its unconsolidated joint ventures: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$24,000 loan that bears interest at a variable rate of SOFR plus 2.50%, is interest only during the entire loan term, and matures on December 5, 2028.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3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16" w:lineRule="exact"/>
        <w:rPr>
          <w:sz w:val="20"/>
          <w:szCs w:val="20"/>
          <w:color w:val="auto"/>
        </w:rPr>
      </w:pPr>
    </w:p>
    <w:p>
      <w:pPr>
        <w:ind w:right="40" w:firstLine="445"/>
        <w:spacing w:after="0" w:line="289" w:lineRule="auto"/>
        <w:rPr>
          <w:sz w:val="20"/>
          <w:szCs w:val="20"/>
          <w:color w:val="auto"/>
        </w:rPr>
      </w:pPr>
      <w:r>
        <w:rPr>
          <w:rFonts w:ascii="Times New Roman" w:cs="Times New Roman" w:eastAsia="Times New Roman" w:hAnsi="Times New Roman"/>
          <w:sz w:val="17"/>
          <w:szCs w:val="17"/>
          <w:color w:val="auto"/>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spacing w:after="0" w:line="7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spacing w:after="0" w:line="10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June 13, 2024, the Company accounts for its investment in Chandler Fashion Center under the equity method of accounting (See Note 12—Financing Arrangement and Note 16—Dispositions).</w:t>
      </w:r>
    </w:p>
    <w:p>
      <w:pPr>
        <w:spacing w:after="0" w:line="9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spacing w:after="0" w:line="81"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July 31, 2024, the Company sold its 50% interest in Biltmore Fashion Park, a 611,000 square foot regional retail center in Phoenix, Arizona, for $110,000. The Company used the net proceeds to pay down debt. The Company recognized a gain of approximately $42,815 in connection with this transaction (See Note 6—Property, net).</w:t>
      </w:r>
    </w:p>
    <w:p>
      <w:pPr>
        <w:spacing w:after="0" w:line="10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includes Los Cerritos Center, Washington Square and Lakewood Center, for a net purchase price of approximately $122,132, which includes the assumption of the partner's share of property level indebtedness. As a result of this transaction and the shortening of holding periods, an impairment loss was recorded by the joint venture. The Company's share of the impairment loss was $117,031. The Company now owns and consolidates its 100% interests in these properties (See Note 15—Acquisitions).</w:t>
      </w:r>
    </w:p>
    <w:p>
      <w:pPr>
        <w:spacing w:after="0" w:line="11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On February 7, 2025, the Company's joint venture in Flatiron Crossing repaid in full the $14,532 mezzanine loan and $14,532 of the first mortgage, and obtained a 90-day extension for the remaining $140,479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$140,479 ($71,644 at the Company's pro rata share) of the first mortgage.</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ectPr>
          <w:pgSz w:w="11900" w:h="16838" w:orient="portrait"/>
          <w:cols w:equalWidth="0" w:num="1">
            <w:col w:w="11180"/>
          </w:cols>
          <w:pgMar w:left="320" w:top="26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3,486,944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3,519,602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459,468</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3,953,172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3,287,139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3,461,032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324,799</w:t>
            </w:r>
          </w:p>
        </w:tc>
      </w:tr>
      <w:tr>
        <w:trPr>
          <w:trHeight w:val="229"/>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92,555</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3,953,172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100,684</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361,303</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654,667</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(192,680)</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461,987</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61" w:lineRule="exact"/>
        <w:rPr>
          <w:sz w:val="20"/>
          <w:szCs w:val="20"/>
          <w:color w:val="auto"/>
        </w:rPr>
      </w:pPr>
    </w:p>
    <w:p>
      <w:pPr>
        <w:ind w:left="420" w:right="60" w:hanging="412"/>
        <w:spacing w:after="0" w:line="271"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and adjusts the basis adjustment for impairment and disposition transactions that may occur, into the Company's share of net (loss) income. The amortization of this difference was $5,348 and $75,183 for the three months ended March 31, 2025 and 2024, respectively.</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3" w:name="page14"/>
    <w:bookmarkEnd w:id="1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90"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PPR Portfolio(1)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Joint</w:t>
            </w:r>
          </w:p>
        </w:tc>
        <w:tc>
          <w:tcPr>
            <w:tcW w:w="3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5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(249,701)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its joint venture partner's 40% interest in the PPR Portfolio as described above.</w:t>
      </w:r>
    </w:p>
    <w:p>
      <w:pPr>
        <w:spacing w:after="0" w:line="149" w:lineRule="exact"/>
        <w:rPr>
          <w:rFonts w:ascii="Times New Roman" w:cs="Times New Roman" w:eastAsia="Times New Roman" w:hAnsi="Times New Roman"/>
          <w:sz w:val="14"/>
          <w:szCs w:val="14"/>
          <w:color w:val="auto"/>
        </w:rPr>
      </w:pPr>
    </w:p>
    <w:p>
      <w:pPr>
        <w:ind w:left="960" w:hanging="304"/>
        <w:spacing w:after="0"/>
        <w:tabs>
          <w:tab w:leader="none" w:pos="9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impairment losses at the Company's share of $57,686 for the three months ended March 31, 2024.</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ectPr>
          <w:pgSz w:w="11900" w:h="16838" w:orient="portrait"/>
          <w:cols w:equalWidth="0" w:num="1">
            <w:col w:w="10700"/>
          </w:cols>
          <w:pgMar w:left="320" w:top="266"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266" w:right="8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62" w:lineRule="exact"/>
        <w:rPr>
          <w:sz w:val="20"/>
          <w:szCs w:val="20"/>
          <w:color w:val="auto"/>
        </w:rPr>
      </w:pPr>
    </w:p>
    <w:p>
      <w:pPr>
        <w:ind w:right="380" w:firstLine="445"/>
        <w:spacing w:after="0" w:line="261"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loss related to the marking-to-market of derivative instruments of $20 and $615 for the three months ended March 31, 2025 and 2024, respectively. The amounts in other comprehensive income represent the Company's pro rata share of hedged derivative instruments from certain unconsolidated joint ventures.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1,713,296</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6,608,217</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617,007</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170,570</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335,890</w:t>
            </w:r>
          </w:p>
        </w:tc>
      </w:tr>
      <w:tr>
        <w:trPr>
          <w:trHeight w:val="223"/>
        </w:trPr>
        <w:tc>
          <w:tcPr>
            <w:tcW w:w="6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9,444,980</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(2,387,993)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(2,347,867)</w:t>
            </w:r>
          </w:p>
        </w:tc>
      </w:tr>
      <w:tr>
        <w:trPr>
          <w:trHeight w:val="223"/>
        </w:trPr>
        <w:tc>
          <w:tcPr>
            <w:tcW w:w="66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7,021,458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7,097,113</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140" w:hanging="484"/>
        <w:spacing w:after="0" w:line="302" w:lineRule="auto"/>
        <w:tabs>
          <w:tab w:leader="none" w:pos="103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December 31, 2024 (See Note 8—Leases). The Company's finance leases matured during the three months ended March 31, 2025.</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$73,446 and $64,759 for the three months ended March 31, 2025 and 2024, respectively.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on sale or write-down of assets, net for the three months ended March 31, 2025 and 2024 consist of the following:</w:t>
      </w:r>
    </w:p>
    <w:p>
      <w:pPr>
        <w:spacing w:after="0" w:line="184"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3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property sales, net(1)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write-down of assets(2)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land sales, net(3)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960" w:hanging="304"/>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loss related to the sale of Wilton Mall for $2,912 (See Note 16—Dispositions).</w:t>
      </w:r>
    </w:p>
    <w:p>
      <w:pPr>
        <w:spacing w:after="0" w:line="244" w:lineRule="exact"/>
        <w:rPr>
          <w:rFonts w:ascii="Times New Roman" w:cs="Times New Roman" w:eastAsia="Times New Roman" w:hAnsi="Times New Roman"/>
          <w:sz w:val="14"/>
          <w:szCs w:val="14"/>
          <w:color w:val="auto"/>
        </w:rPr>
      </w:pPr>
    </w:p>
    <w:p>
      <w:pPr>
        <w:ind w:left="1140" w:right="60" w:hanging="484"/>
        <w:spacing w:after="0" w:line="241" w:lineRule="auto"/>
        <w:tabs>
          <w:tab w:leader="none" w:pos="96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 of $13,343 for the three months ended March 31, 2025 due to the reduction of the estimated holding periods of certain properties, including SouthPark Mall. Includes impairment loss of $35,987 on Santa Monica Place for the three months ended March 31, 2024 due to the reduction of the estimated holding period of the property (See Note 10—Mortgage Notes Payable).</w:t>
      </w:r>
    </w:p>
    <w:p>
      <w:pPr>
        <w:spacing w:after="0" w:line="109" w:lineRule="exact"/>
        <w:rPr>
          <w:rFonts w:ascii="Times New Roman" w:cs="Times New Roman" w:eastAsia="Times New Roman" w:hAnsi="Times New Roman"/>
          <w:sz w:val="14"/>
          <w:szCs w:val="14"/>
          <w:color w:val="auto"/>
        </w:rPr>
      </w:pPr>
    </w:p>
    <w:p>
      <w:pPr>
        <w:ind w:left="960" w:hanging="304"/>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16—Dispositions.</w:t>
      </w:r>
    </w:p>
    <w:p>
      <w:pPr>
        <w:sectPr>
          <w:pgSz w:w="11900" w:h="16838" w:orient="portrait"/>
          <w:cols w:equalWidth="0" w:num="1">
            <w:col w:w="11180"/>
          </w:cols>
          <w:pgMar w:left="32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months ended March 31, 2025 and 2024, as described above:</w:t>
      </w: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7"/>
                <w:szCs w:val="17"/>
                <w:color w:val="auto"/>
              </w:rPr>
            </w:pPr>
          </w:p>
        </w:tc>
        <w:tc>
          <w:tcPr>
            <w:tcW w:w="17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280" w:type="dxa"/>
            <w:vAlign w:val="bottom"/>
          </w:tcPr>
          <w:p>
            <w:pPr>
              <w:spacing w:after="0"/>
              <w:rPr>
                <w:sz w:val="17"/>
                <w:szCs w:val="17"/>
                <w:color w:val="auto"/>
              </w:rPr>
            </w:pPr>
          </w:p>
        </w:tc>
        <w:tc>
          <w:tcPr>
            <w:tcW w:w="14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Total Fair Value</w:t>
            </w:r>
          </w:p>
        </w:tc>
        <w:tc>
          <w:tcPr>
            <w:tcW w:w="10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
                <w:szCs w:val="2"/>
                <w:color w:val="auto"/>
              </w:rPr>
            </w:pPr>
          </w:p>
        </w:tc>
        <w:tc>
          <w:tcPr>
            <w:tcW w:w="17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
                <w:szCs w:val="2"/>
                <w:color w:val="auto"/>
              </w:rPr>
            </w:pPr>
          </w:p>
        </w:tc>
        <w:tc>
          <w:tcPr>
            <w:tcW w:w="14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line="20" w:lineRule="exact"/>
              <w:rPr>
                <w:sz w:val="1"/>
                <w:szCs w:val="1"/>
                <w:color w:val="auto"/>
              </w:rPr>
            </w:pPr>
          </w:p>
        </w:tc>
      </w:tr>
      <w:tr>
        <w:trPr>
          <w:trHeight w:val="243"/>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00" w:type="dxa"/>
            <w:vAlign w:val="bottom"/>
          </w:tcPr>
          <w:p>
            <w:pPr>
              <w:spacing w:after="0"/>
              <w:rPr>
                <w:sz w:val="21"/>
                <w:szCs w:val="21"/>
                <w:color w:val="auto"/>
              </w:rPr>
            </w:pPr>
          </w:p>
        </w:tc>
        <w:tc>
          <w:tcPr>
            <w:tcW w:w="17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297,600</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297,600</w:t>
            </w: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60" w:firstLine="445"/>
        <w:spacing w:after="0" w:line="289" w:lineRule="auto"/>
        <w:rPr>
          <w:sz w:val="20"/>
          <w:szCs w:val="20"/>
          <w:color w:val="auto"/>
        </w:rPr>
      </w:pPr>
      <w:r>
        <w:rPr>
          <w:rFonts w:ascii="Times New Roman" w:cs="Times New Roman" w:eastAsia="Times New Roman" w:hAnsi="Times New Roman"/>
          <w:sz w:val="17"/>
          <w:szCs w:val="17"/>
          <w:color w:val="auto"/>
        </w:rPr>
        <w:t>The fair value (Level 2 measurement) related to the 2025 impairments are based on sales contracts and are classified within level 2 of the hierarchy. The fair value (Level 3 measurement) related to the 2024 impairment was based upon an income approach, using an estimated terminal capitalization rate of 7.3%, a discount rate of 9.0% and market rents per square foot of $20 to $200. The fair value is sensitive to these significant unobservable inputs.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48"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$8,038 and $7,146 at March 31, 2025 and December 31, 2024, respectively. Also included in tenant and other receivables, net are accrued percentage rents of $3,544 and $17,214 at March 31, 2025 and December 31, 2024, respectively, and a deferred rent receivable due to straight-line rent adjustments of $92,796 and $94,445 at March 31, 2025 and December 31,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46"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months ended March 31, 2025 and 2024:</w:t>
      </w:r>
    </w:p>
    <w:p>
      <w:pPr>
        <w:spacing w:after="0" w:line="184"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144,715</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49,860</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23"/>
        </w:trPr>
        <w:tc>
          <w:tcPr>
            <w:tcW w:w="4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191,652</w:t>
            </w: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65" w:right="2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7240" w:type="dxa"/>
            <w:vAlign w:val="bottom"/>
            <w:gridSpan w:val="2"/>
          </w:tcPr>
          <w:p>
            <w:pPr>
              <w:ind w:left="47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4"/>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43"/>
        </w:trPr>
        <w:tc>
          <w:tcPr>
            <w:tcW w:w="77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60" w:type="dxa"/>
            <w:vAlign w:val="bottom"/>
          </w:tcPr>
          <w:p>
            <w:pPr>
              <w:spacing w:after="0"/>
              <w:rPr>
                <w:sz w:val="24"/>
                <w:szCs w:val="24"/>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March 31,</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60" w:type="dxa"/>
            <w:vAlign w:val="bottom"/>
          </w:tcPr>
          <w:p>
            <w:pPr>
              <w:spacing w:after="0"/>
              <w:rPr>
                <w:sz w:val="19"/>
                <w:szCs w:val="19"/>
                <w:color w:val="auto"/>
              </w:rPr>
            </w:pPr>
          </w:p>
        </w:tc>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593,940</w:t>
            </w:r>
          </w:p>
        </w:tc>
      </w:tr>
      <w:tr>
        <w:trPr>
          <w:trHeight w:val="230"/>
        </w:trPr>
        <w:tc>
          <w:tcPr>
            <w:tcW w:w="4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492,968</w:t>
            </w:r>
          </w:p>
        </w:tc>
      </w:tr>
      <w:tr>
        <w:trPr>
          <w:trHeight w:val="229"/>
        </w:trPr>
        <w:tc>
          <w:tcPr>
            <w:tcW w:w="4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396,929</w:t>
            </w:r>
          </w:p>
        </w:tc>
      </w:tr>
      <w:tr>
        <w:trPr>
          <w:trHeight w:val="229"/>
        </w:trPr>
        <w:tc>
          <w:tcPr>
            <w:tcW w:w="4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324,957</w:t>
            </w:r>
          </w:p>
        </w:tc>
      </w:tr>
      <w:tr>
        <w:trPr>
          <w:trHeight w:val="230"/>
        </w:trPr>
        <w:tc>
          <w:tcPr>
            <w:tcW w:w="4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249,710</w:t>
            </w:r>
          </w:p>
        </w:tc>
      </w:tr>
      <w:tr>
        <w:trPr>
          <w:trHeight w:val="229"/>
        </w:trPr>
        <w:tc>
          <w:tcPr>
            <w:tcW w:w="460" w:type="dxa"/>
            <w:vAlign w:val="bottom"/>
          </w:tcPr>
          <w:p>
            <w:pPr>
              <w:spacing w:after="0"/>
              <w:rPr>
                <w:sz w:val="19"/>
                <w:szCs w:val="19"/>
                <w:color w:val="auto"/>
              </w:rPr>
            </w:pPr>
          </w:p>
        </w:tc>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967,876</w:t>
            </w:r>
          </w:p>
        </w:tc>
      </w:tr>
      <w:tr>
        <w:trPr>
          <w:trHeight w:val="248"/>
        </w:trPr>
        <w:tc>
          <w:tcPr>
            <w:tcW w:w="4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3,026,380</w:t>
            </w:r>
          </w:p>
        </w:tc>
      </w:tr>
      <w:tr>
        <w:trPr>
          <w:trHeight w:val="20"/>
        </w:trPr>
        <w:tc>
          <w:tcPr>
            <w:tcW w:w="46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6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months ended March 31, 2025 and 2024:</w:t>
      </w:r>
    </w:p>
    <w:p>
      <w:pPr>
        <w:spacing w:after="0" w:line="19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4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27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5"/>
        </w:trPr>
        <w:tc>
          <w:tcPr>
            <w:tcW w:w="4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8,665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11,527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68,717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68,717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0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115,834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(50,329)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(51,421)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65,505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67,275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years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years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26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142,979</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69,031</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48,771</w:t>
            </w:r>
          </w:p>
        </w:tc>
      </w:tr>
      <w:tr>
        <w:trPr>
          <w:trHeight w:val="223"/>
        </w:trPr>
        <w:tc>
          <w:tcPr>
            <w:tcW w:w="6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457,570</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(88,017)</w:t>
            </w: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980" w:hanging="324"/>
        <w:spacing w:after="0" w:line="271" w:lineRule="auto"/>
        <w:tabs>
          <w:tab w:leader="none" w:pos="9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$50,200 and $33,883 relating to in-place lease values, leasing commissions and legal costs at March 31, 2025 and December 31, 2024, respectively. Amortization expense of in-place lease values, leasing commissions and legal costs was $17,641 and $1,776 for the three months ended March 31, 2025 and 2024, respectively.</w:t>
      </w: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3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74,712</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r>
      <w:tr>
        <w:trPr>
          <w:trHeight w:val="223"/>
        </w:trPr>
        <w:tc>
          <w:tcPr>
            <w:tcW w:w="6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48,539</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r>
      <w:tr>
        <w:trPr>
          <w:trHeight w:val="223"/>
        </w:trPr>
        <w:tc>
          <w:tcPr>
            <w:tcW w:w="6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77,812</w:t>
            </w: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Below-market leases are included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6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notes payable at March 31, 2025 and December 31, 2024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Arrowhead Towne Center(5)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352,152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351,905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537,471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Lakewood Center(8)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304,557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 Cerritos Center(9)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Queens Center(10)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Monica Place(11)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Plains Mall(12)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 Valley, Mall of(13)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Washington Square(14)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4,894,525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820" w:hanging="407"/>
        <w:spacing w:after="0" w:line="281" w:lineRule="auto"/>
        <w:tabs>
          <w:tab w:leader="none" w:pos="8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March 31, 2025 and December 31, 2024 consisted of the following:</w:t>
      </w:r>
    </w:p>
    <w:p>
      <w:pPr>
        <w:spacing w:after="0" w:line="122"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1"/>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w:t>
            </w:r>
          </w:p>
        </w:tc>
        <w:tc>
          <w:tcPr>
            <w:tcW w:w="0" w:type="dxa"/>
            <w:vAlign w:val="bottom"/>
          </w:tcPr>
          <w:p>
            <w:pPr>
              <w:spacing w:after="0"/>
              <w:rPr>
                <w:sz w:val="1"/>
                <w:szCs w:val="1"/>
                <w:color w:val="auto"/>
              </w:rPr>
            </w:pPr>
          </w:p>
        </w:tc>
      </w:tr>
      <w:tr>
        <w:trPr>
          <w:trHeight w:val="195"/>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Lakewood Center</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19,723</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 Cerritos Center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820" w:right="300" w:hanging="80"/>
        <w:spacing w:after="0" w:line="302" w:lineRule="auto"/>
        <w:rPr>
          <w:sz w:val="20"/>
          <w:szCs w:val="20"/>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$21,484 and $22,042 at March 31, 2025 and December 31, 2024, respectively.</w:t>
      </w:r>
    </w:p>
    <w:p>
      <w:pPr>
        <w:spacing w:after="0" w:line="94"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21" w:lineRule="exact"/>
        <w:rPr>
          <w:rFonts w:ascii="Times New Roman" w:cs="Times New Roman" w:eastAsia="Times New Roman" w:hAnsi="Times New Roman"/>
          <w:sz w:val="18"/>
          <w:szCs w:val="18"/>
          <w:b w:val="1"/>
          <w:bCs w:val="1"/>
          <w:color w:val="auto"/>
        </w:rPr>
      </w:pPr>
    </w:p>
    <w:p>
      <w:pPr>
        <w:ind w:left="820" w:right="100" w:hanging="407"/>
        <w:spacing w:after="0" w:line="30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4" w:lineRule="exact"/>
        <w:rPr>
          <w:rFonts w:ascii="Times New Roman" w:cs="Times New Roman" w:eastAsia="Times New Roman" w:hAnsi="Times New Roman"/>
          <w:sz w:val="14"/>
          <w:szCs w:val="14"/>
          <w:color w:val="auto"/>
        </w:rPr>
      </w:pPr>
    </w:p>
    <w:p>
      <w:pPr>
        <w:ind w:left="820" w:right="140" w:hanging="407"/>
        <w:spacing w:after="0" w:line="28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107" w:lineRule="exact"/>
        <w:rPr>
          <w:rFonts w:ascii="Times New Roman" w:cs="Times New Roman" w:eastAsia="Times New Roman" w:hAnsi="Times New Roman"/>
          <w:sz w:val="14"/>
          <w:szCs w:val="14"/>
          <w:color w:val="auto"/>
        </w:rPr>
      </w:pPr>
    </w:p>
    <w:p>
      <w:pPr>
        <w:ind w:left="820" w:right="160" w:hanging="407"/>
        <w:spacing w:after="0" w:line="30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80"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2024, the Company closed on a three-year extension of the loan to October 6, 2026. The interest rate remained unchanged at 5.90%.</w:t>
      </w:r>
    </w:p>
    <w:p>
      <w:pPr>
        <w:spacing w:after="0" w:line="163" w:lineRule="exact"/>
        <w:rPr>
          <w:rFonts w:ascii="Times New Roman" w:cs="Times New Roman" w:eastAsia="Times New Roman" w:hAnsi="Times New Roman"/>
          <w:sz w:val="14"/>
          <w:szCs w:val="14"/>
          <w:color w:val="auto"/>
        </w:rPr>
      </w:pPr>
    </w:p>
    <w:p>
      <w:pPr>
        <w:ind w:left="820" w:right="120" w:hanging="407"/>
        <w:spacing w:after="0" w:line="28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Lakewood Center that it did not previously own and has consolidated its 100% interest (See Note 15—Acquisitions). In connection with the acquisition, the Company assumed the partner's share of the loan on the property.</w:t>
      </w:r>
    </w:p>
    <w:p>
      <w:pPr>
        <w:spacing w:after="0" w:line="107" w:lineRule="exact"/>
        <w:rPr>
          <w:rFonts w:ascii="Times New Roman" w:cs="Times New Roman" w:eastAsia="Times New Roman" w:hAnsi="Times New Roman"/>
          <w:sz w:val="14"/>
          <w:szCs w:val="14"/>
          <w:color w:val="auto"/>
        </w:rPr>
      </w:pPr>
    </w:p>
    <w:p>
      <w:pPr>
        <w:ind w:left="820" w:right="120" w:hanging="407"/>
        <w:spacing w:after="0" w:line="30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2024, the Company acquired the remaining 40% ownership interest in Los Cerritos that it did not previously own and has consolidated its 100% interest (See Note 15—Acquisitions). In connection with the acquisition, the Company assumed the partner's share of the loan on the property.</w:t>
      </w:r>
    </w:p>
    <w:p>
      <w:pPr>
        <w:spacing w:after="0" w:line="80" w:lineRule="exact"/>
        <w:rPr>
          <w:rFonts w:ascii="Times New Roman" w:cs="Times New Roman" w:eastAsia="Times New Roman" w:hAnsi="Times New Roman"/>
          <w:sz w:val="14"/>
          <w:szCs w:val="14"/>
          <w:color w:val="auto"/>
        </w:rPr>
      </w:pPr>
    </w:p>
    <w:p>
      <w:pPr>
        <w:ind w:left="820" w:right="20" w:hanging="407"/>
        <w:spacing w:after="0" w:line="302" w:lineRule="auto"/>
        <w:tabs>
          <w:tab w:leader="none" w:pos="81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closed a $525,000, five-year refinance of the loan on Queens Center. The new loan bears interest at a fixed rate of 5.37%, is interest only during the entire loan term and matures November 6, 2029.</w:t>
      </w:r>
    </w:p>
    <w:p>
      <w:pPr>
        <w:spacing w:after="0" w:line="80" w:lineRule="exact"/>
        <w:rPr>
          <w:rFonts w:ascii="Times New Roman" w:cs="Times New Roman" w:eastAsia="Times New Roman" w:hAnsi="Times New Roman"/>
          <w:sz w:val="14"/>
          <w:szCs w:val="14"/>
          <w:color w:val="auto"/>
        </w:rPr>
      </w:pPr>
    </w:p>
    <w:p>
      <w:pPr>
        <w:ind w:left="820" w:right="60" w:hanging="407"/>
        <w:spacing w:after="0" w:line="266" w:lineRule="auto"/>
        <w:tabs>
          <w:tab w:leader="none" w:pos="811"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9, 2024, the loan is in default and accrues incremental default interest of 4%. On March 18, 2025, a court appointed receiver assumed operational control and managerial responsibility for Santa Monica Place.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Center is transferred, the Company will remove the net assets and liabilities from the Company's consolidated balance sheets. The loan is non-recourse to the Company.</w:t>
      </w:r>
    </w:p>
    <w:p>
      <w:pPr>
        <w:spacing w:after="0" w:line="120" w:lineRule="exact"/>
        <w:rPr>
          <w:rFonts w:ascii="Times New Roman" w:cs="Times New Roman" w:eastAsia="Times New Roman" w:hAnsi="Times New Roman"/>
          <w:sz w:val="14"/>
          <w:szCs w:val="14"/>
          <w:color w:val="auto"/>
        </w:rPr>
      </w:pPr>
    </w:p>
    <w:p>
      <w:pPr>
        <w:ind w:left="820" w:hanging="407"/>
        <w:spacing w:after="0" w:line="302" w:lineRule="auto"/>
        <w:tabs>
          <w:tab w:leader="none" w:pos="81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15—Acquisitions). In connection with the acquisition, the Company assumed the partner's share of the loan on the property.</w:t>
      </w:r>
    </w:p>
    <w:p>
      <w:pPr>
        <w:spacing w:after="0" w:line="80" w:lineRule="exact"/>
        <w:rPr>
          <w:rFonts w:ascii="Times New Roman" w:cs="Times New Roman" w:eastAsia="Times New Roman" w:hAnsi="Times New Roman"/>
          <w:sz w:val="14"/>
          <w:szCs w:val="14"/>
          <w:color w:val="auto"/>
        </w:rPr>
      </w:pPr>
    </w:p>
    <w:p>
      <w:pPr>
        <w:ind w:left="820" w:right="460" w:hanging="407"/>
        <w:spacing w:after="0" w:line="302" w:lineRule="auto"/>
        <w:tabs>
          <w:tab w:leader="none" w:pos="81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2024, the Company replaced the existing loan with an $85,000 loan that bears interest at a fixed rate of 6.72%, is interest only during the entire loan term and matures on September 6, 2034.</w:t>
      </w:r>
    </w:p>
    <w:p>
      <w:pPr>
        <w:spacing w:after="0" w:line="80" w:lineRule="exact"/>
        <w:rPr>
          <w:rFonts w:ascii="Times New Roman" w:cs="Times New Roman" w:eastAsia="Times New Roman" w:hAnsi="Times New Roman"/>
          <w:sz w:val="14"/>
          <w:szCs w:val="14"/>
          <w:color w:val="auto"/>
        </w:rPr>
      </w:pPr>
    </w:p>
    <w:p>
      <w:pPr>
        <w:ind w:left="820" w:right="160" w:hanging="407"/>
        <w:spacing w:after="0" w:line="302" w:lineRule="auto"/>
        <w:tabs>
          <w:tab w:leader="none" w:pos="81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the Company closed a $340,000, ten-year loan on Washington Square, which matures on April 6, 2035. The loan bears interest at a fixed rate of 5.58% and is interest only during the entire loan term.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58"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revolving loan facility or with cash on hand, with the exception of Santa Monica Place as noted above.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interest expense capitalized was $4,769 and $5,077 for the three months ended March 31, 2025 and 2024, respectively.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March 31, 2025 and December 31, 2024 was $5,083,669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$4,726,227, respectively, based on current interest rates for comparable loans. Fair value was determined using a present value model and an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included a credit value adjustment based on the estimated value of the property that serves as collateral for the underlying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60"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On September 11, 2023, the Company and the Operating Partnership entered into an amended and restated credit agreement, which amended and restated their prior credit agreement, and provides for an aggregate $650,000 revolving loan facility that matures on February 1, 2027, with a one-year extension option. The revolving credit facility can be expanded up to $950,000,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As of March 31, 2025, the borrowing rate was SOFR plus a spread of 2.10%. As of March 31, 2025, there were no borrowings outstanding under the revolving credit facility. Unamortized deferred finance costs were $10,730 as of March 31, 2025, which are netted against balances outstanding or as an asset when no borrowings are outstanding on the revolving credit facility which was the case as of March 31, 2025. As of March 31, 2025, the Company’s availability under the revolving credit facility for additional borrowings was $649,777.</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2025 and December 31, 2024,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6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1,401,000 square foot regional shopping center in Chandler, Arizona, and Freehold Raceway Mall, a 1,537,000 square foot regional shopping center in Freehold, New Jersey (collectively referred to herein as "Chandler Freehold"). As a result of the Company having certain rights under the agreement to repurchase the assets of Chandler Freehold, the transaction did not qualify for sale treatment. The Company, however, was not obligated to repurchase the assets. The Company accounted for its investment in Chandler Freehold as a financing arrangement.</w:t>
      </w:r>
    </w:p>
    <w:p>
      <w:pPr>
        <w:spacing w:after="0" w:line="102"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On November 16, 2023, the Company acquired the remaining 49.9% ownership interest in Freehold Raceway Mall that it previously did not own. As a result, Freehold Raceway Mall is no longer part of the financing arrangement and is 100% owned by the Company. In connection with the acquisition of the 49.9% ownership interest, the Company recorded the $5,587 purchase amount as a reduction to the financing arrangement obligation.</w:t>
      </w:r>
    </w:p>
    <w:p>
      <w:pPr>
        <w:spacing w:after="0" w:line="10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June 13, 2024 was based upon a terminal capitalization rate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7.00%, a discount rate of 8.25% and market rents per square foot of $45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expense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326"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related party interest expense in the Company's consolidated statements of operations in connection with the financing arrangement as follows:</w:t>
      </w:r>
    </w:p>
    <w:p>
      <w:pPr>
        <w:spacing w:after="0" w:line="128"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13335</wp:posOffset>
            </wp:positionV>
            <wp:extent cx="8915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33655</wp:posOffset>
            </wp:positionV>
            <wp:extent cx="480060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0600" cy="15430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Distributions equal to the partner's share of net income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480060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00600" cy="14541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Adjustment to fair value of financing arrangement obligation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945" w:hanging="945"/>
        <w:spacing w:after="0"/>
        <w:tabs>
          <w:tab w:leader="none" w:pos="94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w:t>
      </w:r>
    </w:p>
    <w:p>
      <w:pPr>
        <w:spacing w:after="0" w:line="38" w:lineRule="exact"/>
        <w:rPr>
          <w:rFonts w:ascii="Times New Roman" w:cs="Times New Roman" w:eastAsia="Times New Roman" w:hAnsi="Times New Roman"/>
          <w:sz w:val="17"/>
          <w:szCs w:val="17"/>
          <w:color w:val="auto"/>
        </w:rPr>
      </w:pPr>
    </w:p>
    <w:p>
      <w:pPr>
        <w:ind w:left="9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w:t>
      </w:r>
    </w:p>
    <w:p>
      <w:pPr>
        <w:spacing w:after="0" w:line="34"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2,939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22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 w:lineRule="exact"/>
        <w:rPr>
          <w:sz w:val="20"/>
          <w:szCs w:val="20"/>
          <w:color w:val="auto"/>
        </w:rPr>
      </w:pPr>
    </w:p>
    <w:p>
      <w:pPr>
        <w:ind w:left="805" w:hanging="805"/>
        <w:spacing w:after="0"/>
        <w:tabs>
          <w:tab w:leader="none" w:pos="80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822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15" w:space="720"/>
            <w:col w:w="4485"/>
          </w:cols>
          <w:pgMar w:left="320" w:top="265" w:right="35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6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allocates net loss of the Operating Partnership based on the weighted average ownership interest during the period. The net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March 31, 2025 and December 31, 2024. The remaining 4% limited partnership interest as of March 31, 2025 and December 31, 2024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2025 and December 31, 2024, the aggregate redemption value of the then-outstanding OP Units not owned by the Company was $188,467 and $218,988, respectively.</w:t>
      </w:r>
    </w:p>
    <w:p>
      <w:pPr>
        <w:spacing w:after="0" w:line="12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95"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14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$500,000 under the 2021 ATM Program. During the three months ended March 31, 2024, the Company did not issue any shares of common stock under the 2021 ATM Program. As of December 31, 2024, the 2021 ATM Program was fully utilized and is no longer active.</w:t>
      </w:r>
    </w:p>
    <w:p>
      <w:pPr>
        <w:sectPr>
          <w:pgSz w:w="11900" w:h="16838" w:orient="portrait"/>
          <w:cols w:equalWidth="0" w:num="1">
            <w:col w:w="11220"/>
          </w:cols>
          <w:pgMar w:left="320" w:top="26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62" w:lineRule="exact"/>
        <w:rPr>
          <w:sz w:val="20"/>
          <w:szCs w:val="20"/>
          <w:color w:val="auto"/>
        </w:rPr>
      </w:pPr>
    </w:p>
    <w:p>
      <w:pPr>
        <w:ind w:firstLine="445"/>
        <w:spacing w:after="0" w:line="274" w:lineRule="auto"/>
        <w:rPr>
          <w:sz w:val="20"/>
          <w:szCs w:val="20"/>
          <w:color w:val="auto"/>
        </w:rPr>
      </w:pPr>
      <w:r>
        <w:rPr>
          <w:rFonts w:ascii="Times New Roman" w:cs="Times New Roman" w:eastAsia="Times New Roman" w:hAnsi="Times New Roman"/>
          <w:sz w:val="17"/>
          <w:szCs w:val="17"/>
          <w:color w:val="auto"/>
        </w:rPr>
        <w:t>In connection with the commencement of an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$500,000 under the 2024 ATM Program. During the three months ended March 31, 2025, the Company did not issue any shares of common stock under the ATM Program. As of March 31, 2025, $429,294 remained available to be sold under the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w:t>
      </w:r>
    </w:p>
    <w:p>
      <w:pPr>
        <w:spacing w:after="0" w:line="10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23,000,000 shares of its common stock at a price per share of $19.75, which includes the underwriters' full exercise of their option to purchase an additional 3,000,000 shares, for gross proceeds of approximately $454,250. The net proceeds of the offering were approximately $439,410 after deducting the underwriting discount and offering costs of approximately $14,840. The Company used the proceeds from the offering, together with cash on hand, to repay the mortgage loan secured by its Washington Square property.</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6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three months ended March 31, 2025 or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Arrowhead Towne Center:</w:t>
      </w:r>
    </w:p>
    <w:p>
      <w:pPr>
        <w:spacing w:after="0" w:line="16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Arrowhead Towne Center:</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75"/>
        </w:trPr>
        <w:tc>
          <w:tcPr>
            <w:tcW w:w="7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426,097</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451,377</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383,881</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360,258</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right="20"/>
        <w:spacing w:after="0" w:line="266" w:lineRule="auto"/>
        <w:rPr>
          <w:sz w:val="20"/>
          <w:szCs w:val="20"/>
          <w:color w:val="auto"/>
        </w:rPr>
      </w:pPr>
      <w:r>
        <w:rPr>
          <w:rFonts w:ascii="Times New Roman" w:cs="Times New Roman" w:eastAsia="Times New Roman" w:hAnsi="Times New Roman"/>
          <w:sz w:val="18"/>
          <w:szCs w:val="18"/>
          <w:color w:val="auto"/>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8880" w:hanging="452"/>
        <w:spacing w:after="0" w:line="449" w:lineRule="auto"/>
        <w:tabs>
          <w:tab w:leader="none" w:pos="365"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(Continued) </w:t>
      </w:r>
      <w:r>
        <w:rPr>
          <w:rFonts w:ascii="Times New Roman" w:cs="Times New Roman" w:eastAsia="Times New Roman" w:hAnsi="Times New Roman"/>
          <w:sz w:val="17"/>
          <w:szCs w:val="17"/>
          <w:i w:val="1"/>
          <w:iCs w:val="1"/>
          <w:color w:val="auto"/>
        </w:rPr>
        <w:t>South Plains Mall:</w:t>
      </w:r>
    </w:p>
    <w:p>
      <w:pPr>
        <w:spacing w:after="0" w:line="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South Plains Mall:</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76"/>
        </w:trPr>
        <w:tc>
          <w:tcPr>
            <w:tcW w:w="7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183,434</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206,771</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198,181</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line="266" w:lineRule="auto"/>
        <w:rPr>
          <w:sz w:val="20"/>
          <w:szCs w:val="20"/>
          <w:color w:val="auto"/>
        </w:rPr>
      </w:pPr>
      <w:r>
        <w:rPr>
          <w:rFonts w:ascii="Times New Roman" w:cs="Times New Roman" w:eastAsia="Times New Roman" w:hAnsi="Times New Roman"/>
          <w:sz w:val="18"/>
          <w:szCs w:val="18"/>
          <w:color w:val="auto"/>
        </w:rPr>
        <w:t>The net assets acquired upon consolidation of South Plains Mall were initially recorded at their relative fair values as shown in the table above. The carrying value of the property was then reduced by the remaining negative basis of $80,750 from the equity method investment previously held by the Company.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Sears parcel at Inland Center: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$5,382.</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Pacific Premier Retail LLC:</w:t>
      </w:r>
    </w:p>
    <w:p>
      <w:pPr>
        <w:spacing w:after="0" w:line="16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On October 24, 2024, the Company acquired the remaining 40% ownership interest in the Pacific Premier Retail LLC joint venture that owns Lakewood Center, Los Cerritos Center and Washington Square that it did not previously own for a total purchase price of $129,000 less the assumption of the partner's share of certain cash balances of $6,868 for a net purchase price of $122,132, and the assumption of its joint venture partner's share of debt on the properties. Effective as of October 24, 2024, the Company now owns and has consolidated its 100% interest in Lakewood Center, Los Cerritos Center and Washington Square.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Lakewood Center, Los Cerritos Center and Washington Square: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1,526,515</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85,661</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1,631,811</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1,312,718</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1,309,310</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 (Continued)</w:t>
      </w:r>
    </w:p>
    <w:p>
      <w:pPr>
        <w:spacing w:after="0" w:line="16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net assets acquired upon consolidation of Lakewood Center, Los Cerritos Center and Washington Square were initially recorded at their relative fair values as shown in the table above. The carrying value of the property was then reduced by the remaining negative basis of $98,800 from the equity method investment previously held by the Company.</w:t>
      </w:r>
    </w:p>
    <w:p>
      <w:pPr>
        <w:spacing w:after="0" w:line="10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On December 2, 2024, the Company paid off the remaining loan balance assumed on Washington Square with the proceeds from the Company's public offering on November 27, 2024 (See Note 14 – Stockholders' Equity) and recognized a gain on extinguishment of debt of $14,403 for the year ended December 31, 2024.</w:t>
      </w:r>
    </w:p>
    <w:p>
      <w:pPr>
        <w:spacing w:after="0" w:line="95"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On March 27, 2025, the Company closed a $340,000, ten-year loan on Washington Square, which matures on April 6, 2035. The loan bears interest at a fixed rate of 5.58% and is interest only during the entire loan term (See Note 10 – Mortgage Notes Payable). The Company used a portion of the net proceeds from this refinancing to repay the remaining first mortgage on Flatiron Crossing, which was $71,644 at the Company’s share (See Note 4 – Investments in Unconsolidated Joint Ventures), and to repay the balance outstanding on the Company’s credit facility of $110,000.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16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recognized the following gain on sale of assets on Chandler Fashion Center:</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75"/>
        </w:trPr>
        <w:tc>
          <w:tcPr>
            <w:tcW w:w="7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investment in unconsolidated joint ventures - Chandler Fashion Center</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the financing arrangement obligation</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88,721</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Chandler Fashion Center - liabilities in excess of assets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104,273</w:t>
            </w:r>
          </w:p>
        </w:tc>
      </w:tr>
      <w:tr>
        <w:trPr>
          <w:trHeight w:val="223"/>
        </w:trPr>
        <w:tc>
          <w:tcPr>
            <w:tcW w:w="77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334,285</w:t>
            </w:r>
          </w:p>
        </w:tc>
      </w:tr>
      <w:tr>
        <w:trPr>
          <w:trHeight w:val="20"/>
        </w:trPr>
        <w:tc>
          <w:tcPr>
            <w:tcW w:w="7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$7,100, which resulted in a gain on sale of assets of $756. The Company used the net proceeds to pay down debt.</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$4,000, which resulted in a loss on sale or write down of assets of $911. The Company used the net proceeds to pay down debt.</w:t>
      </w:r>
    </w:p>
    <w:p>
      <w:pPr>
        <w:spacing w:after="0" w:line="95" w:lineRule="exact"/>
        <w:rPr>
          <w:sz w:val="20"/>
          <w:szCs w:val="20"/>
          <w:color w:val="auto"/>
        </w:rPr>
      </w:pPr>
    </w:p>
    <w:p>
      <w:pPr>
        <w:ind w:right="420" w:firstLine="445"/>
        <w:spacing w:after="0" w:line="312" w:lineRule="auto"/>
        <w:rPr>
          <w:sz w:val="20"/>
          <w:szCs w:val="20"/>
          <w:color w:val="auto"/>
        </w:rPr>
      </w:pPr>
      <w:r>
        <w:rPr>
          <w:rFonts w:ascii="Times New Roman" w:cs="Times New Roman" w:eastAsia="Times New Roman" w:hAnsi="Times New Roman"/>
          <w:sz w:val="17"/>
          <w:szCs w:val="17"/>
          <w:color w:val="auto"/>
        </w:rPr>
        <w:t>On December 10, 2024, the Company sold The Oaks, a 1,206,000 square foot regional retail center in Thousand Oaks, California, for $157,000, which resulted in a loss on sale or write down of assets of $6,932. The Company used the net proceeds to pay off the $147,751 loan on the property.</w:t>
      </w:r>
    </w:p>
    <w:p>
      <w:pPr>
        <w:spacing w:after="0" w:line="59" w:lineRule="exact"/>
        <w:rPr>
          <w:sz w:val="20"/>
          <w:szCs w:val="20"/>
          <w:color w:val="auto"/>
        </w:rPr>
      </w:pPr>
    </w:p>
    <w:p>
      <w:pPr>
        <w:ind w:right="140" w:firstLine="445"/>
        <w:spacing w:after="0" w:line="250" w:lineRule="auto"/>
        <w:rPr>
          <w:sz w:val="20"/>
          <w:szCs w:val="20"/>
          <w:color w:val="auto"/>
        </w:rPr>
      </w:pPr>
      <w:r>
        <w:rPr>
          <w:rFonts w:ascii="Times New Roman" w:cs="Times New Roman" w:eastAsia="Times New Roman" w:hAnsi="Times New Roman"/>
          <w:sz w:val="18"/>
          <w:szCs w:val="18"/>
          <w:color w:val="auto"/>
        </w:rPr>
        <w:t>On March 27, 2025, the Company sold Wilton Mall, a 740,000 square foot regional retail center in Saratoga Springs, New York, for $24,800, which resulted in a loss on sale or write down of assets of $2,912. The Company used the net proceeds to pay down debt.</w:t>
      </w:r>
    </w:p>
    <w:p>
      <w:pPr>
        <w:spacing w:after="0" w:line="10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sold various land parcels, resulting in gains on sale of land of $923. For the three months ended March 31, 2024, the Company did not have any land sales. The Company used its share of the proceeds from these sales to pay down debt and for other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48"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As of March 31, 2025, the Company was contingently liable for $6,115 in letters of credit guaranteeing performance by the Company of certain obligations relating to the Centers. The Company does not believe that these letters of credit will result in a liability to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 (Continued)</w:t>
      </w:r>
    </w:p>
    <w:p>
      <w:pPr>
        <w:spacing w:after="0" w:line="200" w:lineRule="exact"/>
        <w:rPr>
          <w:sz w:val="20"/>
          <w:szCs w:val="20"/>
          <w:color w:val="auto"/>
        </w:rPr>
      </w:pPr>
    </w:p>
    <w:p>
      <w:pPr>
        <w:spacing w:after="0" w:line="23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March 31, 2025, the Company had $10,241 in outstanding obligations, which it believes will be settled in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4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6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r>
      <w:tr>
        <w:trPr>
          <w:trHeight w:val="248"/>
        </w:trPr>
        <w:tc>
          <w:tcPr>
            <w:tcW w:w="3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Interest expense from related party transactions was $0 and $4,439 for the three months ended March 31, 2025 and 2024, respectively, in connection with the financing arrangement (See Note 12—Financing Arrangement).</w:t>
      </w:r>
    </w:p>
    <w:p>
      <w:pPr>
        <w:spacing w:after="0" w:line="81"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Due from affiliates includes $3,190 and $1,840 of unreimbursed costs and fees from unconsolidated joint ventures due to the Management Companies at March 31, 2025 and December 31, 2024,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6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02"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2025 performance-based LTI Units are all market-indexed awards.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granted the following LTI Units: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Fair Value per</w:t>
            </w:r>
          </w:p>
        </w:tc>
        <w:tc>
          <w:tcPr>
            <w:tcW w:w="12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4"/>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LTI 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2/21/2025</w:t>
            </w:r>
          </w:p>
        </w:tc>
        <w:tc>
          <w:tcPr>
            <w:tcW w:w="1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193,776</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2/21/2025</w:t>
            </w: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504,780</w:t>
            </w: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698,556</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February 21, 2025 was estimated on the date of grant using a Monte Carlo Simulation model that assumed an approximate three-year risk-free interest rate of 4.10% and an expected volatility of 42.25%.</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2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11"/>
        </w:trPr>
        <w:tc>
          <w:tcPr>
            <w:tcW w:w="27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9"/>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0"/>
        </w:trPr>
        <w:tc>
          <w:tcPr>
            <w:tcW w:w="2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the vested stock options outstanding:</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11"/>
        </w:trPr>
        <w:tc>
          <w:tcPr>
            <w:tcW w:w="3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9"/>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1920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92"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49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49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$276 and $316 for the three months ended March 31, 2025 and 2024, respectively. Unrecognized compensation costs of share and unit-based plans at March 31, 2025 consisted of $31,702 from LTI Units, $2,650 from stock units and $0 from phantom stock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6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ectPr>
          <w:pgSz w:w="11900" w:h="16838" w:orient="portrait"/>
          <w:cols w:equalWidth="0" w:num="1">
            <w:col w:w="11000"/>
          </w:cols>
          <w:pgMar w:left="320" w:top="26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65" w:right="5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The income tax provision of the TRSs are as follows:</w:t>
            </w:r>
          </w:p>
        </w:tc>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84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$26,146 and $25,324 were included in deferred charges and other assets, net at March 31, 2025 and December 31, 2024, respectively.</w:t>
      </w:r>
    </w:p>
    <w:p>
      <w:pPr>
        <w:spacing w:after="0" w:line="11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March 31, 2025, the Company had no valuation allowance recorded.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years 2021 through 2023 remain open to examination by the taxing jurisdictions to which the Company is subject.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162"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The Company operates as one operating segment and is involved in the acquisition, ownership, development, redevelopment, management and leasing of regional and community/power shopping centers located throughout the United States. The Company's Chief Operating Decision Maker ("CODM") is the chief executive officer, who reviews financial information presented on a consolidated basis. The CODM assesses performance for the Company's single reportable segment and decides how to allocate resources based on consolidated net income (see the Consolidated Statements of Operations). The Company's objective in making resource allocation decisions is to optimize the consolidated financial results.</w:t>
      </w:r>
    </w:p>
    <w:p>
      <w:pPr>
        <w:spacing w:after="0" w:line="11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accounting policies of the Company’s single reportable segment are the same as those described in the summary of significant accounting policies. As the Company's operations comprise of a single reporting segment, the measure of segment assets is reported in the accompanying consolidated balance sheets as “Total assets.” Consolidated net income, which is reported in the accompanying Consolidated Statements of Operations as “Net loss attributable to the Company” is the measure of segment profit or loss that is most consistent with GAAP that is regularly reviewed by the CODM. Consolidated net income is used by the CODM in assessing the performance of the segment and the significant segment expenses are listed on the accompanying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6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April 28, 2025, the Company announced a dividend/distribution of $0.17 per share for common stockholders and OP Unitholders of record on June 3, 2025. All dividends/distributions will be paid in cash on June 17,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20"/>
        <w:spacing w:after="0" w:line="41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IMPORTANT INFORMATION RELATED TO FORWARD-LOOKING STATEMENTS</w:t>
      </w: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20"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Path Forward Plan and its ability to meet the goals established under such plan;</w:t>
      </w:r>
    </w:p>
    <w:p>
      <w:pPr>
        <w:spacing w:after="0" w:line="63" w:lineRule="exact"/>
        <w:rPr>
          <w:rFonts w:ascii="Times New Roman" w:cs="Times New Roman" w:eastAsia="Times New Roman" w:hAnsi="Times New Roman"/>
          <w:sz w:val="18"/>
          <w:szCs w:val="18"/>
          <w:color w:val="auto"/>
        </w:rPr>
      </w:pPr>
    </w:p>
    <w:p>
      <w:pPr>
        <w:ind w:left="1300" w:right="520" w:hanging="644"/>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63"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81"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including the impact of tariffs and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its impact on the financial condition and results of operations of the Company, including as a result of any increased borrowing costs on the Company's outstanding floating-rate debt and defaults on mortgage loans, and its tenants,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2024,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6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2025, the Operating Partnership owned or had an ownership interest in 39 regional retail centers (including office, hotel and residential space adjacent to these shopping centers), two community/power shopping centers and one redevelopment property. These 42 regional retail centers, community/power shopping centers and one redevelopment property consist of approximately 42 million square feet of gross leasable area ("GLA") and are referred to herein as the "Centers". The Centers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9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months ended March 31, 2025 and 2024. It compares the results of operations for the three months ended March 31, 2025 to the results of operations for the three months ended March 31,</w:t>
      </w:r>
    </w:p>
    <w:p>
      <w:pPr>
        <w:ind w:right="220"/>
        <w:spacing w:after="0" w:line="260" w:lineRule="auto"/>
        <w:rPr>
          <w:sz w:val="20"/>
          <w:szCs w:val="20"/>
          <w:color w:val="auto"/>
        </w:rPr>
      </w:pPr>
      <w:r>
        <w:rPr>
          <w:rFonts w:ascii="Times New Roman" w:cs="Times New Roman" w:eastAsia="Times New Roman" w:hAnsi="Times New Roman"/>
          <w:sz w:val="18"/>
          <w:szCs w:val="18"/>
          <w:color w:val="auto"/>
        </w:rPr>
        <w:t>2024. It also compares the results of operations and cash flows for the three months ended March 31, 2025 to the results of operations and cash flows for the three months ended March 31, 2024.</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112"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$5.4 million (See Note 15—Acquisitions in the Notes to the Consolidated Financial Statements).</w:t>
      </w:r>
    </w:p>
    <w:p>
      <w:pPr>
        <w:spacing w:after="0" w:line="9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October 24, 2024, the Company acquired its joint venture partner's 40% interest in the Pacific Premier Retail Trust portfolio, which included Los Cerritos Center, Washington Square and Lakewood Center, for a net purchase price of approximately $122.1 million, which included the assumption of the partner's share of property level indebtedness. The Company now owns and has consolidated its 100% interests in these properties in its consolidated financial statements (See Note 15—Acquisitions in the Notes to the Consolidated Financial Statements).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60"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1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spacing w:after="0" w:line="95"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 million. The Company used the net proceeds to pay down debt. The Company recognized a gain on sale of assets of $0.8 million (See Note 16—Dispositions in the Notes to the Consolidated Financial Statements).</w:t>
      </w:r>
    </w:p>
    <w:p>
      <w:pPr>
        <w:spacing w:after="0" w:line="95"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7"/>
          <w:szCs w:val="17"/>
          <w:color w:val="auto"/>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spacing w:after="0" w:line="92" w:lineRule="exact"/>
        <w:rPr>
          <w:sz w:val="20"/>
          <w:szCs w:val="20"/>
          <w:color w:val="auto"/>
        </w:rPr>
      </w:pPr>
    </w:p>
    <w:p>
      <w:pPr>
        <w:ind w:right="520" w:firstLine="445"/>
        <w:spacing w:after="0" w:line="266" w:lineRule="auto"/>
        <w:rPr>
          <w:sz w:val="20"/>
          <w:szCs w:val="20"/>
          <w:color w:val="auto"/>
        </w:rPr>
      </w:pPr>
      <w:r>
        <w:rPr>
          <w:rFonts w:ascii="Times New Roman" w:cs="Times New Roman" w:eastAsia="Times New Roman" w:hAnsi="Times New Roman"/>
          <w:sz w:val="18"/>
          <w:szCs w:val="18"/>
          <w:color w:val="auto"/>
        </w:rPr>
        <w:t>On November 25, 2024, the Company sold Southridge Mall, a 791,000 square foot power center in Des Moines, Iowa, for $4.0 million, which resulted in a loss on sale of assets of $0.9 million. The Company used the net proceeds to pay down debt.</w:t>
      </w:r>
    </w:p>
    <w:p>
      <w:pPr>
        <w:spacing w:after="0" w:line="81" w:lineRule="exact"/>
        <w:rPr>
          <w:sz w:val="20"/>
          <w:szCs w:val="20"/>
          <w:color w:val="auto"/>
        </w:rPr>
      </w:pPr>
    </w:p>
    <w:p>
      <w:pPr>
        <w:ind w:firstLine="445"/>
        <w:spacing w:after="0" w:line="250" w:lineRule="auto"/>
        <w:rPr>
          <w:sz w:val="20"/>
          <w:szCs w:val="20"/>
          <w:color w:val="auto"/>
        </w:rPr>
      </w:pPr>
      <w:r>
        <w:rPr>
          <w:rFonts w:ascii="Times New Roman" w:cs="Times New Roman" w:eastAsia="Times New Roman" w:hAnsi="Times New Roman"/>
          <w:sz w:val="18"/>
          <w:szCs w:val="18"/>
          <w:color w:val="auto"/>
        </w:rPr>
        <w:t>On December 10, 2024, the Company sold The Oaks, a 1,206,000 square foot regional retail center in Thousand Oaks, California, for $157.0 million, which resulted in a loss on sale of assets of $6.9 million. The Company used the net proceeds to pay off the $147.8 million loan on the property.</w:t>
      </w:r>
    </w:p>
    <w:p>
      <w:pPr>
        <w:spacing w:after="0" w:line="95" w:lineRule="exact"/>
        <w:rPr>
          <w:sz w:val="20"/>
          <w:szCs w:val="20"/>
          <w:color w:val="auto"/>
        </w:rPr>
      </w:pPr>
    </w:p>
    <w:p>
      <w:pPr>
        <w:ind w:right="40" w:firstLine="445"/>
        <w:spacing w:after="0" w:line="236" w:lineRule="auto"/>
        <w:rPr>
          <w:sz w:val="20"/>
          <w:szCs w:val="20"/>
          <w:color w:val="auto"/>
        </w:rPr>
      </w:pPr>
      <w:r>
        <w:rPr>
          <w:rFonts w:ascii="Times New Roman" w:cs="Times New Roman" w:eastAsia="Times New Roman" w:hAnsi="Times New Roman"/>
          <w:sz w:val="18"/>
          <w:szCs w:val="18"/>
          <w:color w:val="auto"/>
        </w:rPr>
        <w:t>For the twelve months ended December 31, 2024, the Company and certain joint venture partners sold various land parcels in separate transactions, resulting in the Company's share of the gain on sale of land of $2.8 million. The Company used its share of the proceeds from these sales of $6.1 million to pay down debt and for other general corporate purposes.</w:t>
      </w:r>
    </w:p>
    <w:p>
      <w:pPr>
        <w:spacing w:after="0" w:line="105" w:lineRule="exact"/>
        <w:rPr>
          <w:sz w:val="20"/>
          <w:szCs w:val="20"/>
          <w:color w:val="auto"/>
        </w:rPr>
      </w:pPr>
    </w:p>
    <w:p>
      <w:pPr>
        <w:jc w:val="both"/>
        <w:ind w:right="200" w:firstLine="445"/>
        <w:spacing w:after="0" w:line="279" w:lineRule="auto"/>
        <w:rPr>
          <w:sz w:val="20"/>
          <w:szCs w:val="20"/>
          <w:color w:val="auto"/>
        </w:rPr>
      </w:pPr>
      <w:r>
        <w:rPr>
          <w:rFonts w:ascii="Times New Roman" w:cs="Times New Roman" w:eastAsia="Times New Roman" w:hAnsi="Times New Roman"/>
          <w:sz w:val="17"/>
          <w:szCs w:val="17"/>
          <w:color w:val="auto"/>
        </w:rPr>
        <w:t>On March 27, 2025, the Company sold Wilton Mall, a 740,000 square foot regional retail center in Saratoga Springs, New York, for $24.8 million, which resulted in a loss on sale of assets of $2.9 million. The Company used the net proceeds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60" w:firstLine="445"/>
        <w:spacing w:after="0" w:line="250" w:lineRule="auto"/>
        <w:rPr>
          <w:sz w:val="20"/>
          <w:szCs w:val="20"/>
          <w:color w:val="auto"/>
        </w:rPr>
      </w:pPr>
      <w:r>
        <w:rPr>
          <w:rFonts w:ascii="Times New Roman" w:cs="Times New Roman" w:eastAsia="Times New Roman" w:hAnsi="Times New Roman"/>
          <w:sz w:val="18"/>
          <w:szCs w:val="18"/>
          <w:color w:val="auto"/>
        </w:rPr>
        <w:t>On April 30, 2025, the Company sold SouthPark Mall, an 802,000 square foot regional retail center in Moline, Illinois, for $10.5 million. The Company used the net proceeds for general corporate purposes. This asset was unencumbered.</w:t>
      </w:r>
    </w:p>
    <w:p>
      <w:pPr>
        <w:spacing w:after="0" w:line="95" w:lineRule="exact"/>
        <w:rPr>
          <w:sz w:val="20"/>
          <w:szCs w:val="20"/>
          <w:color w:val="auto"/>
        </w:rPr>
      </w:pPr>
    </w:p>
    <w:p>
      <w:pPr>
        <w:ind w:right="140" w:firstLine="445"/>
        <w:spacing w:after="0" w:line="236" w:lineRule="auto"/>
        <w:rPr>
          <w:sz w:val="20"/>
          <w:szCs w:val="20"/>
          <w:color w:val="auto"/>
        </w:rPr>
      </w:pPr>
      <w:r>
        <w:rPr>
          <w:rFonts w:ascii="Times New Roman" w:cs="Times New Roman" w:eastAsia="Times New Roman" w:hAnsi="Times New Roman"/>
          <w:sz w:val="18"/>
          <w:szCs w:val="18"/>
          <w:color w:val="auto"/>
        </w:rPr>
        <w:t>For the three months ended March 31, 2025, the Company and certain joint venture partners sold various land parcels in separate transactions, resulting in the Company’s share of the gains on sale of land of $0.7 million. The Company used its share of the proceeds from these sales of $8.3 million to pay down debt and for other general corporate purposes.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 $24.0 million loan that bears interest at a variable rate of SOFR plus 2.50%, is interest only during the entire loan term and matures on December 5, 2028. The new loan has a required interest rate cap throughout the term of the loan at a strike rate of 7.5%.</w:t>
      </w:r>
    </w:p>
    <w:p>
      <w:pPr>
        <w:spacing w:after="0" w:line="108"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81"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9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has completed transition of the property to a receiver but is still the owner of record.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24, 2024, the Company closed a two-year extension of the $149.9 million loan on The Oaks, which was scheduled to mature on June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The interest rate during the first year of the extended term was 7.5% and would have increased to 8.5% during the second year of the extended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10, 2024, the Company repaid in full the $147.8 million loan with the net proceeds from the sale of the property (See "Dispositions").</w:t>
      </w:r>
    </w:p>
    <w:p>
      <w:pPr>
        <w:spacing w:after="0" w:line="126"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10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On August 22, 2024, the Company closed an $85.0 million, ten-year refinance of the loan on The Mall of Victor Valley. The new loan bears interest at a fixed rate of 6.72%, is interest only during the entire loan term and matures on September 6, 2034.</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28, 2024, the Company closed a $525.0 million, five-year refinance of the loan on Queens Center, which matures on November 6, 2029.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loan replaced the existing $600.0 million loan, bears interest at a fixed rate of 5.37% and is interest only during the entire loan term.</w:t>
      </w:r>
    </w:p>
    <w:p>
      <w:pPr>
        <w:spacing w:after="0" w:line="12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December 2, 2024, the Company repaid in full the $478.0 million loan on Washington Square with the net proceeds received from the Company’s public stock offering, which closed on November 27, 2024, together with cash on hand (See “Other Transactions and Events”). The mortgage loan on the property was scheduled to mature on November 1, 2026. The Company recognized a gain on extinguishment of debt of $14.4 million upon the repayment of the loan.</w:t>
      </w:r>
    </w:p>
    <w:p>
      <w:pPr>
        <w:spacing w:after="0" w:line="112"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On February 7, 2025, the Company's joint venture in Flatiron Crossing repaid in full the $14.5 million mezzanine loan and $14.5 million of the first mortgage, and obtained a 90-day extension for the remaining $140.5 million of the first mortgage. The mezzanine loan had an interest rate of SOFR plus 12.25% and the first mortgage had an interest rate of SOFR plus 2.90% for a weighted average aggregate interest rate of SOFR plus 3.70%. The interest rate on the first mortgage was SOFR plus 2.90% during the extension period. On March 28, 2025, the Company's joint venture in Flatiron Crossing repaid in full the remaining $140.5 million ($71.6 million at the Company's share) of the first mortgage, as discussed below.</w:t>
      </w:r>
    </w:p>
    <w:p>
      <w:pPr>
        <w:spacing w:after="0" w:line="116"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On March 27, 2025, the Company closed a $340.0 million, ten-year loan on Washington Square, which matures on April 6, 2035. The loan bears interest at a fixed rate of 5.58% and is interest only during the entire loan term. The Company used a portion of the net proceeds from this refinancing to repay the remaining first mortgage on Flatiron Crossing, which was $71.6 million at the Company’s share, and to repay the balance outstanding on the Company’s revolving credit facility of $110.0 million. As of the date of this Quarterly Report on Form 10-Q, there are no borrowings outstanding on the Company’s revolving credit facility (See “Liquidity and Capital Resources”).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60"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1,875,000 square foot regional retail center in Scottsdale, Arizona, is redeveloping a two-level Nordstrom wing with luxury-focused retail and restaurant uses. The total cost of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project is estimated to be between $84.0 million and $90.0 million, with $42.0 million to $45.0 million estimated to be the Company’s pro rata share. The Company has incurred $30.4 million of the total $60.8 million incurred by the joint venture as of March 31, 2025. The opening will be in phases which began in 2024, with anticipated completion in 2025.</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is redeveloping the northeast quadrant of Green Acres Mall, a 2,064,000 square foot regional retail center in Valley Stream,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project will include new exterior shops and facade totaling approximately 375,000 square feet of leasing, including new grocery use, redevelopment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vacant anchor building and demolition of another vacant anchor building. The total cost of the project is estimated to be between $130.0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million. The Company has incurred approximately $22.7 million as of March 31, 2025. The anticipated opening is in 2026 for the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with one anchor tenant expected to open in 2027.</w:t>
      </w:r>
    </w:p>
    <w:p>
      <w:pPr>
        <w:spacing w:after="0" w:line="13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Company’s joint venture in FlatIron Crossing, a 1,397,000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expected to be 43.4% in the residential portion of the development and 51.0% in the remainder of the property. The total cost of the project is estimated to be between $245.0 million and $265.0 million, with $125.0 million to $135.0 million estimated to be the Company’s pro rata share. The Company has incurred $11.7 million of the total $23.0 million incurred by the joint venture as of March 31, 2025. The anticipated opening will be in phases beginning in 2027.</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46"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of 2024. On February 14, 2025, the Company announced a first quarter cash dividend of $0.17 per share of its common stock, which was paid on March 18, 2025 to stockholders of record on March 4, 2025. On April 28, 2025, the Company announced a second quarter cash dividend of $0.17 per share of its common stock, which will be paid on June 17, 2025 to stockholders of record on June 3, 2025. The dividend amount will be reviewed by the Board on a quarterly basis.</w:t>
      </w:r>
    </w:p>
    <w:p>
      <w:pPr>
        <w:spacing w:after="0" w:line="112"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“2021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9.4 million shares of common stock for approximately $148.6 million of net proceeds through the 2021 ATM Program at a weighted average share price of $15.81. The 2021 ATM Program was fully utilized as of September 30, 2024 and is no longer active.</w:t>
      </w:r>
    </w:p>
    <w:p>
      <w:pPr>
        <w:spacing w:after="0" w:line="11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connection with the commencement of a separate “at the market” offering program on November 12, 2024, which is referred to as the “2024 ATM Program,” the Company entered into an equity distribution agreement with certain sales agents pursuant to which the Company may issue and sell shares of its common stock having an aggregate offering price of up to $500.0 million. During the twelve months ended December 31, 2024, the Company sold 3.7 million shares of common stock for approximately $69.1 million of net proceeds through the 2024 ATM Program at a weighted average price of $18.68. During the three months ended March 31, 2025, the Company did not issue any shares of common stock under the 2024 ATM Program. As of March 31, 2025, the Company had approximately $429.3 million of gross sales of its common stock available under the 2024 ATM Program.</w:t>
      </w:r>
    </w:p>
    <w:p>
      <w:pPr>
        <w:spacing w:after="0" w:line="10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116"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4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prepared in accordance with generally accepted accounting principles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 Summary of Significant Accounting Policies in the Company's Notes to the Consolidated Financial Statements. However, the following policies are deemed to be critical.</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46"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46"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9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those related to the Redevelopment Properties, the JV Transition Centers and the Disposition Properties (each as defined below).</w:t>
      </w:r>
    </w:p>
    <w:p>
      <w:pPr>
        <w:spacing w:after="0" w:line="95"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 and the completion of the transition of the property to a receiver during the first quarter of 2025. The Company is still the owner of record of the property.</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the comparison of the three months ended March 31, 2025 to the three months ended March 31, 2024, the JV Transition Centers are Arrowhead Towne Center, Chandler Fashion Center, Lakewood Center, Los Cerritos Center, Washington Square and South Plains Mall (See “Acquisitions” in Management’s Overview and Summary). The Disposition Properties are The Oaks, Southridge Mall, Wilton Mall and a former department store parcel at Valle Vista Mall (See "Dispositions" in Management’s Overview and Summary). For the comparison of the three months ended March 31, 2025 to the three months ended March 31, 2024, there are no Redevelopment Properties.</w:t>
      </w:r>
    </w:p>
    <w:p>
      <w:pPr>
        <w:spacing w:after="0" w:line="116"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During the trailing twelve months ended March 31, 2025, comparable tenant sales for spaces less than 10,000 square feet across the portfolio decreased by 1.5% relative to the first quarter of 2024. The leased occupancy rate of 92.6% at March 31, 2025 represented a 0.8% decrease from 93.4% at March 31, 2024 and a 1.5% sequential decrease compared to the 94.1% occupancy rate at December 31, 2024. Releasing spreads increased as the Company executed leases at an average rent of $69.99 for new and renewal leases executed compared to $63.13 on leases expiring, resulting in a releasing spread increase of $6.86 per square foot, or 10.9%, for the trailing twelve months ended March 31, 2025. This was the Company’s fourteenth consecutive quarter of positive base rent leasing spreads.</w:t>
      </w:r>
    </w:p>
    <w:p>
      <w:pPr>
        <w:spacing w:after="0" w:line="120"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has executed renewal leases or commitments on 69% of its square footage expiring in 2025, which leases are expected to commence throughout 2025 and 2026 and another 24% of such expiring space is in the letter of intent stage. Excluding those leases, the remaining leases expiring in 2025, which represent approximately 184,000 square feet of the Centers, are in the prospecting stage.</w:t>
      </w:r>
    </w:p>
    <w:p>
      <w:pPr>
        <w:spacing w:after="0" w:line="95"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130 leases for new stores totaling approximately 814,000 square feet that have opened or are planned for opening in 2025, and another 27 leases for new stores totaling approximately 486,000 square feet opening after 2025. In total, through 2028, new store leases are expected to produce total gross revenue of approximately $79.5 million (at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Company’s pro rata share) in excess of the revenue generated from prior uses in the same spaces. While there may be additional new space openings in 2025, any such leases are not yet executed.</w:t>
      </w:r>
    </w:p>
    <w:p>
      <w:pPr>
        <w:spacing w:after="0" w:line="8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the Company signed 87 new leases and 233 renewal leases comprising approximately 2.6 million square feet of GLA. The average tenant allowance was $14.56 per square foot.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unveiled the Path Forward Plan which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95" w:lineRule="exact"/>
        <w:rPr>
          <w:sz w:val="20"/>
          <w:szCs w:val="20"/>
          <w:color w:val="auto"/>
        </w:rPr>
      </w:pPr>
    </w:p>
    <w:p>
      <w:pPr>
        <w:ind w:left="1300" w:right="360" w:hanging="644"/>
        <w:spacing w:after="0" w:line="28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Deleverage the capital structure, with a focus on reducing the Company's Net Debt to Adjusted EBITDA leverage ratio over the next three to four years;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and fortify the Company's key assets in the portfolio;</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consolidate selected joint venture assets over time that are core to the Company's overall strategy;</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post-deleveraging Funds From Operations ("FFO") launch point goal over the next three to four years;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outstanding operational results through rigorous internal process improvements;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the Company to take an offensive stance on acquisitions, reinvestment and selected development.</w:t>
      </w:r>
    </w:p>
    <w:p>
      <w:pPr>
        <w:spacing w:after="0" w:line="15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may achieve these goals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Additionally, as part of the Path Forward Plan, the Company is targeting for disposition certain outparcels, freestanding retail assets, non-enclosed mall assets and vacant land.</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Further, the Company has a long-term four-pronged business strategy that focuses on the acquisition, leasing and management, redevelopment and development of regional retail centers. Although some of the key performance indicators at the Centers continued to improve during 2024 and the first quarter of 2025, including a strong start to 2025 leasing volume and leasing spreads, operating results in 2025 have been and are expected to continue to be negatively impacted by certain external factors, including sustained inflation, tariffs and elevated interest rates, as well as the impact from the 2024 bankruptcy of Express and any future tenant bankruptcies.</w:t>
      </w:r>
    </w:p>
    <w:p>
      <w:pPr>
        <w:spacing w:after="0" w:line="10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Traffic levels at the Company’s Centers for the first quarter of 2025 increased by 1.8% from 2024 levels for the same time period. Portfolio tenant sales per square foot from spaces less than 10,000 square feet for the trailing twelve months ended March 31, 2025 were $837 compared to $837 for the year ended December 31, 2024. Comparable tenant sales from spaces less than 10,000 square feet across the portfolio for the quarter ended March 31, 2025 decreased by 1.5% compared to the same period in 2024.</w:t>
      </w:r>
    </w:p>
    <w:p>
      <w:pPr>
        <w:spacing w:after="0" w:line="112"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signed 320 leases for approximately 2.6 million square feet, compared to 211 leases and 1.0 million square feet leased during the first quarter of 2024, representing a 156% increase in the amount of square footage leased and a 52% increase in the number of leases signed on a comparable center basis.</w:t>
      </w:r>
    </w:p>
    <w:p>
      <w:pPr>
        <w:spacing w:after="0" w:line="10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March 31, 2025, the Company signed leases for new stores with new-to-Macerich portfolio uses for 104,000 square feet, with another 255,000 square feet of such new-to-Macerich portfolio leases currently in negotiation as of the date of this Quarterly Report on Form 10-Q.</w:t>
      </w:r>
    </w:p>
    <w:p>
      <w:pPr>
        <w:spacing w:after="0" w:line="10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2025, the leased occupancy rate was 92.6%, a 0.8% decrease compared to the leased occupancy rate at March 31, 2024 of 93.4% and a 1.5% sequential decrease compared to the 94.1% occupancy rate at December 31, 2024. The decrease was driven primarily by temporary and holiday specialty tenants.</w:t>
      </w:r>
    </w:p>
    <w:p>
      <w:pPr>
        <w:spacing w:after="0" w:line="10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Many of the Company’s leases contain co-tenancy clauses. Certain Anchor or small tenant closures have become permanent, and co-tenancy clauses within certain leases may be triggered as a result. The Company does not anticipate that the negative impact of such clauses on lease revenue will be significant.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pace of bankruptcy filings involving the Company’s tenants has remained steady in recent years but is substantially lower than 2021 levels. For the year ended December 31, 2024, there were 13 bankruptcy filings involving the Company’s tenants, including the bankruptcy of Express, totaling 54 leases and representing approximately 369,000 square feet of leased space and $21.7 million of annual leasing revenue at the Company’s share. Year-to-date 2025, there was one bankruptcy filing involving the Company’s tenant, Forever 21, totaling 20 leases and representing approximately 734,000 square feet of leased space and approximately $5.2 million of annual leasing revenue at the Company’s share. Based on current information and market data, the Company expects that the pace of bankruptcy filings in 2025 will be lower than the average bankruptcy rate over the last decade but the Company will continue to monitor the impact of tariffs and other economic conditions on the Company's tenants.</w:t>
      </w:r>
    </w:p>
    <w:p>
      <w:pPr>
        <w:spacing w:after="0" w:line="108"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During 2025, the Company expects to generate positive cash flow after recurring operating capital expenditures, leasing capital expenditures and payment of dividends. This assumption does not include any potential capital generated from dispositions, refinancings or issuances of common stock. To the extent available, any excess cash flow may be used to fund the Company’s development and redevelopment pipeline and/or de-lever the Company’s balance sheet.</w:t>
      </w:r>
    </w:p>
    <w:p>
      <w:pPr>
        <w:spacing w:after="0" w:line="11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nine completed transactions from the beginning of 2024 through the first quarter of 2025, totaling approximately $1.8 billion, or approximately $1.6 billion at the Company’s pro rata share. For additional information on the Company’s financing transactions in the year ended 2024 through the date of this Quarterly Report on Form 10-Q, see “Financing Activities” in Management’s Overview and Summary.</w:t>
      </w:r>
    </w:p>
    <w:p>
      <w:pPr>
        <w:spacing w:after="0" w:line="112"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On April 9, 2024, the Company defaulted on the $300.0 million non-recourse loan on Santa Monica Place and during the first quarter of 2025, completed the transition of the property to a receiver. The Company is still the owner of record of the property.</w:t>
      </w:r>
    </w:p>
    <w:p>
      <w:pPr>
        <w:spacing w:after="0" w:line="8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2025 and 2024</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Leasing revenue increased by $44.0 million, or 23.0%, from 2024 to 2025. The increase in leasing revenue is attributed to an increase of $47.1 million from the JV Transition Centers and $6.7 million from the Same Centers offset in part by decreases of $8.6 million from the Disposition Properties and $1.2 million from Santa Monica Place. Leasing revenue includes the amortization of above and below-market leases, the amortization of straight-line rents, lease termination income, percentage rent and the recovery of bad debts. The amortization of above and below-market leases increased from $0.1 million in 2024 to $1.0 million in 2025. Straight-line rents increased from $(3.2) million in 2024 to $(0.3) million in 2025. Lease termination income increased from $1.1 million in 2024 to $4.9 million in 2025. Percentage rent increased from $2.6 million in 2024 to $4.3 million in 2025. Provisions for bad debts decreased from $2.9 million in 2024 to $1.6 million in 2025.</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6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Shopping center and operating expenses increased $11.0 million, or 14.8%, from 2024 to 2025. The increase in shopping center and operating expenses is attributed to an increase of $3.8 million from the Same Centers, which is primarily due to increased property taxes, maintenance and utilities costs, and $10.2 million from the JV Transition Centers offset in part by a decrease of $3.1 million from the Disposition Properties.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increased from $10.5 million in 2024 to $11.2 million in 2025 due primarily to an increase in compensation expense.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4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Management Companies' operating expenses increased $1.6 million from 2024 to 2025 due primarily to an increase in compensation expense, including employee severance costs of $1.3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4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$24.2 million from 2024 to 2025. The increase in depreciation and amortization is attributed to increases of $24.0 million from the JV Transition Centers and $3.1 million from the Same Centers offset in part by a decrease of $3.4 million from the Disposition Properties.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Interest expense increased $16.9 million from 2024 to 2025. The increase in interest expense is attributed to increases of $19.7 million from the JV Transition Centers and $2.2 million from the Same Centers offset in part by decreases of $2.1 million from lower outstanding balances on the Company's revolving loan facility, $4.4 million from the financing arrangement discussed in Note 12 in the Company's Notes to the Consolidated Financial Statements and $2.2 million from the Disposition Properties. Additionally, $3.7 million of the increase is attributable to Santa Monica Place, which includes default interest expense of $3.0 million. The decrease in interest expense from the financing arrangement is primarily due to the change in fair value of the underlying properties and the mortgage notes payable on the underlying properties and Chandler Freehold no longer being accounted for as a financing arrangement (See Note 12—Financing Arrangement in the Notes to the Consolidated Financial Statements).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60"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Equity in loss of unconsolidated joint ventures decreased $72.5 million from 2024 to 2025. The decrease in equity in loss of unconsolidated joint ventures is primarily due to the write-down of the Company's investment in Los Angeles Premium Outlets of $57.7 million during the first quarter of 2024.</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14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Loss on sale or write down of assets, net decreased $22.1 million from 2024 to 2025. The decrease is primarily due to the 2024 impairment loss of $36.0 million at Santa Monica Place, as a result of the reduction in the estimated holding period of the property (See "—Financing Activities" in Management's Overview and Summary) offset in part by impairment losses in 2025 of $13.3 million recognized as a result of the reduction in the estimated holding period of certain properties.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60"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Net loss decreased $80.3 million from 2024 to 2025. The decrease in net loss is primarily due to the 2024 impairment losses at Santa Monica Place and Los Angeles Premium Outlets along with the other variances noted above.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60"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increased 17.1% from $74.6 million in 2024 to $87.4 million in 2025. For a reconciliation of net loss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increased $27.4 million from 2024 to 2025. The increase is primarily due to the changes in assets and liabilities and the results, as discussed above.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increased $56.1 million from 2024 to 2025. The increase in cash used in investing activities is primarily attributed to increases in contributions to unconsolidated joint ventures of $84.0 million, decreases in property improvements of $0.5 million and increases in development, redevelopment and renovation of $7.9 million offset in part by increases in distributions from unconsolidated joint ventures of $9.8 million. The increase in contributions to unconsolidated joint ventures is primarily due to contributions to Flatiron Crossing in 2025 to payoff the remaining loan balance (See “Financing Activities” in Management’s Overview and Summary).</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increased $160.9 million from 2024 to 2025. The increase in cash provided by financing activities is primarily due to a decrease in payments on mortgages, bank and other notes payable of $103.2 million, 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increase in proceeds from mortgages, bank and other notes payable of $70.0 million offset in part by an increase in dividends and distributions of $11.2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loan facility.</w:t>
      </w:r>
    </w:p>
    <w:p>
      <w:pPr>
        <w:spacing w:after="0" w:line="108"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Additionally, the Company is focused on implementing the Path Forward Plan, including its goal to reduce its Net Debt to Adjusted EBITDA leverage ratio to a lower level over the next three to four years. The Company may achieve this goal, and other goals set in connection with the Path Forward Plan, through a variety of methods and the timing, extent and impact of any transactions that the Company has or will undertake while implementing the Path Forward Plan may vary and evolve.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approximately $50.0 million to $75.0 million. The Company expects to incur approximately $250.0 million to $300.0 million during 2025 for development, redevelopment, expansion and renovations, which includes Scottsdale Fashion Square, Green Acres Mall and FlatIron Crossing (See "Redevelopment and Development Activities" in Management’s Overview and Summary). Capital for these expenditures, developments and/or redevelopments has been, and is expected to continue to be, obtained from a combination of cash on hand, cash generated from operations, asset sales, debt or equity financings, which may include borrowings under the Company's revolving loan facility and sales of common stock,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4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since implementing the Path Forward Plan in the second quarter of 2024, the Company’s joint venture sold Country Club Plaza in Kansas City, Missouri on June 28, 2024 and the Company sold its 50% interest in Biltmore Fashion Park in Phoenix, Arizona on July 31, 2024. Additionally, on November 25, 2024, the Company sold Southridge Mall in Des Moines, Iowa and on December 10, 2024, the Company sold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Oaks in Thousand Oaks, California. On March 27, 2025, the Company sold Wilton Mall in Saratoga Springs, New York and on April 30, 2025, the Company sold SouthPark Mall in Moline, Illinois. The Company used its share of proceeds from these transactions to pay down its revolving loan facility and other debt obligations. During the three months ended March 31, 2025 and the year ended December 31, 2024, the Company and certain joint venture partners sold various land parcels in separate transactions for aggregate proceeds of $8.3 million and $6.1 million (at the Company's share), respectively, which the Company used to pay down debt and for other general corporate purposes.</w:t>
      </w:r>
    </w:p>
    <w:p>
      <w:pPr>
        <w:spacing w:after="0" w:line="102"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9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November 27, 2024, the Company completed a public offering of 23.0 million shares of its common stock at a price per share of $19.75, which includes the underwriters’ full exercise of their option to purchase an additional 3.0 million shares, for gross proceeds of approximately $454.3 million. The net proceeds of the offering were approximately $439.5 million after deducting the underwriting discount and offering costs of approximately $14.8 million. The Company used the proceeds from the offering, together with cash on hand, to repay the mortgage loan secured by its Washington Square property.</w:t>
      </w:r>
    </w:p>
    <w:p>
      <w:pPr>
        <w:spacing w:after="0" w:line="116"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On each of March 26, 2021 and November 12, 2024, the Company registered separate “at the market” offering programs, pursuant to which the Company may issue and sell shares of its common stock having an aggregate offering price of up to $500.0 million under each of the 2021 ATM Program and the 2024 ATM Program, in each case, in amounts and at times to be determined by the Company. The 2021 ATM Program was fully utilized as of September 30, 2024 and is no longer active. During the three months ended March 31, 2025 and 2024, no shares of common stock were issued under the ATM Programs. As of March 31, 2025, the Company had approximately $429.3 million of gross sales of its common stock available under the 2024 ATM Program.</w:t>
      </w:r>
    </w:p>
    <w:p>
      <w:pPr>
        <w:spacing w:after="0" w:line="10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1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16" w:lineRule="exact"/>
        <w:rPr>
          <w:sz w:val="20"/>
          <w:szCs w:val="20"/>
          <w:color w:val="auto"/>
        </w:rPr>
      </w:pPr>
    </w:p>
    <w:p>
      <w:pPr>
        <w:ind w:right="20" w:firstLine="445"/>
        <w:spacing w:after="0" w:line="277" w:lineRule="auto"/>
        <w:rPr>
          <w:sz w:val="20"/>
          <w:szCs w:val="20"/>
          <w:color w:val="auto"/>
        </w:rPr>
      </w:pPr>
      <w:r>
        <w:rPr>
          <w:rFonts w:ascii="Times New Roman" w:cs="Times New Roman" w:eastAsia="Times New Roman" w:hAnsi="Times New Roman"/>
          <w:sz w:val="17"/>
          <w:szCs w:val="17"/>
          <w:color w:val="auto"/>
        </w:rPr>
        <w:t>The Company's total outstanding loan indebtedness, which includes mortgages and other notes payable, at March 31, 2025 was $6.80 billion (consisting of $5.23 billion of consolidated debt, less $0.03 billion of noncontrolling interests, plus $1.60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loan facility or cash on hand, with the exception of Santa Monica Place (See “—Financing Activities” in Management’s Overview and Summary).</w:t>
      </w:r>
    </w:p>
    <w:p>
      <w:pPr>
        <w:spacing w:after="0" w:line="87" w:lineRule="exact"/>
        <w:rPr>
          <w:sz w:val="20"/>
          <w:szCs w:val="20"/>
          <w:color w:val="auto"/>
        </w:rPr>
      </w:pPr>
    </w:p>
    <w:p>
      <w:pPr>
        <w:ind w:right="280" w:firstLine="445"/>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08"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Additionally, as of March 31, 2025, the Company was contingently liable for $6.1 million in letters of credit guaranteeing performance by the Company of certain obligations relating to the Centers. As of March 31, 2025, $5.9 million of these letters of credit were secured by restricted cash. The Company does not believe that these letters of credit will result in a liability to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nine completed transactions from the beginning of 2024 through the first quarter of 2025 totaling approximately $1.8 billion, or approximately $1.6 billion at the Company’s pro rata share. For additional information on the Company’s financing transactions in the year ended 2024 through the date of this Quarterly Report on Form 10-Q, see “Financing Activities” in Management’s Overview and Summary.</w:t>
      </w:r>
    </w:p>
    <w:p>
      <w:pPr>
        <w:spacing w:after="0" w:line="9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On September 11, 2023, the Company and the Operating Partnership entered into an amended and restated credit agreement, which amended and restated their prior credit agreement, and provides for an aggregate $650.0 million revolving loan facility that matures on February 1, 2027, with a one-year extension option. The revolving credit facility can be expanded up to $950.0 million, subject to receipt of lender commitments and other conditions. All obligations under the revolving credit facility are guaranteed unconditionally by the Company and are secured in the form of mortgages on certain wholly-owned assets and pledges of equity interests held by certain of the Company’s subsidiaries. The revolving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March 31, 2025, borrowing rate was SOFR plus a spread of 2.10%. As of March 31, 2025, there were no borrowings under the revolving credit facility. Unamortized deferred finance costs were $10.7 million as of March 31, 2025, which are netted against balances outstanding or as an asset when no borrowings are outstanding on the revolving credit facility which was the case as of March 31, 2025. As of March 31, 2025, the Company’s availability under the revolving credit facility for additional borrowings was $649.8 million.</w:t>
      </w:r>
    </w:p>
    <w:p>
      <w:pPr>
        <w:spacing w:after="0" w:line="124"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Cash dividends and distributions for the three months ended March 31, 2025 were $50.4 million (including distributions from consolidated joint ventures of $3.2 million), which were funded by operations.</w:t>
      </w:r>
    </w:p>
    <w:p>
      <w:pPr>
        <w:spacing w:after="0" w:line="94" w:lineRule="exact"/>
        <w:rPr>
          <w:sz w:val="20"/>
          <w:szCs w:val="20"/>
          <w:color w:val="auto"/>
        </w:rPr>
      </w:pPr>
    </w:p>
    <w:p>
      <w:pPr>
        <w:ind w:left="420" w:right="2880" w:firstLine="40"/>
        <w:spacing w:after="0" w:line="417" w:lineRule="auto"/>
        <w:rPr>
          <w:sz w:val="20"/>
          <w:szCs w:val="20"/>
          <w:color w:val="auto"/>
        </w:rPr>
      </w:pPr>
      <w:r>
        <w:rPr>
          <w:rFonts w:ascii="Times New Roman" w:cs="Times New Roman" w:eastAsia="Times New Roman" w:hAnsi="Times New Roman"/>
          <w:sz w:val="18"/>
          <w:szCs w:val="18"/>
          <w:color w:val="auto"/>
        </w:rPr>
        <w:t xml:space="preserve">At March 31, 2025, the Company was in compliance with all applicable loan covenants under its agreements. At March 31, 2025, the Company had cash and cash equivalents of $253.2 million. </w:t>
      </w:r>
      <w:r>
        <w:rPr>
          <w:rFonts w:ascii="Times New Roman" w:cs="Times New Roman" w:eastAsia="Times New Roman" w:hAnsi="Times New Roman"/>
          <w:sz w:val="18"/>
          <w:szCs w:val="18"/>
          <w:i w:val="1"/>
          <w:iCs w:val="1"/>
          <w:color w:val="auto"/>
        </w:rPr>
        <w:t>Material Cash Commitments:</w:t>
      </w:r>
    </w:p>
    <w:p>
      <w:pPr>
        <w:spacing w:after="0" w:line="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March 31, 2025 for the Consolidated Centers over the periods in which they are expected to be paid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2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7"/>
                <w:szCs w:val="17"/>
                <w:color w:val="auto"/>
              </w:rPr>
            </w:pPr>
          </w:p>
        </w:tc>
        <w:tc>
          <w:tcPr>
            <w:tcW w:w="11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62"/>
        </w:trPr>
        <w:tc>
          <w:tcPr>
            <w:tcW w:w="35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6,323,838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997,714</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1,128,358</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68,717</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1,006,379</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1,197,075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March 31, 2025.</w:t>
      </w:r>
    </w:p>
    <w:p>
      <w:pPr>
        <w:spacing w:after="0" w:line="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5"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approximately $300.0 million non-recourse loan on Santa Monica Place which the Company defaulted on in April 9, 2024. The Company is still the owner of record of the property.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48"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FFO in addition to net loss to report its operating and financial results and considers FFO and FFO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0"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w:t>
      </w:r>
    </w:p>
    <w:p>
      <w:pPr>
        <w:spacing w:after="0" w:line="124"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accrued default interest expense and gain or loss on non-real estate investments.</w:t>
      </w:r>
    </w:p>
    <w:p>
      <w:pPr>
        <w:spacing w:after="0" w:line="81"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w:t>
      </w:r>
    </w:p>
    <w:p>
      <w:pPr>
        <w:spacing w:after="0" w:line="130"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spacing w:after="0" w:line="108"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and considered in addition to cash flows in accordance with GAAP, as presented in the Company's consolidated financial statements. The following reconciles net loss attributable to the Company to FFO attributable to common stockholders and unit holders</w:t>
      </w: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18"/>
          <w:szCs w:val="18"/>
          <w:color w:val="auto"/>
        </w:rPr>
        <w:t xml:space="preserve"> and FFO attributable to common stockholders and unit 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basic and diluted, excluding financing expense in connection with Chandler Freehold, accrued default interest expense and loss on non-real estate investments for the three months ended March 31, 2025 and 2024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(126,728)</w:t>
            </w: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attributable to the Company to FFO attributable to common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 net—consolidated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assets—unconsolidated joint ventures, net(1)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loss on sale of undepreciated assets—unconsolidated joint ventures(1)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68,351</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40,697</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non-real estate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0" w:type="dxa"/>
            <w:vAlign w:val="bottom"/>
          </w:tcPr>
          <w:p>
            <w:pPr>
              <w:spacing w:after="0"/>
              <w:rPr>
                <w:sz w:val="1"/>
                <w:szCs w:val="1"/>
                <w:color w:val="auto"/>
              </w:rPr>
            </w:pPr>
          </w:p>
        </w:tc>
      </w:tr>
      <w:tr>
        <w:trPr>
          <w:trHeight w:val="142"/>
        </w:trPr>
        <w:tc>
          <w:tcPr>
            <w:tcW w:w="6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connection with Chandler Freehold, accrued default interest expense and loss on non-real</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87,372</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74,600</w:t>
            </w:r>
          </w:p>
        </w:tc>
        <w:tc>
          <w:tcPr>
            <w:tcW w:w="0" w:type="dxa"/>
            <w:vAlign w:val="bottom"/>
          </w:tcPr>
          <w:p>
            <w:pPr>
              <w:spacing w:after="0"/>
              <w:rPr>
                <w:sz w:val="1"/>
                <w:szCs w:val="1"/>
                <w:color w:val="auto"/>
              </w:rPr>
            </w:pPr>
          </w:p>
        </w:tc>
      </w:tr>
      <w:tr>
        <w:trPr>
          <w:trHeight w:val="19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investments —basic and diluted</w:t>
            </w: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226,141</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634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263,851</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226,141</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53" w:lineRule="exact"/>
        <w:rPr>
          <w:rFonts w:ascii="Times New Roman" w:cs="Times New Roman" w:eastAsia="Times New Roman" w:hAnsi="Times New Roman"/>
          <w:sz w:val="16"/>
          <w:szCs w:val="16"/>
          <w:color w:val="auto"/>
        </w:rPr>
      </w:pPr>
    </w:p>
    <w:p>
      <w:pPr>
        <w:ind w:left="420" w:right="160" w:hanging="412"/>
        <w:spacing w:after="0" w:line="280" w:lineRule="auto"/>
        <w:tabs>
          <w:tab w:leader="none" w:pos="40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10.9 million and 10.1 million of OP Units outstanding for the three months ended March 31, 2025 and 2024, respectively.</w:t>
      </w:r>
    </w:p>
    <w:p>
      <w:pPr>
        <w:spacing w:after="0" w:line="97" w:lineRule="exact"/>
        <w:rPr>
          <w:rFonts w:ascii="Times New Roman" w:cs="Times New Roman" w:eastAsia="Times New Roman" w:hAnsi="Times New Roman"/>
          <w:sz w:val="16"/>
          <w:szCs w:val="16"/>
          <w:color w:val="auto"/>
        </w:rPr>
      </w:pPr>
    </w:p>
    <w:p>
      <w:pPr>
        <w:ind w:left="4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280" w:firstLine="8"/>
        <w:spacing w:after="0" w:line="253"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1" w:lineRule="exact"/>
        <w:rPr>
          <w:sz w:val="20"/>
          <w:szCs w:val="20"/>
          <w:color w:val="auto"/>
        </w:rPr>
      </w:pPr>
    </w:p>
    <w:p>
      <w:pPr>
        <w:ind w:right="2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as of March 31, 2025 concerning the Company's long-term debt obligations, including principal cash flows by scheduled maturity, weighted average interest rates and estimated fair value (dollars in thousands):</w:t>
      </w: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twelve months ending March 31,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6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462,575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743,214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1,216,625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19,528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1,632,888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945,656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5,020,486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4,783,669</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debt—Consolidated</w:t>
            </w: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762,575</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743,214</w:t>
            </w:r>
          </w:p>
        </w:tc>
        <w:tc>
          <w:tcPr>
            <w:tcW w:w="12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1,216,625</w:t>
            </w:r>
          </w:p>
        </w:tc>
        <w:tc>
          <w:tcPr>
            <w:tcW w:w="12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19,528</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1,632,888</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945,656</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5,320,486</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5,083,669</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8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UNCONSOLIDATED</w:t>
            </w: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(at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89,903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78,273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446,495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460,299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239,621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1,558,751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1,520,866</w:t>
            </w: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47,448</w:t>
            </w:r>
          </w:p>
        </w:tc>
        <w:tc>
          <w:tcPr>
            <w:tcW w:w="0" w:type="dxa"/>
            <w:vAlign w:val="bottom"/>
          </w:tcPr>
          <w:p>
            <w:pPr>
              <w:spacing w:after="0"/>
              <w:rPr>
                <w:sz w:val="1"/>
                <w:szCs w:val="1"/>
                <w:color w:val="auto"/>
              </w:rPr>
            </w:pPr>
          </w:p>
        </w:tc>
      </w:tr>
      <w:tr>
        <w:trPr>
          <w:trHeight w:val="196"/>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7"/>
                <w:szCs w:val="17"/>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8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debt—Unconsolidated</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89,903</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112,943</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446,495</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472,299</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239,621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244,160</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1,605,421</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1,568,314</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March 31, 2025 and December 31, 2024 was $5.0 billion and $4.7 billion, respectively. The average interest rate on the fixed rate debt at March 31, 2025 and December 31, 2024 was 4.49% and 4.40%, respectively. The Consolidated Centers' total floating rate debt at March 31, 2025 and December 31, 2024 was $300.0 million and $410.0 million, respectively. The average interest rate on the floating rate debt at March 31, 2025 and December 31, 2024 was 5.84% and 6.21%, respectively.</w:t>
      </w:r>
    </w:p>
    <w:p>
      <w:pPr>
        <w:spacing w:after="0" w:line="11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March 31, 2025 and December 31, 2024 was $1.6 billion. The average interest rate on the fixed rate debt at March 31, 2025 and December 31, 2024 was 5.28%. The Company's pro rata share of the Unconsolidated Joint Venture Centers' floating rate debt at March 31, 2025 and December 31, 2024 was $46.7 million and $132.9 million, respectively. The average interest rate on the floating rate debt at March 31, 2025 and December 31, 2024 was 8.09% and 8.29%, respectively.</w:t>
      </w:r>
    </w:p>
    <w:p>
      <w:pPr>
        <w:spacing w:after="0" w:line="112"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2025, the Company has an interest rate cap agreement in place (See Note 4—Investments in Unconsolidated Joint Ventures and Note 5— Derivative Instruments and Hedging Activities in the Company's Notes to the Consolidated Financial Statements). The respective loan requires an interest rate cap agreement to be in place at all times, which limits how high the prevailing floating loan rate index (i.e., SOFR) for the loan can rise. As of the date of this Quarterly Report on Form 10-Q, SOFR for this loan did not exceed the strike interest rate within the required interest rate cap agreement.</w:t>
      </w:r>
    </w:p>
    <w:p>
      <w:pPr>
        <w:spacing w:after="0" w:line="108"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$3.5 million per year based on $346.7 million of floating rate debt outstanding at March 31,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2025,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24"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right="40" w:firstLine="453"/>
        <w:spacing w:after="0" w:line="250" w:lineRule="auto"/>
        <w:tabs>
          <w:tab w:leader="none" w:pos="6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2025, the Company, as general partner of the Operating Partnership, issued 6,100 shares of common stock of the Company upon the redemption of an aggregate of 6,100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122"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4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4"/>
                <w:szCs w:val="14"/>
                <w:color w:val="auto"/>
              </w:rPr>
            </w:pPr>
          </w:p>
        </w:tc>
        <w:tc>
          <w:tcPr>
            <w:tcW w:w="1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Programs (1)</w:t>
            </w:r>
          </w:p>
        </w:tc>
        <w:tc>
          <w:tcPr>
            <w:tcW w:w="0" w:type="dxa"/>
            <w:vAlign w:val="bottom"/>
          </w:tcPr>
          <w:p>
            <w:pPr>
              <w:spacing w:after="0"/>
              <w:rPr>
                <w:sz w:val="1"/>
                <w:szCs w:val="1"/>
                <w:color w:val="auto"/>
              </w:rPr>
            </w:pPr>
          </w:p>
        </w:tc>
      </w:tr>
      <w:tr>
        <w:trPr>
          <w:trHeight w:val="22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2025 to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2025 to February 28,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2025 to March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220" w:hanging="564"/>
        <w:spacing w:after="0" w:line="280" w:lineRule="auto"/>
        <w:tabs>
          <w:tab w:leader="none" w:pos="12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9"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 w:lineRule="exact"/>
        <w:rPr>
          <w:sz w:val="20"/>
          <w:szCs w:val="20"/>
          <w:color w:val="auto"/>
        </w:rPr>
      </w:pPr>
    </w:p>
    <w:p>
      <w:pPr>
        <w:ind w:left="1140" w:hanging="368"/>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LP, 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9" w:lineRule="exact"/>
        <w:rPr>
          <w:rFonts w:ascii="Times New Roman" w:cs="Times New Roman" w:eastAsia="Times New Roman" w:hAnsi="Times New Roman"/>
          <w:sz w:val="18"/>
          <w:szCs w:val="18"/>
          <w:u w:val="single" w:color="auto"/>
          <w:color w:val="0000FF"/>
        </w:rPr>
      </w:pPr>
    </w:p>
    <w:p>
      <w:pPr>
        <w:ind w:left="1140" w:right="20" w:hanging="368"/>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ind w:left="620"/>
        <w:spacing w:after="0"/>
        <w:tabs>
          <w:tab w:leader="none" w:pos="1120" w:val="left"/>
        </w:tabs>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65">
        <w:r>
          <w:rPr>
            <w:rFonts w:ascii="Times New Roman" w:cs="Times New Roman" w:eastAsia="Times New Roman" w:hAnsi="Times New Roman"/>
            <w:sz w:val="17"/>
            <w:szCs w:val="17"/>
            <w:u w:val="single" w:color="auto"/>
            <w:color w:val="0000FF"/>
          </w:rPr>
          <w:t>Articles Supplementary of the Company (with respect to the first paragraph) (incorporated by reference as an exhibit to the Company's</w:t>
        </w:r>
      </w:hyperlink>
    </w:p>
    <w:p>
      <w:pPr>
        <w:ind w:left="114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1998 Form 10-K).</w:t>
        </w:r>
      </w:hyperlink>
    </w:p>
    <w:p>
      <w:pPr>
        <w:spacing w:after="0" w:line="16" w:lineRule="exact"/>
        <w:rPr>
          <w:sz w:val="20"/>
          <w:szCs w:val="20"/>
          <w:color w:val="auto"/>
        </w:rPr>
      </w:pPr>
    </w:p>
    <w:p>
      <w:pPr>
        <w:ind w:left="1140" w:right="4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Report on Form 8-K, event date July 26, 2002).</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67">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amended (No. 333-88718)).</w:t>
        </w:r>
      </w:hyperlink>
    </w:p>
    <w:p>
      <w:pPr>
        <w:spacing w:after="0" w:line="10" w:lineRule="exact"/>
        <w:rPr>
          <w:rFonts w:ascii="Times New Roman" w:cs="Times New Roman" w:eastAsia="Times New Roman" w:hAnsi="Times New Roman"/>
          <w:sz w:val="18"/>
          <w:szCs w:val="18"/>
          <w:u w:val="single" w:color="auto"/>
          <w:color w:val="0000FF"/>
        </w:rPr>
      </w:pPr>
    </w:p>
    <w:p>
      <w:pPr>
        <w:ind w:left="1140" w:right="58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Form 10-K).</w:t>
        </w:r>
      </w:hyperlink>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date February 5, 2009).</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10" w:lineRule="exact"/>
        <w:rPr>
          <w:rFonts w:ascii="Times New Roman" w:cs="Times New Roman" w:eastAsia="Times New Roman" w:hAnsi="Times New Roman"/>
          <w:sz w:val="18"/>
          <w:szCs w:val="18"/>
          <w:u w:val="single" w:color="auto"/>
          <w:color w:val="0000FF"/>
        </w:rPr>
      </w:pPr>
    </w:p>
    <w:p>
      <w:pPr>
        <w:jc w:val="center"/>
        <w:ind w:left="880" w:right="60"/>
        <w:spacing w:after="0" w:line="237"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Article NINTH) (incorporated by reference as an exhibit to the Company’s Current Report on Form 8-K, event date May 30, 2014).</w:t>
        </w:r>
      </w:hyperlink>
    </w:p>
    <w:p>
      <w:pPr>
        <w:spacing w:after="0" w:line="10" w:lineRule="exact"/>
        <w:rPr>
          <w:sz w:val="20"/>
          <w:szCs w:val="20"/>
          <w:color w:val="auto"/>
        </w:rPr>
      </w:pPr>
    </w:p>
    <w:p>
      <w:pPr>
        <w:ind w:left="1140" w:right="1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by reference as an exhibit to the Company’s Current Report on Form 8-K, event date March 17,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73">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Report on Form 8-K, event date March 18,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60" w:hanging="586"/>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4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75">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76">
        <w:r>
          <w:rPr>
            <w:rFonts w:ascii="Times New Roman" w:cs="Times New Roman" w:eastAsia="Times New Roman" w:hAnsi="Times New Roman"/>
            <w:sz w:val="18"/>
            <w:szCs w:val="18"/>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provisions)) (incorporated by reference as an exhibit to the Company’s Current Report on Form 8-K, event date April 24, 2019).</w:t>
        </w:r>
      </w:hyperlink>
    </w:p>
    <w:p>
      <w:pPr>
        <w:spacing w:after="0" w:line="10" w:lineRule="exact"/>
        <w:rPr>
          <w:rFonts w:ascii="Times New Roman" w:cs="Times New Roman" w:eastAsia="Times New Roman" w:hAnsi="Times New Roman"/>
          <w:sz w:val="18"/>
          <w:szCs w:val="18"/>
          <w:u w:val="single" w:color="auto"/>
          <w:color w:val="0000FF"/>
        </w:rPr>
      </w:pPr>
    </w:p>
    <w:p>
      <w:pPr>
        <w:ind w:left="1140" w:right="2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77">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Report on Form 8-K, event date May 28, 2021).</w:t>
        </w:r>
      </w:hyperlink>
    </w:p>
    <w:p>
      <w:pPr>
        <w:spacing w:after="0" w:line="10" w:lineRule="exact"/>
        <w:rPr>
          <w:rFonts w:ascii="Times New Roman" w:cs="Times New Roman" w:eastAsia="Times New Roman" w:hAnsi="Times New Roman"/>
          <w:sz w:val="18"/>
          <w:szCs w:val="18"/>
          <w:u w:val="single" w:color="auto"/>
          <w:color w:val="0000FF"/>
        </w:rPr>
      </w:pPr>
    </w:p>
    <w:p>
      <w:pPr>
        <w:ind w:left="1140" w:right="220" w:hanging="368"/>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78">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event date January 26,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2"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180" w:type="dxa"/>
            <w:vAlign w:val="bottom"/>
            <w:gridSpan w:val="4"/>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Borders>
              <w:top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0000FF"/>
              </w:rPr>
              <w:t>Section 302</w:t>
            </w:r>
          </w:p>
        </w:tc>
        <w:tc>
          <w:tcPr>
            <w:tcW w:w="9180" w:type="dxa"/>
            <w:vAlign w:val="bottom"/>
            <w:tcBorders>
              <w:top w:val="single" w:sz="8" w:color="auto"/>
            </w:tcBorders>
            <w:gridSpan w:val="4"/>
          </w:tcPr>
          <w:p>
            <w:pPr>
              <w:ind w:left="20"/>
              <w:spacing w:after="0" w:line="188" w:lineRule="exact"/>
              <w:rPr>
                <w:sz w:val="20"/>
                <w:szCs w:val="20"/>
                <w:color w:val="auto"/>
              </w:rPr>
            </w:pPr>
            <w:r>
              <w:rPr>
                <w:rFonts w:ascii="Times New Roman" w:cs="Times New Roman" w:eastAsia="Times New Roman" w:hAnsi="Times New Roman"/>
                <w:sz w:val="18"/>
                <w:szCs w:val="18"/>
                <w:color w:val="0000FF"/>
              </w:rPr>
              <w:t>Certification of Jackson Hsieh, Chief Executive Officer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9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Daniel E. Swanstrom II, Chief Financial Officer</w:t>
            </w:r>
          </w:p>
        </w:tc>
        <w:tc>
          <w:tcPr>
            <w:tcW w:w="0" w:type="dxa"/>
            <w:vAlign w:val="bottom"/>
          </w:tcPr>
          <w:p>
            <w:pPr>
              <w:spacing w:after="0"/>
              <w:rPr>
                <w:sz w:val="1"/>
                <w:szCs w:val="1"/>
                <w:color w:val="auto"/>
              </w:rPr>
            </w:pPr>
          </w:p>
        </w:tc>
      </w:tr>
      <w:tr>
        <w:trPr>
          <w:trHeight w:val="209"/>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906</w:t>
            </w:r>
          </w:p>
        </w:tc>
        <w:tc>
          <w:tcPr>
            <w:tcW w:w="462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Certifications of Jackson Hsieh and Daniel E. Swanstrom II</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140" w:hanging="421"/>
        <w:spacing w:after="0"/>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ind w:right="1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JACKSON HSIEH</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Jackson Hsieh</w:t>
            </w:r>
          </w:p>
        </w:tc>
      </w:tr>
      <w:tr>
        <w:trPr>
          <w:trHeight w:val="229"/>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518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DANIEL E. SWANSTROM II</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E. Swanstrom II</w:t>
            </w:r>
          </w:p>
        </w:tc>
      </w:tr>
      <w:tr>
        <w:trPr>
          <w:trHeight w:val="230"/>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Executive Vice President, Treasurer and Chief Financial Officer</w:t>
            </w:r>
          </w:p>
        </w:tc>
      </w:tr>
      <w:tr>
        <w:trPr>
          <w:trHeight w:val="236"/>
        </w:trPr>
        <w:tc>
          <w:tcPr>
            <w:tcW w:w="518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99"/>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J. ZECCHINI</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J. Zecchini</w:t>
            </w:r>
          </w:p>
        </w:tc>
      </w:tr>
      <w:tr>
        <w:trPr>
          <w:trHeight w:val="229"/>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and Chief Accounting Officer</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320" w:top="118" w:right="6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Jackson Hsieh, certify that:</w:t>
      </w:r>
    </w:p>
    <w:p>
      <w:pPr>
        <w:spacing w:after="0" w:line="15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2025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8117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2025</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E. Swanstrom II, certify that:</w:t>
      </w:r>
    </w:p>
    <w:p>
      <w:pPr>
        <w:spacing w:after="0" w:line="15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2025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1889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2025</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undersigned, Jackson Hsieh and Daniel E. Swanstrom II, the Chief Executive Officer and Chief Financial Officer, respectively, of The Macerich Company (the "Company"), pursuant to 18 U.S.C. §1350, each hereby certifies that, to the best of his knowledge:</w:t>
      </w:r>
    </w:p>
    <w:p>
      <w:pPr>
        <w:spacing w:after="0" w:line="27" w:lineRule="exact"/>
        <w:rPr>
          <w:sz w:val="20"/>
          <w:szCs w:val="20"/>
          <w:color w:val="auto"/>
        </w:rPr>
      </w:pPr>
    </w:p>
    <w:p>
      <w:pPr>
        <w:ind w:left="980" w:right="980" w:hanging="324"/>
        <w:spacing w:after="0" w:line="282" w:lineRule="auto"/>
        <w:tabs>
          <w:tab w:leader="none" w:pos="9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2025 of the Company (the "Report") fully complies with the requirements of Section 13(a) and 15(d) of the Securities Exchange Act of 1934, as amended; and</w:t>
      </w:r>
    </w:p>
    <w:p>
      <w:pPr>
        <w:spacing w:after="0" w:line="40"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1"/>
    </w:lvl>
    <w:lvl w:ilvl="1">
      <w:lvlJc w:val="left"/>
      <w:lvlText w:val="(%2)"/>
      <w:numFmt w:val="decimal"/>
      <w:start w:val="1"/>
    </w:lvl>
  </w:abstractNum>
  <w:abstractNum w:abstractNumId="4">
    <w:nsid w:val="4E6AFB66"/>
    <w:multiLevelType w:val="hybridMultilevel"/>
    <w:lvl w:ilvl="0">
      <w:lvlJc w:val="left"/>
      <w:lvlText w:val="%1."/>
      <w:numFmt w:val="decimal"/>
      <w:start w:val="4"/>
    </w:lvl>
    <w:lvl w:ilvl="1">
      <w:lvlJc w:val="left"/>
      <w:lvlText w:val="%2"/>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10"/>
    </w:lvl>
    <w:lvl w:ilvl="1">
      <w:lvlJc w:val="left"/>
      <w:lvlText w:val="(%2)"/>
      <w:numFmt w:val="decimal"/>
      <w:start w:val="4"/>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5"/>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lvl w:ilvl="1">
      <w:lvlJc w:val="left"/>
      <w:lvlText w:val="(%2)"/>
      <w:numFmt w:val="lowerLetter"/>
      <w:start w:val="1"/>
    </w:lvl>
  </w:abstractNum>
  <w:abstractNum w:abstractNumId="22">
    <w:nsid w:val="4353D0CD"/>
    <w:multiLevelType w:val="hybridMultilevel"/>
    <w:lvl w:ilvl="0">
      <w:lvlJc w:val="left"/>
      <w:lvlText w:val="(%1)"/>
      <w:numFmt w:val="lowerLetter"/>
      <w:start w:val="3"/>
    </w:lvl>
    <w:lvl w:ilvl="1">
      <w:lvlJc w:val="left"/>
      <w:lvlText w:val="%2"/>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lvl w:ilvl="1">
      <w:lvlJc w:val="left"/>
      <w:lvlText w:val="%2"/>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64" Type="http://schemas.openxmlformats.org/officeDocument/2006/relationships/hyperlink" Target="https://www.sec.gov/Archives/edgar/data/912242/000110465914081468/a14-24669_1ex2d1.htm" TargetMode="External"/><Relationship Id="rId65" Type="http://schemas.openxmlformats.org/officeDocument/2006/relationships/hyperlink" Target="https://www.sec.gov/Archives/edgar/data/912242/0001047469-99-012492.txt" TargetMode="External"/><Relationship Id="rId66" Type="http://schemas.openxmlformats.org/officeDocument/2006/relationships/hyperlink" Target="https://www.sec.gov/Archives/edgar/data/912242/000091205702030706/a2086079zex-3_1.htm" TargetMode="External"/><Relationship Id="rId67" Type="http://schemas.openxmlformats.org/officeDocument/2006/relationships/hyperlink" Target="https://www.sec.gov/Archives/edgar/data/912242/000091205702021417/a2080342zex-4_6.htm" TargetMode="External"/><Relationship Id="rId68" Type="http://schemas.openxmlformats.org/officeDocument/2006/relationships/hyperlink" Target="https://www.sec.gov/Archives/edgar/data/912242/000104746909001981/a2189901zex-3_15.htm" TargetMode="External"/><Relationship Id="rId69" Type="http://schemas.openxmlformats.org/officeDocument/2006/relationships/hyperlink" Target="https://www.sec.gov/Archives/edgar/data/912242/000110465909008348/a09-5253_1ex3d1.htm" TargetMode="External"/><Relationship Id="rId70" Type="http://schemas.openxmlformats.org/officeDocument/2006/relationships/hyperlink" Target="https://www.sec.gov/Archives/edgar/data/912242/000104746909007391/a2193924zex-3_17.htm" TargetMode="External"/><Relationship Id="rId71" Type="http://schemas.openxmlformats.org/officeDocument/2006/relationships/hyperlink" Target="https://www.sec.gov/Archives/edgar/data/912242/000110465914043330/a14-14485_1ex3d1.htm" TargetMode="External"/><Relationship Id="rId72" Type="http://schemas.openxmlformats.org/officeDocument/2006/relationships/hyperlink" Target="https://www.sec.gov/Archives/edgar/data/912242/000110465915020412/a15-6870_1ex3d1.htm" TargetMode="External"/><Relationship Id="rId73" Type="http://schemas.openxmlformats.org/officeDocument/2006/relationships/hyperlink" Target="https://www.sec.gov/Archives/edgar/data/912242/000110465915020810/a15-6873_1ex3d1.htm" TargetMode="External"/><Relationship Id="rId74" Type="http://schemas.openxmlformats.org/officeDocument/2006/relationships/hyperlink" Target="https://www.sec.gov/Archives/edgar/data/912242/000110465915037228/a15-11185_1ex3d1.htm" TargetMode="External"/><Relationship Id="rId75" Type="http://schemas.openxmlformats.org/officeDocument/2006/relationships/hyperlink" Target="https://www.sec.gov/Archives/edgar/data/912242/000110465915042631/a15-13305_1ex3d1.htm" TargetMode="External"/><Relationship Id="rId76" Type="http://schemas.openxmlformats.org/officeDocument/2006/relationships/hyperlink" Target="https://www.sec.gov/Archives/edgar/data/912242/000119312519129272/d731295dex31.htm" TargetMode="External"/><Relationship Id="rId77" Type="http://schemas.openxmlformats.org/officeDocument/2006/relationships/hyperlink" Target="https://www.sec.gov/Archives/edgar/data/912242/000119312521182973/d417870dex31.htm" TargetMode="External"/><Relationship Id="rId78" Type="http://schemas.openxmlformats.org/officeDocument/2006/relationships/hyperlink" Target="https://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2025-05-12T15:18:45Z</dcterms:created>
  <dcterms:modified xsi:type="dcterms:W3CDTF">2025-05-12T15:18:45Z</dcterms:modified>
</cp:coreProperties>
</file>